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71007.xml.htm"/>
      <w:bookmarkStart w:id="1" w:name="ksform410162026_0710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PHILLIPPY ROBERT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ESCO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645 MARYVILLE CENTRE DR.,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ESCO TECHNOLOGIES INC</w:t>
              </w:r>
            </w:hyperlink>
            <w:r>
              <w:rPr/>
              <w:t xml:space="preserve"> [ </w:t>
            </w:r>
            <w:r>
              <w:rPr>
                <w:rFonts w:ascii="Times;serif" w:hAnsi="Times;serif"/>
                <w:color w:val="0000FF"/>
                <w:sz w:val="24"/>
                <w:shd w:fill="FFFFFF" w:val="clear"/>
              </w:rPr>
              <w:t>ESE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3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1176"/>
        <w:gridCol w:w="831"/>
        <w:gridCol w:w="846"/>
      </w:tblGrid>
      <w:tr>
        <w:trPr>
          <w:tblHeader w:val="true"/>
        </w:trPr>
        <w:tc>
          <w:tcPr>
            <w:tcW w:w="124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6.2828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6.2828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252.67</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19,849.7803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(RSUs) issued in lieu of cash dividends on the RSUs held by the reporting person on the payment date. Each RSU is the economic equivalent of one share of Common Stock. A portion of the RSU representing dividends on unvested shares becomes payable in Common Stock and/or cash when the underlying shares vest, or concurrently with the distribution of the underlying shares if the reporting person has so designated. Any remaining RSUs become payable in common stock upon, or at the election of the reporting person in installments beginning upon, the termination of the reporting person's service as a director or such earlier time as the reporting person may have designated.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on file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D. Fisher,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3190" TargetMode="External"/><Relationship Id="rId5" Type="http://schemas.openxmlformats.org/officeDocument/2006/relationships/hyperlink" Target="http://www.sec.gov/cgi-bin/browse-edgar?action=getcompany&amp;CIK=0000866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3744</Characters>
  <CharactersWithSpaces>4366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