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87"/>
          <w:szCs w:val="87"/>
          <w:color w:val="FFFFFF"/>
        </w:rPr>
        <w:t xml:space="preserve">Annual Report </w:t>
      </w:r>
      <w:r>
        <w:rPr>
          <w:rFonts w:ascii="Times New Roman" w:cs="Times New Roman" w:eastAsia="Times New Roman" w:hAnsi="Times New Roman"/>
          <w:sz w:val="87"/>
          <w:szCs w:val="87"/>
          <w:color w:val="FD960B"/>
        </w:rPr>
        <w:t>2023</w:t>
      </w:r>
    </w:p>
    <w:p>
      <w:pPr>
        <w:spacing w:after="0" w:line="266" w:lineRule="exact"/>
        <w:rPr>
          <w:sz w:val="24"/>
          <w:szCs w:val="24"/>
          <w:color w:val="auto"/>
        </w:rPr>
      </w:pPr>
    </w:p>
    <w:p>
      <w:pPr>
        <w:spacing w:after="0"/>
        <w:rPr>
          <w:sz w:val="20"/>
          <w:szCs w:val="20"/>
          <w:color w:val="auto"/>
        </w:rPr>
      </w:pPr>
      <w:r>
        <w:rPr>
          <w:rFonts w:ascii="Arial" w:cs="Arial" w:eastAsia="Arial" w:hAnsi="Arial"/>
          <w:sz w:val="28"/>
          <w:szCs w:val="28"/>
          <w:b w:val="1"/>
          <w:bCs w:val="1"/>
          <w:color w:val="FFFFFF"/>
        </w:rPr>
        <w:t>ESCO Technologies Inc.</w:t>
      </w:r>
    </w:p>
    <w:p>
      <w:pPr>
        <w:sectPr>
          <w:pgSz w:w="12240" w:h="15840" w:orient="portrait"/>
          <w:cols w:equalWidth="0" w:num="1">
            <w:col w:w="9720"/>
          </w:cols>
          <w:pgMar w:left="1080" w:top="1440" w:right="1440" w:bottom="1440" w:gutter="0" w:footer="0" w:header="0"/>
        </w:sectPr>
      </w:pPr>
    </w:p>
    <w:bookmarkStart w:id="1" w:name="page2"/>
    <w:bookmarkEnd w:id="1"/>
    <w:p>
      <w:pPr>
        <w:ind w:left="577"/>
        <w:spacing w:after="0"/>
        <w:rPr>
          <w:sz w:val="20"/>
          <w:szCs w:val="20"/>
          <w:color w:val="auto"/>
        </w:rPr>
      </w:pPr>
      <w:r>
        <w:rPr>
          <w:rFonts w:ascii="Times New Roman" w:cs="Times New Roman" w:eastAsia="Times New Roman" w:hAnsi="Times New Roman"/>
          <w:sz w:val="44"/>
          <w:szCs w:val="4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Financial Highlights from Continuing Operations</w:t>
      </w:r>
      <w:r>
        <w:rPr>
          <w:rFonts w:ascii="Arial" w:cs="Arial" w:eastAsia="Arial" w:hAnsi="Arial"/>
          <w:sz w:val="13"/>
          <w:szCs w:val="13"/>
          <w:color w:val="FFFFFF"/>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577"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r>
              <w:rPr>
                <w:rFonts w:ascii="Arial" w:cs="Arial" w:eastAsia="Arial" w:hAnsi="Arial"/>
                <w:sz w:val="14"/>
                <w:szCs w:val="14"/>
                <w:color w:val="FFFFFF"/>
              </w:rPr>
              <w:t>DOLLARS IN MILLIONS, EXCEPT PER SHARE AMOUNTS</w:t>
            </w:r>
          </w:p>
        </w:tc>
        <w:tc>
          <w:tcPr>
            <w:tcW w:w="1300" w:type="dxa"/>
            <w:vAlign w:val="bottom"/>
          </w:tcPr>
          <w:p>
            <w:pPr>
              <w:jc w:val="right"/>
              <w:ind w:right="200"/>
              <w:spacing w:after="0"/>
              <w:rPr>
                <w:sz w:val="20"/>
                <w:szCs w:val="20"/>
                <w:color w:val="auto"/>
              </w:rPr>
            </w:pPr>
            <w:r>
              <w:rPr>
                <w:rFonts w:ascii="Arial" w:cs="Arial" w:eastAsia="Arial" w:hAnsi="Arial"/>
                <w:sz w:val="20"/>
                <w:szCs w:val="20"/>
                <w:b w:val="1"/>
                <w:bCs w:val="1"/>
                <w:color w:val="FFFFFF"/>
              </w:rPr>
              <w:t>2019</w:t>
            </w:r>
          </w:p>
        </w:tc>
        <w:tc>
          <w:tcPr>
            <w:tcW w:w="1180" w:type="dxa"/>
            <w:vAlign w:val="bottom"/>
          </w:tcPr>
          <w:p>
            <w:pPr>
              <w:jc w:val="right"/>
              <w:ind w:right="220"/>
              <w:spacing w:after="0"/>
              <w:rPr>
                <w:sz w:val="20"/>
                <w:szCs w:val="20"/>
                <w:color w:val="auto"/>
              </w:rPr>
            </w:pPr>
            <w:r>
              <w:rPr>
                <w:rFonts w:ascii="Arial" w:cs="Arial" w:eastAsia="Arial" w:hAnsi="Arial"/>
                <w:sz w:val="20"/>
                <w:szCs w:val="20"/>
                <w:b w:val="1"/>
                <w:bCs w:val="1"/>
                <w:color w:val="FFFFFF"/>
              </w:rPr>
              <w:t>2020</w:t>
            </w:r>
          </w:p>
        </w:tc>
        <w:tc>
          <w:tcPr>
            <w:tcW w:w="1140" w:type="dxa"/>
            <w:vAlign w:val="bottom"/>
          </w:tcPr>
          <w:p>
            <w:pPr>
              <w:jc w:val="right"/>
              <w:ind w:right="200"/>
              <w:spacing w:after="0"/>
              <w:rPr>
                <w:sz w:val="20"/>
                <w:szCs w:val="20"/>
                <w:color w:val="auto"/>
              </w:rPr>
            </w:pPr>
            <w:r>
              <w:rPr>
                <w:rFonts w:ascii="Arial" w:cs="Arial" w:eastAsia="Arial" w:hAnsi="Arial"/>
                <w:sz w:val="20"/>
                <w:szCs w:val="20"/>
                <w:b w:val="1"/>
                <w:bCs w:val="1"/>
                <w:color w:val="FFFFFF"/>
              </w:rPr>
              <w:t>2021</w:t>
            </w:r>
          </w:p>
        </w:tc>
        <w:tc>
          <w:tcPr>
            <w:tcW w:w="1180" w:type="dxa"/>
            <w:vAlign w:val="bottom"/>
          </w:tcPr>
          <w:p>
            <w:pPr>
              <w:jc w:val="right"/>
              <w:ind w:right="220"/>
              <w:spacing w:after="0"/>
              <w:rPr>
                <w:sz w:val="20"/>
                <w:szCs w:val="20"/>
                <w:color w:val="auto"/>
              </w:rPr>
            </w:pPr>
            <w:r>
              <w:rPr>
                <w:rFonts w:ascii="Arial" w:cs="Arial" w:eastAsia="Arial" w:hAnsi="Arial"/>
                <w:sz w:val="20"/>
                <w:szCs w:val="20"/>
                <w:b w:val="1"/>
                <w:bCs w:val="1"/>
                <w:color w:val="FFFFFF"/>
              </w:rPr>
              <w:t>2022</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2023</w:t>
            </w:r>
          </w:p>
        </w:tc>
      </w:tr>
      <w:tr>
        <w:trPr>
          <w:trHeight w:val="396"/>
        </w:trPr>
        <w:tc>
          <w:tcPr>
            <w:tcW w:w="4080" w:type="dxa"/>
            <w:vAlign w:val="bottom"/>
          </w:tcPr>
          <w:p>
            <w:pPr>
              <w:spacing w:after="0"/>
              <w:rPr>
                <w:sz w:val="20"/>
                <w:szCs w:val="20"/>
                <w:color w:val="auto"/>
              </w:rPr>
            </w:pPr>
            <w:r>
              <w:rPr>
                <w:rFonts w:ascii="Arial" w:cs="Arial" w:eastAsia="Arial" w:hAnsi="Arial"/>
                <w:sz w:val="20"/>
                <w:szCs w:val="20"/>
                <w:color w:val="FFFFFF"/>
              </w:rPr>
              <w:t>Net Sales</w:t>
            </w:r>
          </w:p>
        </w:tc>
        <w:tc>
          <w:tcPr>
            <w:tcW w:w="1300" w:type="dxa"/>
            <w:vAlign w:val="bottom"/>
          </w:tcPr>
          <w:p>
            <w:pPr>
              <w:jc w:val="right"/>
              <w:ind w:right="200"/>
              <w:spacing w:after="0"/>
              <w:rPr>
                <w:sz w:val="20"/>
                <w:szCs w:val="20"/>
                <w:color w:val="auto"/>
              </w:rPr>
            </w:pPr>
            <w:r>
              <w:rPr>
                <w:rFonts w:ascii="Arial" w:cs="Arial" w:eastAsia="Arial" w:hAnsi="Arial"/>
                <w:sz w:val="20"/>
                <w:szCs w:val="20"/>
                <w:color w:val="FFFFFF"/>
              </w:rPr>
              <w:t>$ 726</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$ 730</w:t>
            </w:r>
          </w:p>
        </w:tc>
        <w:tc>
          <w:tcPr>
            <w:tcW w:w="1140" w:type="dxa"/>
            <w:vAlign w:val="bottom"/>
          </w:tcPr>
          <w:p>
            <w:pPr>
              <w:jc w:val="right"/>
              <w:ind w:right="200"/>
              <w:spacing w:after="0"/>
              <w:rPr>
                <w:sz w:val="20"/>
                <w:szCs w:val="20"/>
                <w:color w:val="auto"/>
              </w:rPr>
            </w:pPr>
            <w:r>
              <w:rPr>
                <w:rFonts w:ascii="Arial" w:cs="Arial" w:eastAsia="Arial" w:hAnsi="Arial"/>
                <w:sz w:val="20"/>
                <w:szCs w:val="20"/>
                <w:color w:val="FFFFFF"/>
              </w:rPr>
              <w:t>$ 715</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$ 858</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$ 956</w:t>
            </w:r>
          </w:p>
        </w:tc>
      </w:tr>
      <w:tr>
        <w:trPr>
          <w:trHeight w:val="396"/>
        </w:trPr>
        <w:tc>
          <w:tcPr>
            <w:tcW w:w="4080" w:type="dxa"/>
            <w:vAlign w:val="bottom"/>
          </w:tcPr>
          <w:p>
            <w:pPr>
              <w:spacing w:after="0"/>
              <w:rPr>
                <w:sz w:val="20"/>
                <w:szCs w:val="20"/>
                <w:color w:val="auto"/>
              </w:rPr>
            </w:pPr>
            <w:r>
              <w:rPr>
                <w:rFonts w:ascii="Arial" w:cs="Arial" w:eastAsia="Arial" w:hAnsi="Arial"/>
                <w:sz w:val="20"/>
                <w:szCs w:val="20"/>
                <w:color w:val="FFFFFF"/>
              </w:rPr>
              <w:t>Entered Orders</w:t>
            </w:r>
          </w:p>
        </w:tc>
        <w:tc>
          <w:tcPr>
            <w:tcW w:w="1300" w:type="dxa"/>
            <w:vAlign w:val="bottom"/>
          </w:tcPr>
          <w:p>
            <w:pPr>
              <w:jc w:val="right"/>
              <w:ind w:right="200"/>
              <w:spacing w:after="0"/>
              <w:rPr>
                <w:sz w:val="20"/>
                <w:szCs w:val="20"/>
                <w:color w:val="auto"/>
              </w:rPr>
            </w:pPr>
            <w:r>
              <w:rPr>
                <w:rFonts w:ascii="Arial" w:cs="Arial" w:eastAsia="Arial" w:hAnsi="Arial"/>
                <w:sz w:val="20"/>
                <w:szCs w:val="20"/>
                <w:color w:val="FFFFFF"/>
              </w:rPr>
              <w:t>822</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796</w:t>
            </w:r>
          </w:p>
        </w:tc>
        <w:tc>
          <w:tcPr>
            <w:tcW w:w="1140" w:type="dxa"/>
            <w:vAlign w:val="bottom"/>
          </w:tcPr>
          <w:p>
            <w:pPr>
              <w:jc w:val="right"/>
              <w:ind w:right="200"/>
              <w:spacing w:after="0"/>
              <w:rPr>
                <w:sz w:val="20"/>
                <w:szCs w:val="20"/>
                <w:color w:val="auto"/>
              </w:rPr>
            </w:pPr>
            <w:r>
              <w:rPr>
                <w:rFonts w:ascii="Arial" w:cs="Arial" w:eastAsia="Arial" w:hAnsi="Arial"/>
                <w:sz w:val="20"/>
                <w:szCs w:val="20"/>
                <w:color w:val="FFFFFF"/>
              </w:rPr>
              <w:t>796</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961</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1,033</w:t>
            </w:r>
          </w:p>
        </w:tc>
      </w:tr>
      <w:tr>
        <w:trPr>
          <w:trHeight w:val="396"/>
        </w:trPr>
        <w:tc>
          <w:tcPr>
            <w:tcW w:w="4080" w:type="dxa"/>
            <w:vAlign w:val="bottom"/>
          </w:tcPr>
          <w:p>
            <w:pPr>
              <w:spacing w:after="0"/>
              <w:rPr>
                <w:sz w:val="20"/>
                <w:szCs w:val="20"/>
                <w:color w:val="auto"/>
              </w:rPr>
            </w:pPr>
            <w:r>
              <w:rPr>
                <w:rFonts w:ascii="Arial" w:cs="Arial" w:eastAsia="Arial" w:hAnsi="Arial"/>
                <w:sz w:val="20"/>
                <w:szCs w:val="20"/>
                <w:color w:val="FFFFFF"/>
              </w:rPr>
              <w:t>Earnings Per Share – GAAP</w:t>
            </w:r>
          </w:p>
        </w:tc>
        <w:tc>
          <w:tcPr>
            <w:tcW w:w="1300" w:type="dxa"/>
            <w:vAlign w:val="bottom"/>
          </w:tcPr>
          <w:p>
            <w:pPr>
              <w:jc w:val="right"/>
              <w:ind w:right="200"/>
              <w:spacing w:after="0"/>
              <w:rPr>
                <w:sz w:val="20"/>
                <w:szCs w:val="20"/>
                <w:color w:val="auto"/>
              </w:rPr>
            </w:pPr>
            <w:r>
              <w:rPr>
                <w:rFonts w:ascii="Arial" w:cs="Arial" w:eastAsia="Arial" w:hAnsi="Arial"/>
                <w:sz w:val="20"/>
                <w:szCs w:val="20"/>
                <w:color w:val="FFFFFF"/>
              </w:rPr>
              <w:t>2.97</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0.88</w:t>
            </w:r>
          </w:p>
        </w:tc>
        <w:tc>
          <w:tcPr>
            <w:tcW w:w="1140" w:type="dxa"/>
            <w:vAlign w:val="bottom"/>
          </w:tcPr>
          <w:p>
            <w:pPr>
              <w:jc w:val="right"/>
              <w:ind w:right="200"/>
              <w:spacing w:after="0"/>
              <w:rPr>
                <w:sz w:val="20"/>
                <w:szCs w:val="20"/>
                <w:color w:val="auto"/>
              </w:rPr>
            </w:pPr>
            <w:r>
              <w:rPr>
                <w:rFonts w:ascii="Arial" w:cs="Arial" w:eastAsia="Arial" w:hAnsi="Arial"/>
                <w:sz w:val="20"/>
                <w:szCs w:val="20"/>
                <w:color w:val="FFFFFF"/>
              </w:rPr>
              <w:t>2.42</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3.16</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3.58</w:t>
            </w:r>
          </w:p>
        </w:tc>
      </w:tr>
      <w:tr>
        <w:trPr>
          <w:trHeight w:val="396"/>
        </w:trPr>
        <w:tc>
          <w:tcPr>
            <w:tcW w:w="4080" w:type="dxa"/>
            <w:vAlign w:val="bottom"/>
          </w:tcPr>
          <w:p>
            <w:pPr>
              <w:spacing w:after="0"/>
              <w:rPr>
                <w:sz w:val="20"/>
                <w:szCs w:val="20"/>
                <w:color w:val="auto"/>
              </w:rPr>
            </w:pPr>
            <w:r>
              <w:rPr>
                <w:rFonts w:ascii="Arial" w:cs="Arial" w:eastAsia="Arial" w:hAnsi="Arial"/>
                <w:sz w:val="20"/>
                <w:szCs w:val="20"/>
                <w:color w:val="FFFFFF"/>
              </w:rPr>
              <w:t>Earnings Per Share – As Adjusted</w:t>
            </w:r>
            <w:r>
              <w:rPr>
                <w:rFonts w:ascii="Arial" w:cs="Arial" w:eastAsia="Arial" w:hAnsi="Arial"/>
                <w:sz w:val="11"/>
                <w:szCs w:val="11"/>
                <w:color w:val="FFFFFF"/>
              </w:rPr>
              <w:t>(2)</w:t>
            </w:r>
          </w:p>
        </w:tc>
        <w:tc>
          <w:tcPr>
            <w:tcW w:w="1300" w:type="dxa"/>
            <w:vAlign w:val="bottom"/>
          </w:tcPr>
          <w:p>
            <w:pPr>
              <w:jc w:val="right"/>
              <w:ind w:right="200"/>
              <w:spacing w:after="0"/>
              <w:rPr>
                <w:sz w:val="20"/>
                <w:szCs w:val="20"/>
                <w:color w:val="auto"/>
              </w:rPr>
            </w:pPr>
            <w:r>
              <w:rPr>
                <w:rFonts w:ascii="Arial" w:cs="Arial" w:eastAsia="Arial" w:hAnsi="Arial"/>
                <w:sz w:val="20"/>
                <w:szCs w:val="20"/>
                <w:color w:val="FFFFFF"/>
              </w:rPr>
              <w:t>2.95</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2.67</w:t>
            </w:r>
          </w:p>
        </w:tc>
        <w:tc>
          <w:tcPr>
            <w:tcW w:w="1140" w:type="dxa"/>
            <w:vAlign w:val="bottom"/>
          </w:tcPr>
          <w:p>
            <w:pPr>
              <w:jc w:val="right"/>
              <w:ind w:right="200"/>
              <w:spacing w:after="0"/>
              <w:rPr>
                <w:sz w:val="20"/>
                <w:szCs w:val="20"/>
                <w:color w:val="auto"/>
              </w:rPr>
            </w:pPr>
            <w:r>
              <w:rPr>
                <w:rFonts w:ascii="Arial" w:cs="Arial" w:eastAsia="Arial" w:hAnsi="Arial"/>
                <w:sz w:val="20"/>
                <w:szCs w:val="20"/>
                <w:color w:val="FFFFFF"/>
              </w:rPr>
              <w:t>2.59</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3.21</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3.70</w:t>
            </w:r>
          </w:p>
        </w:tc>
      </w:tr>
      <w:tr>
        <w:trPr>
          <w:trHeight w:val="793"/>
        </w:trPr>
        <w:tc>
          <w:tcPr>
            <w:tcW w:w="4080" w:type="dxa"/>
            <w:vAlign w:val="bottom"/>
          </w:tcPr>
          <w:p>
            <w:pPr>
              <w:spacing w:after="0"/>
              <w:rPr>
                <w:sz w:val="20"/>
                <w:szCs w:val="20"/>
                <w:color w:val="auto"/>
              </w:rPr>
            </w:pPr>
            <w:r>
              <w:rPr>
                <w:rFonts w:ascii="Arial" w:cs="Arial" w:eastAsia="Arial" w:hAnsi="Arial"/>
                <w:sz w:val="20"/>
                <w:szCs w:val="20"/>
                <w:b w:val="1"/>
                <w:bCs w:val="1"/>
                <w:color w:val="FFFFFF"/>
              </w:rPr>
              <w:t xml:space="preserve">Capital Performance </w:t>
            </w:r>
            <w:r>
              <w:rPr>
                <w:rFonts w:ascii="Arial" w:cs="Arial" w:eastAsia="Arial" w:hAnsi="Arial"/>
                <w:sz w:val="20"/>
                <w:szCs w:val="20"/>
                <w:color w:val="FFFFFF"/>
              </w:rPr>
              <w:t>(As of September 30)</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6"/>
        </w:trPr>
        <w:tc>
          <w:tcPr>
            <w:tcW w:w="4080" w:type="dxa"/>
            <w:vAlign w:val="bottom"/>
          </w:tcPr>
          <w:p>
            <w:pPr>
              <w:spacing w:after="0"/>
              <w:rPr>
                <w:sz w:val="20"/>
                <w:szCs w:val="20"/>
                <w:color w:val="auto"/>
              </w:rPr>
            </w:pPr>
            <w:r>
              <w:rPr>
                <w:rFonts w:ascii="Arial" w:cs="Arial" w:eastAsia="Arial" w:hAnsi="Arial"/>
                <w:sz w:val="20"/>
                <w:szCs w:val="20"/>
                <w:color w:val="FFFFFF"/>
              </w:rPr>
              <w:t>Net Debt</w:t>
            </w:r>
          </w:p>
        </w:tc>
        <w:tc>
          <w:tcPr>
            <w:tcW w:w="1300" w:type="dxa"/>
            <w:vAlign w:val="bottom"/>
          </w:tcPr>
          <w:p>
            <w:pPr>
              <w:jc w:val="right"/>
              <w:ind w:right="200"/>
              <w:spacing w:after="0"/>
              <w:rPr>
                <w:sz w:val="20"/>
                <w:szCs w:val="20"/>
                <w:color w:val="auto"/>
              </w:rPr>
            </w:pPr>
            <w:r>
              <w:rPr>
                <w:rFonts w:ascii="Arial" w:cs="Arial" w:eastAsia="Arial" w:hAnsi="Arial"/>
                <w:sz w:val="20"/>
                <w:szCs w:val="20"/>
                <w:color w:val="FFFFFF"/>
              </w:rPr>
              <w:t>$ 223</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$ 10</w:t>
            </w:r>
          </w:p>
        </w:tc>
        <w:tc>
          <w:tcPr>
            <w:tcW w:w="1140" w:type="dxa"/>
            <w:vAlign w:val="bottom"/>
          </w:tcPr>
          <w:p>
            <w:pPr>
              <w:jc w:val="right"/>
              <w:ind w:right="200"/>
              <w:spacing w:after="0"/>
              <w:rPr>
                <w:sz w:val="20"/>
                <w:szCs w:val="20"/>
                <w:color w:val="auto"/>
              </w:rPr>
            </w:pPr>
            <w:r>
              <w:rPr>
                <w:rFonts w:ascii="Arial" w:cs="Arial" w:eastAsia="Arial" w:hAnsi="Arial"/>
                <w:sz w:val="20"/>
                <w:szCs w:val="20"/>
                <w:color w:val="FFFFFF"/>
              </w:rPr>
              <w:t>$ 98</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$ 55</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$ 60</w:t>
            </w:r>
          </w:p>
        </w:tc>
      </w:tr>
      <w:tr>
        <w:trPr>
          <w:trHeight w:val="396"/>
        </w:trPr>
        <w:tc>
          <w:tcPr>
            <w:tcW w:w="4080" w:type="dxa"/>
            <w:vAlign w:val="bottom"/>
          </w:tcPr>
          <w:p>
            <w:pPr>
              <w:spacing w:after="0"/>
              <w:rPr>
                <w:sz w:val="20"/>
                <w:szCs w:val="20"/>
                <w:color w:val="auto"/>
              </w:rPr>
            </w:pPr>
            <w:r>
              <w:rPr>
                <w:rFonts w:ascii="Arial" w:cs="Arial" w:eastAsia="Arial" w:hAnsi="Arial"/>
                <w:sz w:val="20"/>
                <w:szCs w:val="20"/>
                <w:color w:val="FFFFFF"/>
              </w:rPr>
              <w:t>Leverage Ratio</w:t>
            </w:r>
          </w:p>
        </w:tc>
        <w:tc>
          <w:tcPr>
            <w:tcW w:w="1300" w:type="dxa"/>
            <w:vAlign w:val="bottom"/>
          </w:tcPr>
          <w:p>
            <w:pPr>
              <w:jc w:val="right"/>
              <w:ind w:right="200"/>
              <w:spacing w:after="0"/>
              <w:rPr>
                <w:sz w:val="20"/>
                <w:szCs w:val="20"/>
                <w:color w:val="auto"/>
              </w:rPr>
            </w:pPr>
            <w:r>
              <w:rPr>
                <w:rFonts w:ascii="Arial" w:cs="Arial" w:eastAsia="Arial" w:hAnsi="Arial"/>
                <w:sz w:val="20"/>
                <w:szCs w:val="20"/>
                <w:color w:val="FFFFFF"/>
              </w:rPr>
              <w:t>1.68</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0.47</w:t>
            </w:r>
          </w:p>
        </w:tc>
        <w:tc>
          <w:tcPr>
            <w:tcW w:w="1140" w:type="dxa"/>
            <w:vAlign w:val="bottom"/>
          </w:tcPr>
          <w:p>
            <w:pPr>
              <w:jc w:val="right"/>
              <w:ind w:right="200"/>
              <w:spacing w:after="0"/>
              <w:rPr>
                <w:sz w:val="20"/>
                <w:szCs w:val="20"/>
                <w:color w:val="auto"/>
              </w:rPr>
            </w:pPr>
            <w:r>
              <w:rPr>
                <w:rFonts w:ascii="Arial" w:cs="Arial" w:eastAsia="Arial" w:hAnsi="Arial"/>
                <w:sz w:val="20"/>
                <w:szCs w:val="20"/>
                <w:color w:val="FFFFFF"/>
              </w:rPr>
              <w:t>1.03</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0.78</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0.54</w:t>
            </w:r>
          </w:p>
        </w:tc>
      </w:tr>
      <w:tr>
        <w:trPr>
          <w:trHeight w:val="396"/>
        </w:trPr>
        <w:tc>
          <w:tcPr>
            <w:tcW w:w="4080" w:type="dxa"/>
            <w:vAlign w:val="bottom"/>
          </w:tcPr>
          <w:p>
            <w:pPr>
              <w:spacing w:after="0"/>
              <w:rPr>
                <w:sz w:val="20"/>
                <w:szCs w:val="20"/>
                <w:color w:val="auto"/>
              </w:rPr>
            </w:pPr>
            <w:r>
              <w:rPr>
                <w:rFonts w:ascii="Arial" w:cs="Arial" w:eastAsia="Arial" w:hAnsi="Arial"/>
                <w:sz w:val="20"/>
                <w:szCs w:val="20"/>
                <w:color w:val="FFFFFF"/>
              </w:rPr>
              <w:t>Cash Flow from Operating Activities</w:t>
            </w:r>
          </w:p>
        </w:tc>
        <w:tc>
          <w:tcPr>
            <w:tcW w:w="1300" w:type="dxa"/>
            <w:vAlign w:val="bottom"/>
          </w:tcPr>
          <w:p>
            <w:pPr>
              <w:jc w:val="right"/>
              <w:ind w:right="200"/>
              <w:spacing w:after="0"/>
              <w:rPr>
                <w:sz w:val="20"/>
                <w:szCs w:val="20"/>
                <w:color w:val="auto"/>
              </w:rPr>
            </w:pPr>
            <w:r>
              <w:rPr>
                <w:rFonts w:ascii="Arial" w:cs="Arial" w:eastAsia="Arial" w:hAnsi="Arial"/>
                <w:sz w:val="20"/>
                <w:szCs w:val="20"/>
                <w:color w:val="FFFFFF"/>
              </w:rPr>
              <w:t>101</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109</w:t>
            </w:r>
          </w:p>
        </w:tc>
        <w:tc>
          <w:tcPr>
            <w:tcW w:w="1140" w:type="dxa"/>
            <w:vAlign w:val="bottom"/>
          </w:tcPr>
          <w:p>
            <w:pPr>
              <w:jc w:val="right"/>
              <w:ind w:right="200"/>
              <w:spacing w:after="0"/>
              <w:rPr>
                <w:sz w:val="20"/>
                <w:szCs w:val="20"/>
                <w:color w:val="auto"/>
              </w:rPr>
            </w:pPr>
            <w:r>
              <w:rPr>
                <w:rFonts w:ascii="Arial" w:cs="Arial" w:eastAsia="Arial" w:hAnsi="Arial"/>
                <w:sz w:val="20"/>
                <w:szCs w:val="20"/>
                <w:color w:val="FFFFFF"/>
              </w:rPr>
              <w:t>123</w:t>
            </w:r>
          </w:p>
        </w:tc>
        <w:tc>
          <w:tcPr>
            <w:tcW w:w="1180" w:type="dxa"/>
            <w:vAlign w:val="bottom"/>
          </w:tcPr>
          <w:p>
            <w:pPr>
              <w:jc w:val="right"/>
              <w:ind w:right="220"/>
              <w:spacing w:after="0"/>
              <w:rPr>
                <w:sz w:val="20"/>
                <w:szCs w:val="20"/>
                <w:color w:val="auto"/>
              </w:rPr>
            </w:pPr>
            <w:r>
              <w:rPr>
                <w:rFonts w:ascii="Arial" w:cs="Arial" w:eastAsia="Arial" w:hAnsi="Arial"/>
                <w:sz w:val="20"/>
                <w:szCs w:val="20"/>
                <w:color w:val="FFFFFF"/>
              </w:rPr>
              <w:t>135</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FFFFFF"/>
              </w:rPr>
              <w:t>77</w:t>
            </w:r>
          </w:p>
        </w:tc>
      </w:tr>
    </w:tbl>
    <w:p>
      <w:pPr>
        <w:spacing w:after="0" w:line="200" w:lineRule="exact"/>
        <w:rPr>
          <w:sz w:val="20"/>
          <w:szCs w:val="20"/>
          <w:color w:val="auto"/>
        </w:rPr>
      </w:pPr>
    </w:p>
    <w:p>
      <w:pPr>
        <w:sectPr>
          <w:pgSz w:w="12240" w:h="15840" w:orient="portrait"/>
          <w:cols w:equalWidth="0" w:num="1">
            <w:col w:w="10337"/>
          </w:cols>
          <w:pgMar w:left="503" w:top="911"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360"/>
        </w:trPr>
        <w:tc>
          <w:tcPr>
            <w:tcW w:w="138" w:type="dxa"/>
            <w:vAlign w:val="bottom"/>
            <w:textDirection w:val="btLr"/>
          </w:tcPr>
          <w:p>
            <w:pPr>
              <w:spacing w:after="0"/>
              <w:rPr>
                <w:sz w:val="20"/>
                <w:szCs w:val="20"/>
                <w:color w:val="auto"/>
              </w:rPr>
            </w:pPr>
            <w:r>
              <w:rPr>
                <w:rFonts w:ascii="Arial" w:cs="Arial" w:eastAsia="Arial" w:hAnsi="Arial"/>
                <w:sz w:val="12"/>
                <w:szCs w:val="12"/>
                <w:color w:val="FFFFFF"/>
              </w:rPr>
              <w:t>COURTESY NAVY.MIL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hanging="340"/>
        <w:spacing w:after="0"/>
        <w:tabs>
          <w:tab w:leader="none" w:pos="340" w:val="left"/>
        </w:tabs>
        <w:numPr>
          <w:ilvl w:val="0"/>
          <w:numId w:val="1"/>
        </w:numPr>
        <w:rPr>
          <w:rFonts w:ascii="Times New Roman" w:cs="Times New Roman" w:eastAsia="Times New Roman" w:hAnsi="Times New Roman"/>
          <w:sz w:val="19"/>
          <w:szCs w:val="19"/>
          <w:i w:val="1"/>
          <w:iCs w:val="1"/>
          <w:color w:val="262626"/>
        </w:rPr>
      </w:pPr>
      <w:r>
        <w:rPr>
          <w:rFonts w:ascii="Arial" w:cs="Arial" w:eastAsia="Arial" w:hAnsi="Arial"/>
          <w:sz w:val="14"/>
          <w:szCs w:val="14"/>
          <w:b w:val="1"/>
          <w:bCs w:val="1"/>
          <w:color w:val="262626"/>
        </w:rPr>
        <w:t>ESCO Technologies</w:t>
      </w:r>
    </w:p>
    <w:p>
      <w:pPr>
        <w:sectPr>
          <w:pgSz w:w="12240" w:h="15840" w:orient="portrait"/>
          <w:cols w:equalWidth="0" w:num="2">
            <w:col w:w="138" w:space="439"/>
            <w:col w:w="9760"/>
          </w:cols>
          <w:pgMar w:left="503" w:top="911" w:right="140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2360" w:type="dxa"/>
            <w:vAlign w:val="bottom"/>
          </w:tcPr>
          <w:p>
            <w:pPr>
              <w:spacing w:after="0"/>
              <w:rPr>
                <w:sz w:val="20"/>
                <w:szCs w:val="20"/>
                <w:color w:val="auto"/>
              </w:rPr>
            </w:pPr>
            <w:r>
              <w:rPr>
                <w:rFonts w:ascii="Arial" w:cs="Arial" w:eastAsia="Arial" w:hAnsi="Arial"/>
                <w:sz w:val="24"/>
                <w:szCs w:val="24"/>
                <w:b w:val="1"/>
                <w:bCs w:val="1"/>
                <w:color w:val="FFFFFF"/>
              </w:rPr>
              <w:t>Net Sales</w:t>
            </w:r>
          </w:p>
        </w:tc>
        <w:tc>
          <w:tcPr>
            <w:tcW w:w="4220" w:type="dxa"/>
            <w:vAlign w:val="bottom"/>
          </w:tcPr>
          <w:p>
            <w:pPr>
              <w:ind w:left="1380"/>
              <w:spacing w:after="0"/>
              <w:rPr>
                <w:sz w:val="20"/>
                <w:szCs w:val="20"/>
                <w:color w:val="auto"/>
              </w:rPr>
            </w:pPr>
            <w:r>
              <w:rPr>
                <w:rFonts w:ascii="Arial" w:cs="Arial" w:eastAsia="Arial" w:hAnsi="Arial"/>
                <w:sz w:val="24"/>
                <w:szCs w:val="24"/>
                <w:b w:val="1"/>
                <w:bCs w:val="1"/>
                <w:color w:val="FFFFFF"/>
              </w:rPr>
              <w:t>Earnings Per Share</w:t>
            </w:r>
          </w:p>
        </w:tc>
        <w:tc>
          <w:tcPr>
            <w:tcW w:w="2480" w:type="dxa"/>
            <w:vAlign w:val="bottom"/>
          </w:tcPr>
          <w:p>
            <w:pPr>
              <w:ind w:left="900"/>
              <w:spacing w:after="0"/>
              <w:rPr>
                <w:sz w:val="20"/>
                <w:szCs w:val="20"/>
                <w:color w:val="auto"/>
              </w:rPr>
            </w:pPr>
            <w:r>
              <w:rPr>
                <w:rFonts w:ascii="Arial" w:cs="Arial" w:eastAsia="Arial" w:hAnsi="Arial"/>
                <w:sz w:val="24"/>
                <w:szCs w:val="24"/>
                <w:b w:val="1"/>
                <w:bCs w:val="1"/>
                <w:color w:val="FFFFFF"/>
                <w:w w:val="85"/>
              </w:rPr>
              <w:t>Ending Backlog</w:t>
            </w:r>
          </w:p>
        </w:tc>
      </w:tr>
      <w:tr>
        <w:trPr>
          <w:trHeight w:val="288"/>
        </w:trPr>
        <w:tc>
          <w:tcPr>
            <w:tcW w:w="2360" w:type="dxa"/>
            <w:vAlign w:val="bottom"/>
          </w:tcPr>
          <w:p>
            <w:pPr>
              <w:spacing w:after="0"/>
              <w:rPr>
                <w:sz w:val="20"/>
                <w:szCs w:val="20"/>
                <w:color w:val="auto"/>
              </w:rPr>
            </w:pPr>
            <w:r>
              <w:rPr>
                <w:rFonts w:ascii="Arial" w:cs="Arial" w:eastAsia="Arial" w:hAnsi="Arial"/>
                <w:sz w:val="14"/>
                <w:szCs w:val="14"/>
                <w:color w:val="FFFFFF"/>
              </w:rPr>
              <w:t>IN MILLIONS</w:t>
            </w:r>
          </w:p>
        </w:tc>
        <w:tc>
          <w:tcPr>
            <w:tcW w:w="4220" w:type="dxa"/>
            <w:vAlign w:val="bottom"/>
          </w:tcPr>
          <w:p>
            <w:pPr>
              <w:ind w:left="1380"/>
              <w:spacing w:after="0"/>
              <w:rPr>
                <w:sz w:val="20"/>
                <w:szCs w:val="20"/>
                <w:color w:val="auto"/>
              </w:rPr>
            </w:pPr>
            <w:r>
              <w:rPr>
                <w:rFonts w:ascii="Arial" w:cs="Arial" w:eastAsia="Arial" w:hAnsi="Arial"/>
                <w:sz w:val="24"/>
                <w:szCs w:val="24"/>
                <w:b w:val="1"/>
                <w:bCs w:val="1"/>
                <w:color w:val="FFFFFF"/>
              </w:rPr>
              <w:t>– As Adjusted</w:t>
            </w:r>
            <w:r>
              <w:rPr>
                <w:rFonts w:ascii="Arial" w:cs="Arial" w:eastAsia="Arial" w:hAnsi="Arial"/>
                <w:sz w:val="13"/>
                <w:szCs w:val="13"/>
                <w:b w:val="1"/>
                <w:bCs w:val="1"/>
                <w:color w:val="FFFFFF"/>
              </w:rPr>
              <w:t>(2)</w:t>
            </w:r>
          </w:p>
        </w:tc>
        <w:tc>
          <w:tcPr>
            <w:tcW w:w="2480" w:type="dxa"/>
            <w:vAlign w:val="bottom"/>
          </w:tcPr>
          <w:p>
            <w:pPr>
              <w:ind w:left="900"/>
              <w:spacing w:after="0"/>
              <w:rPr>
                <w:sz w:val="20"/>
                <w:szCs w:val="20"/>
                <w:color w:val="auto"/>
              </w:rPr>
            </w:pPr>
            <w:r>
              <w:rPr>
                <w:rFonts w:ascii="Arial" w:cs="Arial" w:eastAsia="Arial" w:hAnsi="Arial"/>
                <w:sz w:val="14"/>
                <w:szCs w:val="14"/>
                <w:color w:val="FFFFFF"/>
              </w:rPr>
              <w:t>IN MILLIONS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448"/>
        </w:trPr>
        <w:tc>
          <w:tcPr>
            <w:tcW w:w="400" w:type="dxa"/>
            <w:vAlign w:val="bottom"/>
            <w:textDirection w:val="btLr"/>
          </w:tcPr>
          <w:p>
            <w:pPr>
              <w:ind w:right="69"/>
              <w:spacing w:after="0"/>
              <w:rPr>
                <w:sz w:val="20"/>
                <w:szCs w:val="20"/>
                <w:color w:val="auto"/>
              </w:rPr>
            </w:pPr>
            <w:r>
              <w:rPr>
                <w:rFonts w:ascii="Arial" w:cs="Arial" w:eastAsia="Arial" w:hAnsi="Arial"/>
                <w:sz w:val="17"/>
                <w:szCs w:val="17"/>
                <w:b w:val="1"/>
                <w:bCs w:val="1"/>
                <w:color w:val="FFFFFF"/>
              </w:rPr>
              <w:t>$726</w:t>
            </w:r>
          </w:p>
        </w:tc>
        <w:tc>
          <w:tcPr>
            <w:tcW w:w="500" w:type="dxa"/>
            <w:vAlign w:val="bottom"/>
            <w:textDirection w:val="btLr"/>
          </w:tcPr>
          <w:p>
            <w:pPr>
              <w:ind w:right="86"/>
              <w:spacing w:after="0"/>
              <w:rPr>
                <w:sz w:val="20"/>
                <w:szCs w:val="20"/>
                <w:color w:val="auto"/>
              </w:rPr>
            </w:pPr>
            <w:r>
              <w:rPr>
                <w:rFonts w:ascii="Arial" w:cs="Arial" w:eastAsia="Arial" w:hAnsi="Arial"/>
                <w:sz w:val="17"/>
                <w:szCs w:val="17"/>
                <w:b w:val="1"/>
                <w:bCs w:val="1"/>
                <w:color w:val="FFFFFF"/>
              </w:rPr>
              <w:t>$730</w:t>
            </w:r>
          </w:p>
        </w:tc>
        <w:tc>
          <w:tcPr>
            <w:tcW w:w="480" w:type="dxa"/>
            <w:vAlign w:val="bottom"/>
            <w:textDirection w:val="btLr"/>
          </w:tcPr>
          <w:p>
            <w:pPr>
              <w:ind w:right="83"/>
              <w:spacing w:after="0"/>
              <w:rPr>
                <w:sz w:val="20"/>
                <w:szCs w:val="20"/>
                <w:color w:val="auto"/>
              </w:rPr>
            </w:pPr>
            <w:r>
              <w:rPr>
                <w:rFonts w:ascii="Arial" w:cs="Arial" w:eastAsia="Arial" w:hAnsi="Arial"/>
                <w:sz w:val="17"/>
                <w:szCs w:val="17"/>
                <w:b w:val="1"/>
                <w:bCs w:val="1"/>
                <w:color w:val="FFFFFF"/>
              </w:rPr>
              <w:t>$715</w:t>
            </w:r>
          </w:p>
        </w:tc>
        <w:tc>
          <w:tcPr>
            <w:tcW w:w="480" w:type="dxa"/>
            <w:vAlign w:val="bottom"/>
            <w:textDirection w:val="btLr"/>
          </w:tcPr>
          <w:p>
            <w:pPr>
              <w:ind w:right="80"/>
              <w:spacing w:after="0"/>
              <w:rPr>
                <w:sz w:val="20"/>
                <w:szCs w:val="20"/>
                <w:color w:val="auto"/>
              </w:rPr>
            </w:pPr>
            <w:r>
              <w:rPr>
                <w:rFonts w:ascii="Arial" w:cs="Arial" w:eastAsia="Arial" w:hAnsi="Arial"/>
                <w:sz w:val="17"/>
                <w:szCs w:val="17"/>
                <w:b w:val="1"/>
                <w:bCs w:val="1"/>
                <w:color w:val="FFFFFF"/>
              </w:rPr>
              <w:t>$858</w:t>
            </w:r>
          </w:p>
        </w:tc>
        <w:tc>
          <w:tcPr>
            <w:tcW w:w="1140" w:type="dxa"/>
            <w:vAlign w:val="bottom"/>
            <w:textDirection w:val="btLr"/>
          </w:tcPr>
          <w:p>
            <w:pPr>
              <w:ind w:right="737"/>
              <w:spacing w:after="0"/>
              <w:rPr>
                <w:sz w:val="20"/>
                <w:szCs w:val="20"/>
                <w:color w:val="auto"/>
              </w:rPr>
            </w:pPr>
            <w:r>
              <w:rPr>
                <w:rFonts w:ascii="Arial" w:cs="Arial" w:eastAsia="Arial" w:hAnsi="Arial"/>
                <w:sz w:val="17"/>
                <w:szCs w:val="17"/>
                <w:b w:val="1"/>
                <w:bCs w:val="1"/>
                <w:color w:val="FFFFFF"/>
              </w:rPr>
              <w:t>$956</w:t>
            </w:r>
          </w:p>
        </w:tc>
        <w:tc>
          <w:tcPr>
            <w:tcW w:w="1140" w:type="dxa"/>
            <w:vAlign w:val="bottom"/>
            <w:textDirection w:val="btLr"/>
          </w:tcPr>
          <w:p>
            <w:pPr>
              <w:ind w:right="74"/>
              <w:spacing w:after="0"/>
              <w:rPr>
                <w:sz w:val="20"/>
                <w:szCs w:val="20"/>
                <w:color w:val="auto"/>
              </w:rPr>
            </w:pPr>
            <w:r>
              <w:rPr>
                <w:rFonts w:ascii="Arial" w:cs="Arial" w:eastAsia="Arial" w:hAnsi="Arial"/>
                <w:sz w:val="17"/>
                <w:szCs w:val="17"/>
                <w:b w:val="1"/>
                <w:bCs w:val="1"/>
                <w:color w:val="FFFFFF"/>
              </w:rPr>
              <w:t>95$2.</w:t>
            </w:r>
          </w:p>
        </w:tc>
        <w:tc>
          <w:tcPr>
            <w:tcW w:w="480" w:type="dxa"/>
            <w:vAlign w:val="bottom"/>
            <w:textDirection w:val="btLr"/>
          </w:tcPr>
          <w:p>
            <w:pPr>
              <w:ind w:right="71"/>
              <w:spacing w:after="0"/>
              <w:rPr>
                <w:sz w:val="20"/>
                <w:szCs w:val="20"/>
                <w:color w:val="auto"/>
              </w:rPr>
            </w:pPr>
            <w:r>
              <w:rPr>
                <w:rFonts w:ascii="Arial" w:cs="Arial" w:eastAsia="Arial" w:hAnsi="Arial"/>
                <w:sz w:val="17"/>
                <w:szCs w:val="17"/>
                <w:b w:val="1"/>
                <w:bCs w:val="1"/>
                <w:color w:val="FFFFFF"/>
              </w:rPr>
              <w:t>67$2.</w:t>
            </w:r>
          </w:p>
        </w:tc>
        <w:tc>
          <w:tcPr>
            <w:tcW w:w="480" w:type="dxa"/>
            <w:vAlign w:val="bottom"/>
            <w:textDirection w:val="btLr"/>
          </w:tcPr>
          <w:p>
            <w:pPr>
              <w:ind w:right="68"/>
              <w:spacing w:after="0"/>
              <w:rPr>
                <w:sz w:val="20"/>
                <w:szCs w:val="20"/>
                <w:color w:val="auto"/>
              </w:rPr>
            </w:pPr>
            <w:r>
              <w:rPr>
                <w:rFonts w:ascii="Arial" w:cs="Arial" w:eastAsia="Arial" w:hAnsi="Arial"/>
                <w:sz w:val="17"/>
                <w:szCs w:val="17"/>
                <w:b w:val="1"/>
                <w:bCs w:val="1"/>
                <w:color w:val="FFFFFF"/>
              </w:rPr>
              <w:t>59$2.</w:t>
            </w:r>
          </w:p>
        </w:tc>
        <w:tc>
          <w:tcPr>
            <w:tcW w:w="500" w:type="dxa"/>
            <w:vAlign w:val="bottom"/>
            <w:textDirection w:val="btLr"/>
          </w:tcPr>
          <w:p>
            <w:pPr>
              <w:ind w:right="85"/>
              <w:spacing w:after="0"/>
              <w:rPr>
                <w:sz w:val="20"/>
                <w:szCs w:val="20"/>
                <w:color w:val="auto"/>
              </w:rPr>
            </w:pPr>
            <w:r>
              <w:rPr>
                <w:rFonts w:ascii="Arial" w:cs="Arial" w:eastAsia="Arial" w:hAnsi="Arial"/>
                <w:sz w:val="17"/>
                <w:szCs w:val="17"/>
                <w:b w:val="1"/>
                <w:bCs w:val="1"/>
                <w:color w:val="FFFFFF"/>
              </w:rPr>
              <w:t>21$3.</w:t>
            </w:r>
          </w:p>
        </w:tc>
        <w:tc>
          <w:tcPr>
            <w:tcW w:w="1140" w:type="dxa"/>
            <w:vAlign w:val="bottom"/>
            <w:textDirection w:val="btLr"/>
          </w:tcPr>
          <w:p>
            <w:pPr>
              <w:ind w:right="742"/>
              <w:spacing w:after="0"/>
              <w:rPr>
                <w:sz w:val="20"/>
                <w:szCs w:val="20"/>
                <w:color w:val="auto"/>
              </w:rPr>
            </w:pPr>
            <w:r>
              <w:rPr>
                <w:rFonts w:ascii="Arial" w:cs="Arial" w:eastAsia="Arial" w:hAnsi="Arial"/>
                <w:sz w:val="17"/>
                <w:szCs w:val="17"/>
                <w:b w:val="1"/>
                <w:bCs w:val="1"/>
                <w:color w:val="FFFFFF"/>
              </w:rPr>
              <w:t>70$3.</w:t>
            </w:r>
          </w:p>
        </w:tc>
        <w:tc>
          <w:tcPr>
            <w:tcW w:w="1140" w:type="dxa"/>
            <w:vAlign w:val="bottom"/>
            <w:textDirection w:val="btLr"/>
          </w:tcPr>
          <w:p>
            <w:pPr>
              <w:ind w:right="79"/>
              <w:spacing w:after="0"/>
              <w:rPr>
                <w:sz w:val="20"/>
                <w:szCs w:val="20"/>
                <w:color w:val="auto"/>
              </w:rPr>
            </w:pPr>
            <w:r>
              <w:rPr>
                <w:rFonts w:ascii="Arial" w:cs="Arial" w:eastAsia="Arial" w:hAnsi="Arial"/>
                <w:sz w:val="17"/>
                <w:szCs w:val="17"/>
                <w:b w:val="1"/>
                <w:bCs w:val="1"/>
                <w:color w:val="FFFFFF"/>
              </w:rPr>
              <w:t>$445</w:t>
            </w:r>
          </w:p>
        </w:tc>
        <w:tc>
          <w:tcPr>
            <w:tcW w:w="480" w:type="dxa"/>
            <w:vAlign w:val="bottom"/>
            <w:textDirection w:val="btLr"/>
          </w:tcPr>
          <w:p>
            <w:pPr>
              <w:ind w:right="76"/>
              <w:spacing w:after="0"/>
              <w:rPr>
                <w:sz w:val="20"/>
                <w:szCs w:val="20"/>
                <w:color w:val="auto"/>
              </w:rPr>
            </w:pPr>
            <w:r>
              <w:rPr>
                <w:rFonts w:ascii="Arial" w:cs="Arial" w:eastAsia="Arial" w:hAnsi="Arial"/>
                <w:sz w:val="17"/>
                <w:szCs w:val="17"/>
                <w:b w:val="1"/>
                <w:bCs w:val="1"/>
                <w:color w:val="FFFFFF"/>
              </w:rPr>
              <w:t>$511</w:t>
            </w:r>
          </w:p>
        </w:tc>
        <w:tc>
          <w:tcPr>
            <w:tcW w:w="480" w:type="dxa"/>
            <w:vAlign w:val="bottom"/>
            <w:textDirection w:val="btLr"/>
          </w:tcPr>
          <w:p>
            <w:pPr>
              <w:ind w:right="73"/>
              <w:spacing w:after="0"/>
              <w:rPr>
                <w:sz w:val="20"/>
                <w:szCs w:val="20"/>
                <w:color w:val="auto"/>
              </w:rPr>
            </w:pPr>
            <w:r>
              <w:rPr>
                <w:rFonts w:ascii="Arial" w:cs="Arial" w:eastAsia="Arial" w:hAnsi="Arial"/>
                <w:sz w:val="17"/>
                <w:szCs w:val="17"/>
                <w:b w:val="1"/>
                <w:bCs w:val="1"/>
                <w:color w:val="FFFFFF"/>
              </w:rPr>
              <w:t>$592</w:t>
            </w:r>
          </w:p>
        </w:tc>
        <w:tc>
          <w:tcPr>
            <w:tcW w:w="480" w:type="dxa"/>
            <w:vAlign w:val="bottom"/>
            <w:textDirection w:val="btLr"/>
          </w:tcPr>
          <w:p>
            <w:pPr>
              <w:ind w:right="70"/>
              <w:spacing w:after="0"/>
              <w:rPr>
                <w:sz w:val="20"/>
                <w:szCs w:val="20"/>
                <w:color w:val="auto"/>
              </w:rPr>
            </w:pPr>
            <w:r>
              <w:rPr>
                <w:rFonts w:ascii="Arial" w:cs="Arial" w:eastAsia="Arial" w:hAnsi="Arial"/>
                <w:sz w:val="17"/>
                <w:szCs w:val="17"/>
                <w:b w:val="1"/>
                <w:bCs w:val="1"/>
                <w:color w:val="FFFFFF"/>
              </w:rPr>
              <w:t>$695</w:t>
            </w:r>
          </w:p>
        </w:tc>
        <w:tc>
          <w:tcPr>
            <w:tcW w:w="420" w:type="dxa"/>
            <w:vAlign w:val="bottom"/>
            <w:textDirection w:val="btLr"/>
          </w:tcPr>
          <w:p>
            <w:pPr>
              <w:ind w:right="7"/>
              <w:spacing w:after="0"/>
              <w:rPr>
                <w:sz w:val="20"/>
                <w:szCs w:val="20"/>
                <w:color w:val="auto"/>
              </w:rPr>
            </w:pPr>
            <w:r>
              <w:rPr>
                <w:rFonts w:ascii="Arial" w:cs="Arial" w:eastAsia="Arial" w:hAnsi="Arial"/>
                <w:sz w:val="17"/>
                <w:szCs w:val="17"/>
                <w:b w:val="1"/>
                <w:bCs w:val="1"/>
                <w:color w:val="FFFFFF"/>
              </w:rPr>
              <w:t>$772</w:t>
            </w:r>
          </w:p>
        </w:tc>
      </w:tr>
      <w:tr>
        <w:trPr>
          <w:trHeight w:val="343"/>
        </w:trPr>
        <w:tc>
          <w:tcPr>
            <w:tcW w:w="400" w:type="dxa"/>
            <w:vAlign w:val="bottom"/>
          </w:tcPr>
          <w:p>
            <w:pPr>
              <w:jc w:val="right"/>
              <w:spacing w:after="0"/>
              <w:rPr>
                <w:sz w:val="20"/>
                <w:szCs w:val="20"/>
                <w:color w:val="auto"/>
              </w:rPr>
            </w:pPr>
            <w:r>
              <w:rPr>
                <w:rFonts w:ascii="Arial" w:cs="Arial" w:eastAsia="Arial" w:hAnsi="Arial"/>
                <w:sz w:val="14"/>
                <w:szCs w:val="14"/>
                <w:b w:val="1"/>
                <w:bCs w:val="1"/>
                <w:color w:val="FFFFFF"/>
              </w:rPr>
              <w:t>2019</w:t>
            </w:r>
          </w:p>
        </w:tc>
        <w:tc>
          <w:tcPr>
            <w:tcW w:w="500" w:type="dxa"/>
            <w:vAlign w:val="bottom"/>
          </w:tcPr>
          <w:p>
            <w:pPr>
              <w:jc w:val="right"/>
              <w:ind w:right="4"/>
              <w:spacing w:after="0"/>
              <w:rPr>
                <w:sz w:val="20"/>
                <w:szCs w:val="20"/>
                <w:color w:val="auto"/>
              </w:rPr>
            </w:pPr>
            <w:r>
              <w:rPr>
                <w:rFonts w:ascii="Arial" w:cs="Arial" w:eastAsia="Arial" w:hAnsi="Arial"/>
                <w:sz w:val="14"/>
                <w:szCs w:val="14"/>
                <w:b w:val="1"/>
                <w:bCs w:val="1"/>
                <w:color w:val="FFFFFF"/>
              </w:rPr>
              <w:t>2020</w:t>
            </w:r>
          </w:p>
        </w:tc>
        <w:tc>
          <w:tcPr>
            <w:tcW w:w="480" w:type="dxa"/>
            <w:vAlign w:val="bottom"/>
          </w:tcPr>
          <w:p>
            <w:pPr>
              <w:jc w:val="right"/>
              <w:ind w:right="4"/>
              <w:spacing w:after="0"/>
              <w:rPr>
                <w:sz w:val="20"/>
                <w:szCs w:val="20"/>
                <w:color w:val="auto"/>
              </w:rPr>
            </w:pPr>
            <w:r>
              <w:rPr>
                <w:rFonts w:ascii="Arial" w:cs="Arial" w:eastAsia="Arial" w:hAnsi="Arial"/>
                <w:sz w:val="14"/>
                <w:szCs w:val="14"/>
                <w:b w:val="1"/>
                <w:bCs w:val="1"/>
                <w:color w:val="FFFFFF"/>
              </w:rPr>
              <w:t>2021</w:t>
            </w:r>
          </w:p>
        </w:tc>
        <w:tc>
          <w:tcPr>
            <w:tcW w:w="480" w:type="dxa"/>
            <w:vAlign w:val="bottom"/>
          </w:tcPr>
          <w:p>
            <w:pPr>
              <w:jc w:val="right"/>
              <w:ind w:right="4"/>
              <w:spacing w:after="0"/>
              <w:rPr>
                <w:sz w:val="20"/>
                <w:szCs w:val="20"/>
                <w:color w:val="auto"/>
              </w:rPr>
            </w:pPr>
            <w:r>
              <w:rPr>
                <w:rFonts w:ascii="Arial" w:cs="Arial" w:eastAsia="Arial" w:hAnsi="Arial"/>
                <w:sz w:val="14"/>
                <w:szCs w:val="14"/>
                <w:b w:val="1"/>
                <w:bCs w:val="1"/>
                <w:color w:val="FFFFFF"/>
              </w:rPr>
              <w:t>2022</w:t>
            </w:r>
          </w:p>
        </w:tc>
        <w:tc>
          <w:tcPr>
            <w:tcW w:w="1140" w:type="dxa"/>
            <w:vAlign w:val="bottom"/>
          </w:tcPr>
          <w:p>
            <w:pPr>
              <w:jc w:val="right"/>
              <w:ind w:right="664"/>
              <w:spacing w:after="0"/>
              <w:rPr>
                <w:sz w:val="20"/>
                <w:szCs w:val="20"/>
                <w:color w:val="auto"/>
              </w:rPr>
            </w:pPr>
            <w:r>
              <w:rPr>
                <w:rFonts w:ascii="Arial" w:cs="Arial" w:eastAsia="Arial" w:hAnsi="Arial"/>
                <w:sz w:val="14"/>
                <w:szCs w:val="14"/>
                <w:b w:val="1"/>
                <w:bCs w:val="1"/>
                <w:color w:val="FFFFFF"/>
              </w:rPr>
              <w:t>2023</w:t>
            </w:r>
          </w:p>
        </w:tc>
        <w:tc>
          <w:tcPr>
            <w:tcW w:w="1140" w:type="dxa"/>
            <w:vAlign w:val="bottom"/>
          </w:tcPr>
          <w:p>
            <w:pPr>
              <w:jc w:val="right"/>
              <w:ind w:right="4"/>
              <w:spacing w:after="0"/>
              <w:rPr>
                <w:sz w:val="20"/>
                <w:szCs w:val="20"/>
                <w:color w:val="auto"/>
              </w:rPr>
            </w:pPr>
            <w:r>
              <w:rPr>
                <w:rFonts w:ascii="Arial" w:cs="Arial" w:eastAsia="Arial" w:hAnsi="Arial"/>
                <w:sz w:val="14"/>
                <w:szCs w:val="14"/>
                <w:b w:val="1"/>
                <w:bCs w:val="1"/>
                <w:color w:val="FFFFFF"/>
              </w:rPr>
              <w:t>2019</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FFFFFF"/>
              </w:rPr>
              <w:t>2020</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FFFFFF"/>
              </w:rPr>
              <w:t>2021</w:t>
            </w:r>
          </w:p>
        </w:tc>
        <w:tc>
          <w:tcPr>
            <w:tcW w:w="500" w:type="dxa"/>
            <w:vAlign w:val="bottom"/>
          </w:tcPr>
          <w:p>
            <w:pPr>
              <w:jc w:val="right"/>
              <w:ind w:right="4"/>
              <w:spacing w:after="0"/>
              <w:rPr>
                <w:sz w:val="20"/>
                <w:szCs w:val="20"/>
                <w:color w:val="auto"/>
              </w:rPr>
            </w:pPr>
            <w:r>
              <w:rPr>
                <w:rFonts w:ascii="Arial" w:cs="Arial" w:eastAsia="Arial" w:hAnsi="Arial"/>
                <w:sz w:val="14"/>
                <w:szCs w:val="14"/>
                <w:b w:val="1"/>
                <w:bCs w:val="1"/>
                <w:color w:val="FFFFFF"/>
              </w:rPr>
              <w:t>2022</w:t>
            </w:r>
          </w:p>
        </w:tc>
        <w:tc>
          <w:tcPr>
            <w:tcW w:w="1140" w:type="dxa"/>
            <w:vAlign w:val="bottom"/>
          </w:tcPr>
          <w:p>
            <w:pPr>
              <w:jc w:val="right"/>
              <w:ind w:right="664"/>
              <w:spacing w:after="0"/>
              <w:rPr>
                <w:sz w:val="20"/>
                <w:szCs w:val="20"/>
                <w:color w:val="auto"/>
              </w:rPr>
            </w:pPr>
            <w:r>
              <w:rPr>
                <w:rFonts w:ascii="Arial" w:cs="Arial" w:eastAsia="Arial" w:hAnsi="Arial"/>
                <w:sz w:val="14"/>
                <w:szCs w:val="14"/>
                <w:b w:val="1"/>
                <w:bCs w:val="1"/>
                <w:color w:val="FFFFFF"/>
              </w:rPr>
              <w:t>2023</w:t>
            </w:r>
          </w:p>
        </w:tc>
        <w:tc>
          <w:tcPr>
            <w:tcW w:w="1140" w:type="dxa"/>
            <w:vAlign w:val="bottom"/>
          </w:tcPr>
          <w:p>
            <w:pPr>
              <w:jc w:val="right"/>
              <w:ind w:right="4"/>
              <w:spacing w:after="0"/>
              <w:rPr>
                <w:sz w:val="20"/>
                <w:szCs w:val="20"/>
                <w:color w:val="auto"/>
              </w:rPr>
            </w:pPr>
            <w:r>
              <w:rPr>
                <w:rFonts w:ascii="Arial" w:cs="Arial" w:eastAsia="Arial" w:hAnsi="Arial"/>
                <w:sz w:val="14"/>
                <w:szCs w:val="14"/>
                <w:b w:val="1"/>
                <w:bCs w:val="1"/>
                <w:color w:val="FFFFFF"/>
              </w:rPr>
              <w:t>2019</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FFFFFF"/>
              </w:rPr>
              <w:t>2020</w:t>
            </w:r>
          </w:p>
        </w:tc>
        <w:tc>
          <w:tcPr>
            <w:tcW w:w="480" w:type="dxa"/>
            <w:vAlign w:val="bottom"/>
          </w:tcPr>
          <w:p>
            <w:pPr>
              <w:jc w:val="right"/>
              <w:ind w:right="4"/>
              <w:spacing w:after="0"/>
              <w:rPr>
                <w:sz w:val="20"/>
                <w:szCs w:val="20"/>
                <w:color w:val="auto"/>
              </w:rPr>
            </w:pPr>
            <w:r>
              <w:rPr>
                <w:rFonts w:ascii="Arial" w:cs="Arial" w:eastAsia="Arial" w:hAnsi="Arial"/>
                <w:sz w:val="14"/>
                <w:szCs w:val="14"/>
                <w:b w:val="1"/>
                <w:bCs w:val="1"/>
                <w:color w:val="FFFFFF"/>
              </w:rPr>
              <w:t>2021</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FFFFFF"/>
              </w:rPr>
              <w:t>2023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FFFFFF"/>
        </w:rPr>
        <w:t>(1) Financial Highlights exclude Discontinued Operations – Technical Packaging Segment sale was completed 12/31/19.</w:t>
      </w:r>
    </w:p>
    <w:p>
      <w:pPr>
        <w:spacing w:after="0" w:line="98" w:lineRule="exact"/>
        <w:rPr>
          <w:sz w:val="20"/>
          <w:szCs w:val="20"/>
          <w:color w:val="auto"/>
        </w:rPr>
      </w:pPr>
    </w:p>
    <w:p>
      <w:pPr>
        <w:ind w:left="240" w:right="160" w:hanging="248"/>
        <w:spacing w:after="0" w:line="251" w:lineRule="auto"/>
        <w:rPr>
          <w:sz w:val="20"/>
          <w:szCs w:val="20"/>
          <w:color w:val="auto"/>
        </w:rPr>
      </w:pPr>
      <w:r>
        <w:rPr>
          <w:rFonts w:ascii="Arial" w:cs="Arial" w:eastAsia="Arial" w:hAnsi="Arial"/>
          <w:sz w:val="15"/>
          <w:szCs w:val="15"/>
          <w:color w:val="FFFFFF"/>
        </w:rPr>
        <w:t>(2) EPS – As adjusted excludes $0.12 per share of charges associated with executive management transition costs at Corporate, CMT acquisition inventory step-up, restructuring within A&amp;D, and Corporate acquisition related costs in 2023, $0.05 per share of charges associated with the Altanova and NEco acquisition inventory step-ups, severance at VACCO and NRG, and Corporate acquisition and management transition costs in 2022, $0.17 per share mainly consisting of management transition and acquisition costs at Corporate, restructuring costs primarily within the USG segment, and purchase accounting adjustments related to the Phenix and Altanova acquisitions, partially offset by the final settlement from the sale of the Doble Watertown facility in 2021, a $1.55 per share charge related to the pension plan termination and $0.24 per share of charges primarily within the USG segment related to facility consolidation, asset impairment, severance, and incremental costs associated with COVID-19 in 2020, and $0.02 per share of income primarily related to the gain on the sale of the Doble Watertown property, partially offset by restructuring charges at Doble, PTI and VACCO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66"/>
          <w:szCs w:val="66"/>
          <w:color w:val="FFFFFF"/>
        </w:rPr>
        <w:t>Sustainable Growth</w:t>
      </w:r>
    </w:p>
    <w:p>
      <w:pPr>
        <w:spacing w:after="0" w:line="196" w:lineRule="exact"/>
        <w:rPr>
          <w:sz w:val="20"/>
          <w:szCs w:val="20"/>
          <w:color w:val="auto"/>
        </w:rPr>
      </w:pPr>
    </w:p>
    <w:p>
      <w:pPr>
        <w:ind w:right="920"/>
        <w:spacing w:after="0" w:line="298" w:lineRule="auto"/>
        <w:rPr>
          <w:sz w:val="20"/>
          <w:szCs w:val="20"/>
          <w:color w:val="auto"/>
        </w:rPr>
      </w:pPr>
      <w:r>
        <w:rPr>
          <w:rFonts w:ascii="Arial" w:cs="Arial" w:eastAsia="Arial" w:hAnsi="Arial"/>
          <w:sz w:val="31"/>
          <w:szCs w:val="31"/>
          <w:color w:val="FFFFFF"/>
        </w:rPr>
        <w:t>Whether we are supporting the ramp in commercial aerospace build rates or the conversion to clean energy, our businesses serve end-markets positioned for sustained long-term growth.</w:t>
      </w:r>
    </w:p>
    <w:p>
      <w:pPr>
        <w:sectPr>
          <w:pgSz w:w="12240" w:h="15840" w:orient="portrait"/>
          <w:cols w:equalWidth="0" w:num="1">
            <w:col w:w="9740"/>
          </w:cols>
          <w:pgMar w:left="1440" w:top="1161" w:right="1060" w:bottom="98" w:gutter="0" w:footer="0" w:header="0"/>
        </w:sectPr>
      </w:pPr>
    </w:p>
    <w:p>
      <w:pPr>
        <w:spacing w:after="0" w:line="200" w:lineRule="exact"/>
        <w:rPr>
          <w:sz w:val="20"/>
          <w:szCs w:val="20"/>
          <w:color w:val="auto"/>
        </w:rPr>
      </w:pPr>
    </w:p>
    <w:p>
      <w:pPr>
        <w:spacing w:after="0" w:line="242" w:lineRule="exact"/>
        <w:rPr>
          <w:sz w:val="20"/>
          <w:szCs w:val="20"/>
          <w:color w:val="auto"/>
        </w:rPr>
      </w:pPr>
    </w:p>
    <w:p>
      <w:pPr>
        <w:ind w:left="7980"/>
        <w:spacing w:after="0"/>
        <w:tabs>
          <w:tab w:leader="none" w:pos="9600" w:val="left"/>
        </w:tabs>
        <w:rPr>
          <w:sz w:val="20"/>
          <w:szCs w:val="20"/>
          <w:color w:val="auto"/>
        </w:rPr>
      </w:pPr>
      <w:r>
        <w:rPr>
          <w:rFonts w:ascii="Arial" w:cs="Arial" w:eastAsia="Arial" w:hAnsi="Arial"/>
          <w:sz w:val="9"/>
          <w:szCs w:val="9"/>
          <w:b w:val="1"/>
          <w:bCs w:val="1"/>
          <w:color w:val="262626"/>
        </w:rPr>
        <w:t>2023</w:t>
      </w:r>
      <w:r>
        <w:rPr>
          <w:rFonts w:ascii="Arial" w:cs="Arial" w:eastAsia="Arial" w:hAnsi="Arial"/>
          <w:sz w:val="9"/>
          <w:szCs w:val="9"/>
          <w:b w:val="1"/>
          <w:bCs w:val="1"/>
          <w:color w:val="FFFFFF"/>
        </w:rPr>
        <w:t>2023</w:t>
      </w:r>
      <w:r>
        <w:rPr>
          <w:rFonts w:ascii="Arial" w:cs="Arial" w:eastAsia="Arial" w:hAnsi="Arial"/>
          <w:sz w:val="9"/>
          <w:szCs w:val="9"/>
          <w:b w:val="1"/>
          <w:bCs w:val="1"/>
          <w:color w:val="262626"/>
        </w:rPr>
        <w:t xml:space="preserve"> Annual</w:t>
      </w:r>
      <w:r>
        <w:rPr>
          <w:rFonts w:ascii="Arial" w:cs="Arial" w:eastAsia="Arial" w:hAnsi="Arial"/>
          <w:sz w:val="9"/>
          <w:szCs w:val="9"/>
          <w:b w:val="1"/>
          <w:bCs w:val="1"/>
          <w:color w:val="FFFFFF"/>
        </w:rPr>
        <w:t>Annual</w:t>
      </w:r>
      <w:r>
        <w:rPr>
          <w:rFonts w:ascii="Arial" w:cs="Arial" w:eastAsia="Arial" w:hAnsi="Arial"/>
          <w:sz w:val="9"/>
          <w:szCs w:val="9"/>
          <w:b w:val="1"/>
          <w:bCs w:val="1"/>
          <w:color w:val="262626"/>
        </w:rPr>
        <w:t xml:space="preserve"> Report</w:t>
      </w:r>
      <w:r>
        <w:rPr>
          <w:rFonts w:ascii="Arial" w:cs="Arial" w:eastAsia="Arial" w:hAnsi="Arial"/>
          <w:sz w:val="9"/>
          <w:szCs w:val="9"/>
          <w:b w:val="1"/>
          <w:bCs w:val="1"/>
          <w:color w:val="FFFFFF"/>
        </w:rPr>
        <w:t>Report</w:t>
      </w:r>
      <w:r>
        <w:rPr>
          <w:sz w:val="20"/>
          <w:szCs w:val="20"/>
          <w:color w:val="auto"/>
        </w:rPr>
        <w:tab/>
      </w:r>
      <w:r>
        <w:rPr>
          <w:rFonts w:ascii="Times New Roman" w:cs="Times New Roman" w:eastAsia="Times New Roman" w:hAnsi="Times New Roman"/>
          <w:sz w:val="9"/>
          <w:szCs w:val="9"/>
          <w:i w:val="1"/>
          <w:iCs w:val="1"/>
          <w:color w:val="262626"/>
        </w:rPr>
        <w:t>1</w:t>
      </w:r>
      <w:r>
        <w:rPr>
          <w:rFonts w:ascii="Times New Roman" w:cs="Times New Roman" w:eastAsia="Times New Roman" w:hAnsi="Times New Roman"/>
          <w:sz w:val="9"/>
          <w:szCs w:val="9"/>
          <w:i w:val="1"/>
          <w:iCs w:val="1"/>
          <w:color w:val="FFFFFF"/>
        </w:rPr>
        <w:t>1</w:t>
      </w:r>
    </w:p>
    <w:p>
      <w:pPr>
        <w:sectPr>
          <w:pgSz w:w="12240" w:h="15840" w:orient="portrait"/>
          <w:cols w:equalWidth="0" w:num="1">
            <w:col w:w="9740"/>
          </w:cols>
          <w:pgMar w:left="1440" w:top="1161" w:right="1060" w:bottom="9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44"/>
          <w:szCs w:val="44"/>
          <w:color w:val="auto"/>
        </w:rPr>
        <w:t>Letter to Shareholders</w:t>
      </w:r>
    </w:p>
    <w:p>
      <w:pPr>
        <w:sectPr>
          <w:pgSz w:w="12240" w:h="15840" w:orient="portrait"/>
          <w:cols w:equalWidth="0" w:num="1">
            <w:col w:w="10100"/>
          </w:cols>
          <w:pgMar w:left="1080" w:top="91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Bryan Sayler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-4157345</wp:posOffset>
            </wp:positionV>
            <wp:extent cx="3298190" cy="385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8190" cy="3854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 and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303" w:lineRule="auto"/>
        <w:rPr>
          <w:sz w:val="20"/>
          <w:szCs w:val="20"/>
          <w:color w:val="auto"/>
        </w:rPr>
      </w:pPr>
      <w:r>
        <w:rPr>
          <w:rFonts w:ascii="Arial" w:cs="Arial" w:eastAsia="Arial" w:hAnsi="Arial"/>
          <w:sz w:val="33"/>
          <w:szCs w:val="33"/>
          <w:color w:val="262626"/>
        </w:rPr>
        <w:t>It was an exciting year of transition for ESCO, as I took over the role of CEO from Vic Richey who retired after serving in this position for the past two decades. More than 25 years of working in many capacities across our technology-oriented company provided invaluable experience in preparation for assuming the position of CEO in January. It has been great stepping into this new role and it</w:t>
      </w:r>
    </w:p>
    <w:p>
      <w:pPr>
        <w:spacing w:after="0" w:line="11" w:lineRule="exact"/>
        <w:rPr>
          <w:sz w:val="20"/>
          <w:szCs w:val="20"/>
          <w:color w:val="auto"/>
        </w:rPr>
      </w:pPr>
    </w:p>
    <w:p>
      <w:pPr>
        <w:ind w:right="180"/>
        <w:spacing w:after="0" w:line="298" w:lineRule="auto"/>
        <w:rPr>
          <w:sz w:val="20"/>
          <w:szCs w:val="20"/>
          <w:color w:val="auto"/>
        </w:rPr>
      </w:pPr>
      <w:r>
        <w:rPr>
          <w:rFonts w:ascii="Arial" w:cs="Arial" w:eastAsia="Arial" w:hAnsi="Arial"/>
          <w:sz w:val="34"/>
          <w:szCs w:val="34"/>
          <w:color w:val="262626"/>
        </w:rPr>
        <w:t>is truly an honor to work with our dedicated and talented teams across the company.</w:t>
      </w:r>
    </w:p>
    <w:p>
      <w:pPr>
        <w:spacing w:after="0" w:line="335" w:lineRule="exact"/>
        <w:rPr>
          <w:sz w:val="20"/>
          <w:szCs w:val="20"/>
          <w:color w:val="auto"/>
        </w:rPr>
      </w:pPr>
    </w:p>
    <w:p>
      <w:pPr>
        <w:jc w:val="both"/>
        <w:ind w:right="180"/>
        <w:spacing w:after="0" w:line="328" w:lineRule="auto"/>
        <w:rPr>
          <w:sz w:val="20"/>
          <w:szCs w:val="20"/>
          <w:color w:val="auto"/>
        </w:rPr>
      </w:pPr>
      <w:r>
        <w:rPr>
          <w:rFonts w:ascii="Arial" w:cs="Arial" w:eastAsia="Arial" w:hAnsi="Arial"/>
          <w:sz w:val="17"/>
          <w:szCs w:val="17"/>
          <w:color w:val="262626"/>
        </w:rPr>
        <w:t>2023 was a year of outstanding performance and accomplishments at ESCO. We delivered another year of double-digit top and bottom-line growth. In fact, it was another year of record levels of revenue, adjusted earnings per share, orders and ending backlog.</w:t>
      </w:r>
    </w:p>
    <w:p>
      <w:pPr>
        <w:spacing w:after="0" w:line="101" w:lineRule="exact"/>
        <w:rPr>
          <w:sz w:val="20"/>
          <w:szCs w:val="20"/>
          <w:color w:val="auto"/>
        </w:rPr>
      </w:pPr>
    </w:p>
    <w:p>
      <w:pPr>
        <w:ind w:right="120"/>
        <w:spacing w:after="0" w:line="319" w:lineRule="auto"/>
        <w:rPr>
          <w:sz w:val="20"/>
          <w:szCs w:val="20"/>
          <w:color w:val="auto"/>
        </w:rPr>
      </w:pPr>
      <w:r>
        <w:rPr>
          <w:rFonts w:ascii="Arial" w:cs="Arial" w:eastAsia="Arial" w:hAnsi="Arial"/>
          <w:sz w:val="17"/>
          <w:szCs w:val="17"/>
          <w:color w:val="262626"/>
        </w:rPr>
        <w:t>The key end-markets we serve are healthy and we continue to see orders momentum and revenue growth. In A&amp;D, the post-COVID recovery has been robust and is driving commercial aerospace build rates, and the Navy remains committed to the expansion of the U.S. submarine fleet. In USG, electric demand is growing worldwide due to increased urbanization, the electrification of transportation and the drive towards decarbonization. The need to update and expand an aging U.S. electric grid, while at the same time expanding it</w:t>
      </w:r>
    </w:p>
    <w:p>
      <w:pPr>
        <w:spacing w:after="0" w:line="1" w:lineRule="exact"/>
        <w:rPr>
          <w:sz w:val="20"/>
          <w:szCs w:val="20"/>
          <w:color w:val="auto"/>
        </w:rPr>
      </w:pPr>
    </w:p>
    <w:p>
      <w:pPr>
        <w:ind w:right="280"/>
        <w:spacing w:after="0" w:line="285" w:lineRule="auto"/>
        <w:rPr>
          <w:sz w:val="20"/>
          <w:szCs w:val="20"/>
          <w:color w:val="auto"/>
        </w:rPr>
      </w:pPr>
      <w:r>
        <w:rPr>
          <w:rFonts w:ascii="Arial" w:cs="Arial" w:eastAsia="Arial" w:hAnsi="Arial"/>
          <w:sz w:val="19"/>
          <w:szCs w:val="19"/>
          <w:color w:val="262626"/>
        </w:rPr>
        <w:t>to support the conversion to clean energy is driving investments in utility infrastructure. And in Test, technological advancements across our served markets continue to drive test and measurement spending. Overall, we see clear momentum and secular growth drivers across our end-markets.</w:t>
      </w:r>
    </w:p>
    <w:p>
      <w:pPr>
        <w:spacing w:after="0" w:line="200" w:lineRule="exact"/>
        <w:rPr>
          <w:sz w:val="20"/>
          <w:szCs w:val="20"/>
          <w:color w:val="auto"/>
        </w:rPr>
      </w:pPr>
    </w:p>
    <w:p>
      <w:pPr>
        <w:sectPr>
          <w:pgSz w:w="12240" w:h="15840" w:orient="portrait"/>
          <w:cols w:equalWidth="0" w:num="2">
            <w:col w:w="3760" w:space="720"/>
            <w:col w:w="5620"/>
          </w:cols>
          <w:pgMar w:left="1080" w:top="911"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hanging="320"/>
        <w:spacing w:after="0"/>
        <w:tabs>
          <w:tab w:leader="none" w:pos="320" w:val="left"/>
        </w:tabs>
        <w:numPr>
          <w:ilvl w:val="0"/>
          <w:numId w:val="2"/>
        </w:numPr>
        <w:rPr>
          <w:rFonts w:ascii="Times New Roman" w:cs="Times New Roman" w:eastAsia="Times New Roman" w:hAnsi="Times New Roman"/>
          <w:sz w:val="19"/>
          <w:szCs w:val="19"/>
          <w:i w:val="1"/>
          <w:iCs w:val="1"/>
          <w:color w:val="262626"/>
        </w:rPr>
      </w:pPr>
      <w:r>
        <w:rPr>
          <w:rFonts w:ascii="Arial" w:cs="Arial" w:eastAsia="Arial" w:hAnsi="Arial"/>
          <w:sz w:val="14"/>
          <w:szCs w:val="14"/>
          <w:b w:val="1"/>
          <w:bCs w:val="1"/>
          <w:color w:val="262626"/>
        </w:rPr>
        <w:t>ESCO Technologies</w:t>
      </w:r>
    </w:p>
    <w:p>
      <w:pPr>
        <w:sectPr>
          <w:pgSz w:w="12240" w:h="15840" w:orient="portrait"/>
          <w:cols w:equalWidth="0" w:num="1">
            <w:col w:w="10100"/>
          </w:cols>
          <w:pgMar w:left="1080" w:top="911" w:right="106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2322830</wp:posOffset>
            </wp:positionH>
            <wp:positionV relativeFrom="page">
              <wp:posOffset>1390650</wp:posOffset>
            </wp:positionV>
            <wp:extent cx="2960370" cy="3016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0370" cy="301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2023 Sales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DOLLARS IN MILLIONS</w:t>
      </w:r>
    </w:p>
    <w:tbl>
      <w:tblPr>
        <w:tblLayout w:type="fixed"/>
        <w:tblInd w:w="0" w:type="dxa"/>
        <w:tblCellMar>
          <w:top w:w="0" w:type="dxa"/>
          <w:left w:w="0" w:type="dxa"/>
          <w:bottom w:w="0" w:type="dxa"/>
          <w:right w:w="0" w:type="dxa"/>
        </w:tblCellMar>
      </w:tblPr>
      <w:tr>
        <w:trPr>
          <w:trHeight w:val="325"/>
        </w:trPr>
        <w:tc>
          <w:tcPr>
            <w:tcW w:w="2660" w:type="dxa"/>
            <w:vAlign w:val="bottom"/>
            <w:vMerge w:val="restart"/>
          </w:tcPr>
          <w:p>
            <w:pPr>
              <w:spacing w:after="0" w:line="408" w:lineRule="exact"/>
              <w:rPr>
                <w:sz w:val="20"/>
                <w:szCs w:val="20"/>
                <w:color w:val="auto"/>
              </w:rPr>
            </w:pPr>
            <w:r>
              <w:rPr>
                <w:rFonts w:ascii="Arial" w:cs="Arial" w:eastAsia="Arial" w:hAnsi="Arial"/>
                <w:sz w:val="47"/>
                <w:szCs w:val="47"/>
                <w:color w:val="262626"/>
              </w:rPr>
              <w:t>$956m</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Borders>
              <w:bottom w:val="single" w:sz="8" w:color="262626"/>
            </w:tcBorders>
          </w:tcPr>
          <w:p>
            <w:pPr>
              <w:spacing w:after="0"/>
              <w:rPr>
                <w:sz w:val="24"/>
                <w:szCs w:val="24"/>
                <w:color w:val="auto"/>
              </w:rPr>
            </w:pPr>
          </w:p>
        </w:tc>
        <w:tc>
          <w:tcPr>
            <w:tcW w:w="294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660" w:type="dxa"/>
            <w:vAlign w:val="bottom"/>
            <w:vMerge w:val="continue"/>
          </w:tcPr>
          <w:p>
            <w:pPr>
              <w:spacing w:after="0"/>
              <w:rPr>
                <w:sz w:val="5"/>
                <w:szCs w:val="5"/>
                <w:color w:val="auto"/>
              </w:rPr>
            </w:pPr>
          </w:p>
        </w:tc>
        <w:tc>
          <w:tcPr>
            <w:tcW w:w="4480" w:type="dxa"/>
            <w:vAlign w:val="bottom"/>
            <w:gridSpan w:val="4"/>
          </w:tcPr>
          <w:p>
            <w:pPr>
              <w:jc w:val="right"/>
              <w:ind w:right="800"/>
              <w:spacing w:after="0" w:line="64" w:lineRule="exact"/>
              <w:rPr>
                <w:sz w:val="20"/>
                <w:szCs w:val="20"/>
                <w:color w:val="auto"/>
              </w:rPr>
            </w:pPr>
            <w:r>
              <w:rPr>
                <w:rFonts w:ascii="Arial" w:cs="Arial" w:eastAsia="Arial" w:hAnsi="Arial"/>
                <w:sz w:val="7"/>
                <w:szCs w:val="7"/>
                <w:b w:val="1"/>
                <w:bCs w:val="1"/>
                <w:color w:val="FFFFFF"/>
              </w:rPr>
              <w:t>41%</w:t>
            </w:r>
          </w:p>
        </w:tc>
        <w:tc>
          <w:tcPr>
            <w:tcW w:w="2940" w:type="dxa"/>
            <w:vAlign w:val="bottom"/>
          </w:tcPr>
          <w:p>
            <w:pPr>
              <w:jc w:val="right"/>
              <w:spacing w:after="0" w:line="64" w:lineRule="exact"/>
              <w:rPr>
                <w:sz w:val="20"/>
                <w:szCs w:val="20"/>
                <w:color w:val="auto"/>
              </w:rPr>
            </w:pPr>
            <w:r>
              <w:rPr>
                <w:rFonts w:ascii="Arial" w:cs="Arial" w:eastAsia="Arial" w:hAnsi="Arial"/>
                <w:sz w:val="7"/>
                <w:szCs w:val="7"/>
                <w:b w:val="1"/>
                <w:bCs w:val="1"/>
                <w:color w:val="262626"/>
              </w:rPr>
              <w:t>$392.4</w:t>
            </w: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262626"/>
              </w:rPr>
              <w:t>Aerospace &amp; Defense:</w:t>
            </w:r>
          </w:p>
        </w:tc>
        <w:tc>
          <w:tcPr>
            <w:tcW w:w="0" w:type="dxa"/>
            <w:vAlign w:val="bottom"/>
          </w:tcPr>
          <w:p>
            <w:pPr>
              <w:spacing w:after="0"/>
              <w:rPr>
                <w:sz w:val="1"/>
                <w:szCs w:val="1"/>
                <w:color w:val="auto"/>
              </w:rPr>
            </w:pPr>
          </w:p>
        </w:tc>
      </w:tr>
      <w:tr>
        <w:trPr>
          <w:trHeight w:val="712"/>
        </w:trPr>
        <w:tc>
          <w:tcPr>
            <w:tcW w:w="2660" w:type="dxa"/>
            <w:vAlign w:val="bottom"/>
          </w:tcPr>
          <w:p>
            <w:pPr>
              <w:spacing w:after="0"/>
              <w:rPr>
                <w:sz w:val="24"/>
                <w:szCs w:val="24"/>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48"/>
                <w:szCs w:val="48"/>
                <w:b w:val="1"/>
                <w:bCs w:val="1"/>
                <w:color w:val="FFFFFF"/>
              </w:rPr>
              <w:t>36%</w:t>
            </w:r>
          </w:p>
        </w:tc>
        <w:tc>
          <w:tcPr>
            <w:tcW w:w="840" w:type="dxa"/>
            <w:vAlign w:val="bottom"/>
            <w:tcBorders>
              <w:bottom w:val="single" w:sz="8" w:color="262626"/>
            </w:tcBorders>
          </w:tcPr>
          <w:p>
            <w:pPr>
              <w:spacing w:after="0"/>
              <w:rPr>
                <w:sz w:val="24"/>
                <w:szCs w:val="24"/>
                <w:color w:val="auto"/>
              </w:rPr>
            </w:pPr>
          </w:p>
        </w:tc>
        <w:tc>
          <w:tcPr>
            <w:tcW w:w="800" w:type="dxa"/>
            <w:vAlign w:val="bottom"/>
            <w:tcBorders>
              <w:bottom w:val="single" w:sz="8" w:color="262626"/>
            </w:tcBorders>
          </w:tcPr>
          <w:p>
            <w:pPr>
              <w:spacing w:after="0"/>
              <w:rPr>
                <w:sz w:val="24"/>
                <w:szCs w:val="24"/>
                <w:color w:val="auto"/>
              </w:rPr>
            </w:pPr>
          </w:p>
        </w:tc>
        <w:tc>
          <w:tcPr>
            <w:tcW w:w="1240" w:type="dxa"/>
            <w:vAlign w:val="bottom"/>
            <w:tcBorders>
              <w:bottom w:val="single" w:sz="8" w:color="262626"/>
            </w:tcBorders>
          </w:tcPr>
          <w:p>
            <w:pPr>
              <w:spacing w:after="0"/>
              <w:rPr>
                <w:sz w:val="24"/>
                <w:szCs w:val="24"/>
                <w:color w:val="auto"/>
              </w:rPr>
            </w:pPr>
          </w:p>
        </w:tc>
        <w:tc>
          <w:tcPr>
            <w:tcW w:w="294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6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262626"/>
              </w:rPr>
              <w:t>Utility Solutions Group:</w:t>
            </w:r>
          </w:p>
        </w:tc>
        <w:tc>
          <w:tcPr>
            <w:tcW w:w="0" w:type="dxa"/>
            <w:vAlign w:val="bottom"/>
          </w:tcPr>
          <w:p>
            <w:pPr>
              <w:spacing w:after="0"/>
              <w:rPr>
                <w:sz w:val="1"/>
                <w:szCs w:val="1"/>
                <w:color w:val="auto"/>
              </w:rPr>
            </w:pPr>
          </w:p>
        </w:tc>
      </w:tr>
      <w:tr>
        <w:trPr>
          <w:trHeight w:val="300"/>
        </w:trPr>
        <w:tc>
          <w:tcPr>
            <w:tcW w:w="2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5"/>
                <w:szCs w:val="25"/>
                <w:b w:val="1"/>
                <w:bCs w:val="1"/>
                <w:color w:val="262626"/>
              </w:rPr>
              <w:t>$342.3</w:t>
            </w:r>
          </w:p>
        </w:tc>
        <w:tc>
          <w:tcPr>
            <w:tcW w:w="0" w:type="dxa"/>
            <w:vAlign w:val="bottom"/>
          </w:tcPr>
          <w:p>
            <w:pPr>
              <w:spacing w:after="0"/>
              <w:rPr>
                <w:sz w:val="1"/>
                <w:szCs w:val="1"/>
                <w:color w:val="auto"/>
              </w:rPr>
            </w:pPr>
          </w:p>
        </w:tc>
      </w:tr>
      <w:tr>
        <w:trPr>
          <w:trHeight w:val="378"/>
        </w:trPr>
        <w:tc>
          <w:tcPr>
            <w:tcW w:w="2660" w:type="dxa"/>
            <w:vAlign w:val="bottom"/>
          </w:tcPr>
          <w:p>
            <w:pPr>
              <w:spacing w:after="0"/>
              <w:rPr>
                <w:sz w:val="24"/>
                <w:szCs w:val="24"/>
                <w:color w:val="auto"/>
              </w:rPr>
            </w:pPr>
          </w:p>
        </w:tc>
        <w:tc>
          <w:tcPr>
            <w:tcW w:w="2440" w:type="dxa"/>
            <w:vAlign w:val="bottom"/>
            <w:gridSpan w:val="2"/>
          </w:tcPr>
          <w:p>
            <w:pPr>
              <w:spacing w:after="0"/>
              <w:rPr>
                <w:sz w:val="24"/>
                <w:szCs w:val="24"/>
                <w:color w:val="auto"/>
              </w:rPr>
            </w:pPr>
          </w:p>
        </w:tc>
        <w:tc>
          <w:tcPr>
            <w:tcW w:w="800" w:type="dxa"/>
            <w:vAlign w:val="bottom"/>
            <w:tcBorders>
              <w:bottom w:val="single" w:sz="8" w:color="262626"/>
            </w:tcBorders>
          </w:tcPr>
          <w:p>
            <w:pPr>
              <w:spacing w:after="0"/>
              <w:rPr>
                <w:sz w:val="24"/>
                <w:szCs w:val="24"/>
                <w:color w:val="auto"/>
              </w:rPr>
            </w:pPr>
          </w:p>
        </w:tc>
        <w:tc>
          <w:tcPr>
            <w:tcW w:w="1240" w:type="dxa"/>
            <w:vAlign w:val="bottom"/>
            <w:tcBorders>
              <w:bottom w:val="single" w:sz="8" w:color="262626"/>
            </w:tcBorders>
          </w:tcPr>
          <w:p>
            <w:pPr>
              <w:spacing w:after="0"/>
              <w:rPr>
                <w:sz w:val="24"/>
                <w:szCs w:val="24"/>
                <w:color w:val="auto"/>
              </w:rPr>
            </w:pPr>
          </w:p>
        </w:tc>
        <w:tc>
          <w:tcPr>
            <w:tcW w:w="294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660" w:type="dxa"/>
            <w:vAlign w:val="bottom"/>
          </w:tcPr>
          <w:p>
            <w:pPr>
              <w:spacing w:after="0"/>
              <w:rPr>
                <w:sz w:val="9"/>
                <w:szCs w:val="9"/>
                <w:color w:val="auto"/>
              </w:rPr>
            </w:pPr>
          </w:p>
        </w:tc>
        <w:tc>
          <w:tcPr>
            <w:tcW w:w="3240" w:type="dxa"/>
            <w:vAlign w:val="bottom"/>
            <w:gridSpan w:val="3"/>
          </w:tcPr>
          <w:p>
            <w:pPr>
              <w:jc w:val="right"/>
              <w:ind w:right="500"/>
              <w:spacing w:after="0" w:line="106" w:lineRule="exact"/>
              <w:rPr>
                <w:sz w:val="20"/>
                <w:szCs w:val="20"/>
                <w:color w:val="auto"/>
              </w:rPr>
            </w:pPr>
            <w:r>
              <w:rPr>
                <w:rFonts w:ascii="Arial" w:cs="Arial" w:eastAsia="Arial" w:hAnsi="Arial"/>
                <w:sz w:val="12"/>
                <w:szCs w:val="12"/>
                <w:b w:val="1"/>
                <w:bCs w:val="1"/>
                <w:color w:val="FFFFFF"/>
              </w:rPr>
              <w:t>23%</w:t>
            </w:r>
          </w:p>
        </w:tc>
        <w:tc>
          <w:tcPr>
            <w:tcW w:w="1240" w:type="dxa"/>
            <w:vAlign w:val="bottom"/>
          </w:tcPr>
          <w:p>
            <w:pPr>
              <w:spacing w:after="0"/>
              <w:rPr>
                <w:sz w:val="9"/>
                <w:szCs w:val="9"/>
                <w:color w:val="auto"/>
              </w:rPr>
            </w:pPr>
          </w:p>
        </w:tc>
        <w:tc>
          <w:tcPr>
            <w:tcW w:w="2940" w:type="dxa"/>
            <w:vAlign w:val="bottom"/>
          </w:tcPr>
          <w:p>
            <w:pPr>
              <w:jc w:val="right"/>
              <w:spacing w:after="0" w:line="106" w:lineRule="exact"/>
              <w:rPr>
                <w:sz w:val="20"/>
                <w:szCs w:val="20"/>
                <w:color w:val="auto"/>
              </w:rPr>
            </w:pPr>
            <w:r>
              <w:rPr>
                <w:rFonts w:ascii="Arial" w:cs="Arial" w:eastAsia="Arial" w:hAnsi="Arial"/>
                <w:sz w:val="11"/>
                <w:szCs w:val="11"/>
                <w:b w:val="1"/>
                <w:bCs w:val="1"/>
                <w:color w:val="262626"/>
              </w:rPr>
              <w:t>$221.3</w:t>
            </w: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262626"/>
              </w:rPr>
              <w:t>RF Test &amp; Measurement: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1104265</wp:posOffset>
                </wp:positionV>
                <wp:extent cx="6400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5A4245"/>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95pt" to="504pt,86.95pt" o:allowincell="f" strokecolor="#5A424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Financials Results</w:t>
      </w:r>
    </w:p>
    <w:p>
      <w:pPr>
        <w:sectPr>
          <w:pgSz w:w="12240" w:h="15840" w:orient="portrait"/>
          <w:cols w:equalWidth="0" w:num="1">
            <w:col w:w="10080"/>
          </w:cols>
          <w:pgMar w:left="1080" w:top="1440" w:right="1080" w:bottom="0" w:gutter="0" w:footer="0" w:header="0"/>
        </w:sectPr>
      </w:pPr>
    </w:p>
    <w:p>
      <w:pPr>
        <w:spacing w:after="0" w:line="297" w:lineRule="exact"/>
        <w:rPr>
          <w:sz w:val="20"/>
          <w:szCs w:val="20"/>
          <w:color w:val="auto"/>
        </w:rPr>
      </w:pPr>
    </w:p>
    <w:p>
      <w:pPr>
        <w:spacing w:after="0" w:line="285" w:lineRule="auto"/>
        <w:rPr>
          <w:sz w:val="20"/>
          <w:szCs w:val="20"/>
          <w:color w:val="auto"/>
        </w:rPr>
      </w:pPr>
      <w:r>
        <w:rPr>
          <w:rFonts w:ascii="Arial" w:cs="Arial" w:eastAsia="Arial" w:hAnsi="Arial"/>
          <w:sz w:val="19"/>
          <w:szCs w:val="19"/>
          <w:color w:val="262626"/>
        </w:rPr>
        <w:t>Our entered orders exceeded a billion dollars for the first time in 2023. Aerospace, Navy, utility, and renewables spending drove broad orders strength resulting in both solid revenue growth and record ending backlog.</w:t>
      </w:r>
    </w:p>
    <w:p>
      <w:pPr>
        <w:spacing w:after="0" w:line="132" w:lineRule="exact"/>
        <w:rPr>
          <w:sz w:val="20"/>
          <w:szCs w:val="20"/>
          <w:color w:val="auto"/>
        </w:rPr>
      </w:pPr>
    </w:p>
    <w:p>
      <w:pPr>
        <w:ind w:right="120"/>
        <w:spacing w:after="0" w:line="321" w:lineRule="auto"/>
        <w:rPr>
          <w:sz w:val="20"/>
          <w:szCs w:val="20"/>
          <w:color w:val="auto"/>
        </w:rPr>
      </w:pPr>
      <w:r>
        <w:rPr>
          <w:rFonts w:ascii="Arial" w:cs="Arial" w:eastAsia="Arial" w:hAnsi="Arial"/>
          <w:sz w:val="17"/>
          <w:szCs w:val="17"/>
          <w:color w:val="262626"/>
        </w:rPr>
        <w:t>Sales increased 11 percent to $956 million, with 10 percent organic growth and 1 percent related to contributions from the CMT acquisition early in the year. Overall aerospace revenue increased 23 percent, driven by higher spending on military programs and the continuing efforts of commercial aerospace OEMs to increase their build rates to meet growing demand. During the year we also saw the initial impact of the Inflation Reduction Act, which provides long-term funding for infrastructure investment related to the update and expansion of the electric grid. In 2023, NRG’s revenue increased over 50 percent, driven by spending on renewable energy development projects, and Doble’s revenue increased 18 percent, with notable strength in condition monitoring and protection testing equipment sales.</w:t>
      </w:r>
    </w:p>
    <w:p>
      <w:pPr>
        <w:spacing w:after="0" w:line="372" w:lineRule="exact"/>
        <w:rPr>
          <w:sz w:val="20"/>
          <w:szCs w:val="20"/>
          <w:color w:val="auto"/>
        </w:rPr>
      </w:pPr>
    </w:p>
    <w:p>
      <w:pPr>
        <w:jc w:val="both"/>
        <w:ind w:right="60"/>
        <w:spacing w:after="0" w:line="285" w:lineRule="auto"/>
        <w:rPr>
          <w:sz w:val="20"/>
          <w:szCs w:val="20"/>
          <w:color w:val="auto"/>
        </w:rPr>
      </w:pPr>
      <w:r>
        <w:rPr>
          <w:rFonts w:ascii="Arial" w:cs="Arial" w:eastAsia="Arial" w:hAnsi="Arial"/>
          <w:sz w:val="19"/>
          <w:szCs w:val="19"/>
          <w:color w:val="262626"/>
        </w:rPr>
        <w:t>Our Adjusted EPS increased 15 percent to $3.70 per share and our Adjusted EBITDA increased 13 percent to $182 million, resulting in an Adjusted EBITDA margin of 19.1 percent.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60" w:hanging="111"/>
        <w:spacing w:after="0" w:line="330" w:lineRule="auto"/>
        <w:rPr>
          <w:sz w:val="20"/>
          <w:szCs w:val="20"/>
          <w:color w:val="auto"/>
        </w:rPr>
      </w:pPr>
      <w:r>
        <w:rPr>
          <w:rFonts w:ascii="Arial" w:cs="Arial" w:eastAsia="Arial" w:hAnsi="Arial"/>
          <w:sz w:val="27"/>
          <w:szCs w:val="27"/>
          <w:b w:val="1"/>
          <w:bCs w:val="1"/>
          <w:color w:val="5A4245"/>
        </w:rPr>
        <w:t>“As a company we are united in a common purpose, to make the world a better place by solving some of today’s most difficult problems through superior engineering, precision manufacturing and world-class customer service.”</w:t>
      </w:r>
    </w:p>
    <w:p>
      <w:pPr>
        <w:spacing w:after="0" w:line="2270" w:lineRule="exact"/>
        <w:rPr>
          <w:sz w:val="20"/>
          <w:szCs w:val="20"/>
          <w:color w:val="auto"/>
        </w:rPr>
      </w:pPr>
    </w:p>
    <w:p>
      <w:pPr>
        <w:sectPr>
          <w:pgSz w:w="12240" w:h="15840" w:orient="portrait"/>
          <w:cols w:equalWidth="0" w:num="2">
            <w:col w:w="5580" w:space="400"/>
            <w:col w:w="4100"/>
          </w:cols>
          <w:pgMar w:left="1080" w:top="1440"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320"/>
        <w:spacing w:after="0"/>
        <w:tabs>
          <w:tab w:leader="none" w:pos="9940" w:val="left"/>
        </w:tabs>
        <w:rPr>
          <w:sz w:val="20"/>
          <w:szCs w:val="20"/>
          <w:color w:val="auto"/>
        </w:rPr>
      </w:pPr>
      <w:r>
        <w:rPr>
          <w:rFonts w:ascii="Arial" w:cs="Arial" w:eastAsia="Arial" w:hAnsi="Arial"/>
          <w:sz w:val="16"/>
          <w:szCs w:val="16"/>
          <w:b w:val="1"/>
          <w:bCs w:val="1"/>
          <w:color w:val="262626"/>
        </w:rPr>
        <w:t>2023 Annual Report</w:t>
      </w:r>
      <w:r>
        <w:rPr>
          <w:sz w:val="20"/>
          <w:szCs w:val="20"/>
          <w:color w:val="auto"/>
        </w:rPr>
        <w:tab/>
      </w:r>
      <w:r>
        <w:rPr>
          <w:rFonts w:ascii="Times New Roman" w:cs="Times New Roman" w:eastAsia="Times New Roman" w:hAnsi="Times New Roman"/>
          <w:sz w:val="21"/>
          <w:szCs w:val="21"/>
          <w:i w:val="1"/>
          <w:iCs w:val="1"/>
          <w:color w:val="262626"/>
        </w:rPr>
        <w:t>3</w:t>
      </w:r>
    </w:p>
    <w:p>
      <w:pPr>
        <w:sectPr>
          <w:pgSz w:w="12240" w:h="15840" w:orient="portrait"/>
          <w:cols w:equalWidth="0" w:num="1">
            <w:col w:w="10080"/>
          </w:cols>
          <w:pgMar w:left="1080" w:top="1440" w:right="108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44"/>
          <w:szCs w:val="44"/>
          <w:color w:val="auto"/>
        </w:rPr>
        <w:t xml:space="preserve">Letter to Shareholders </w:t>
      </w:r>
      <w:r>
        <w:rPr>
          <w:rFonts w:ascii="Times New Roman" w:cs="Times New Roman" w:eastAsia="Times New Roman" w:hAnsi="Times New Roman"/>
          <w:sz w:val="22"/>
          <w:szCs w:val="22"/>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288290</wp:posOffset>
            </wp:positionV>
            <wp:extent cx="2974975" cy="298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297497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2023 EBITDA – As Adjusted</w:t>
      </w:r>
      <w:r>
        <w:rPr>
          <w:rFonts w:ascii="Arial" w:cs="Arial" w:eastAsia="Arial" w:hAnsi="Arial"/>
          <w:sz w:val="16"/>
          <w:szCs w:val="16"/>
          <w:b w:val="1"/>
          <w:bCs w:val="1"/>
          <w:color w:val="auto"/>
        </w:rPr>
        <w:t>(1)</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DOLLARS IN MILLIONS</w:t>
      </w:r>
    </w:p>
    <w:tbl>
      <w:tblPr>
        <w:tblLayout w:type="fixed"/>
        <w:tblInd w:w="0" w:type="dxa"/>
        <w:tblCellMar>
          <w:top w:w="0" w:type="dxa"/>
          <w:left w:w="0" w:type="dxa"/>
          <w:bottom w:w="0" w:type="dxa"/>
          <w:right w:w="0" w:type="dxa"/>
        </w:tblCellMar>
      </w:tblPr>
      <w:tr>
        <w:trPr>
          <w:trHeight w:val="325"/>
        </w:trPr>
        <w:tc>
          <w:tcPr>
            <w:tcW w:w="2820" w:type="dxa"/>
            <w:vAlign w:val="bottom"/>
            <w:vMerge w:val="restart"/>
          </w:tcPr>
          <w:p>
            <w:pPr>
              <w:spacing w:after="0" w:line="408" w:lineRule="exact"/>
              <w:rPr>
                <w:sz w:val="20"/>
                <w:szCs w:val="20"/>
                <w:color w:val="auto"/>
              </w:rPr>
            </w:pPr>
            <w:r>
              <w:rPr>
                <w:rFonts w:ascii="Arial" w:cs="Arial" w:eastAsia="Arial" w:hAnsi="Arial"/>
                <w:sz w:val="47"/>
                <w:szCs w:val="47"/>
                <w:color w:val="333333"/>
              </w:rPr>
              <w:t>$214m</w:t>
            </w: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Borders>
              <w:bottom w:val="single" w:sz="8" w:color="262626"/>
            </w:tcBorders>
          </w:tcPr>
          <w:p>
            <w:pPr>
              <w:spacing w:after="0"/>
              <w:rPr>
                <w:sz w:val="24"/>
                <w:szCs w:val="24"/>
                <w:color w:val="auto"/>
              </w:rPr>
            </w:pPr>
          </w:p>
        </w:tc>
        <w:tc>
          <w:tcPr>
            <w:tcW w:w="294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820" w:type="dxa"/>
            <w:vAlign w:val="bottom"/>
            <w:vMerge w:val="continue"/>
          </w:tcPr>
          <w:p>
            <w:pPr>
              <w:spacing w:after="0"/>
              <w:rPr>
                <w:sz w:val="5"/>
                <w:szCs w:val="5"/>
                <w:color w:val="auto"/>
              </w:rPr>
            </w:pPr>
          </w:p>
        </w:tc>
        <w:tc>
          <w:tcPr>
            <w:tcW w:w="4320" w:type="dxa"/>
            <w:vAlign w:val="bottom"/>
            <w:gridSpan w:val="4"/>
          </w:tcPr>
          <w:p>
            <w:pPr>
              <w:jc w:val="right"/>
              <w:ind w:right="800"/>
              <w:spacing w:after="0" w:line="64" w:lineRule="exact"/>
              <w:rPr>
                <w:sz w:val="20"/>
                <w:szCs w:val="20"/>
                <w:color w:val="auto"/>
              </w:rPr>
            </w:pPr>
            <w:r>
              <w:rPr>
                <w:rFonts w:ascii="Arial" w:cs="Arial" w:eastAsia="Arial" w:hAnsi="Arial"/>
                <w:sz w:val="7"/>
                <w:szCs w:val="7"/>
                <w:b w:val="1"/>
                <w:bCs w:val="1"/>
                <w:color w:val="FFFFFF"/>
              </w:rPr>
              <w:t>40%</w:t>
            </w:r>
          </w:p>
        </w:tc>
        <w:tc>
          <w:tcPr>
            <w:tcW w:w="2940" w:type="dxa"/>
            <w:vAlign w:val="bottom"/>
          </w:tcPr>
          <w:p>
            <w:pPr>
              <w:jc w:val="right"/>
              <w:spacing w:after="0" w:line="64" w:lineRule="exact"/>
              <w:rPr>
                <w:sz w:val="20"/>
                <w:szCs w:val="20"/>
                <w:color w:val="auto"/>
              </w:rPr>
            </w:pPr>
            <w:r>
              <w:rPr>
                <w:rFonts w:ascii="Arial" w:cs="Arial" w:eastAsia="Arial" w:hAnsi="Arial"/>
                <w:sz w:val="7"/>
                <w:szCs w:val="7"/>
                <w:b w:val="1"/>
                <w:bCs w:val="1"/>
                <w:color w:val="262626"/>
              </w:rPr>
              <w:t>$85.6</w:t>
            </w: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262626"/>
              </w:rPr>
              <w:t>Aerospace &amp; Defense:</w:t>
            </w:r>
          </w:p>
        </w:tc>
        <w:tc>
          <w:tcPr>
            <w:tcW w:w="0" w:type="dxa"/>
            <w:vAlign w:val="bottom"/>
          </w:tcPr>
          <w:p>
            <w:pPr>
              <w:spacing w:after="0"/>
              <w:rPr>
                <w:sz w:val="1"/>
                <w:szCs w:val="1"/>
                <w:color w:val="auto"/>
              </w:rPr>
            </w:pPr>
          </w:p>
        </w:tc>
      </w:tr>
      <w:tr>
        <w:trPr>
          <w:trHeight w:val="712"/>
        </w:trPr>
        <w:tc>
          <w:tcPr>
            <w:tcW w:w="28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48"/>
                <w:szCs w:val="48"/>
                <w:b w:val="1"/>
                <w:bCs w:val="1"/>
                <w:color w:val="FFFFFF"/>
              </w:rPr>
              <w:t>42%</w:t>
            </w:r>
          </w:p>
        </w:tc>
        <w:tc>
          <w:tcPr>
            <w:tcW w:w="840" w:type="dxa"/>
            <w:vAlign w:val="bottom"/>
            <w:tcBorders>
              <w:bottom w:val="single" w:sz="8" w:color="262626"/>
            </w:tcBorders>
          </w:tcPr>
          <w:p>
            <w:pPr>
              <w:spacing w:after="0"/>
              <w:rPr>
                <w:sz w:val="24"/>
                <w:szCs w:val="24"/>
                <w:color w:val="auto"/>
              </w:rPr>
            </w:pPr>
          </w:p>
        </w:tc>
        <w:tc>
          <w:tcPr>
            <w:tcW w:w="800" w:type="dxa"/>
            <w:vAlign w:val="bottom"/>
            <w:tcBorders>
              <w:bottom w:val="single" w:sz="8" w:color="262626"/>
            </w:tcBorders>
          </w:tcPr>
          <w:p>
            <w:pPr>
              <w:spacing w:after="0"/>
              <w:rPr>
                <w:sz w:val="24"/>
                <w:szCs w:val="24"/>
                <w:color w:val="auto"/>
              </w:rPr>
            </w:pPr>
          </w:p>
        </w:tc>
        <w:tc>
          <w:tcPr>
            <w:tcW w:w="1240" w:type="dxa"/>
            <w:vAlign w:val="bottom"/>
            <w:tcBorders>
              <w:bottom w:val="single" w:sz="8" w:color="262626"/>
            </w:tcBorders>
          </w:tcPr>
          <w:p>
            <w:pPr>
              <w:spacing w:after="0"/>
              <w:rPr>
                <w:sz w:val="24"/>
                <w:szCs w:val="24"/>
                <w:color w:val="auto"/>
              </w:rPr>
            </w:pPr>
          </w:p>
        </w:tc>
        <w:tc>
          <w:tcPr>
            <w:tcW w:w="294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8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262626"/>
              </w:rPr>
              <w:t>Utility Solutions Group:</w:t>
            </w:r>
          </w:p>
        </w:tc>
        <w:tc>
          <w:tcPr>
            <w:tcW w:w="0" w:type="dxa"/>
            <w:vAlign w:val="bottom"/>
          </w:tcPr>
          <w:p>
            <w:pPr>
              <w:spacing w:after="0"/>
              <w:rPr>
                <w:sz w:val="1"/>
                <w:szCs w:val="1"/>
                <w:color w:val="auto"/>
              </w:rPr>
            </w:pPr>
          </w:p>
        </w:tc>
      </w:tr>
      <w:tr>
        <w:trPr>
          <w:trHeight w:val="300"/>
        </w:trPr>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5"/>
                <w:szCs w:val="25"/>
                <w:b w:val="1"/>
                <w:bCs w:val="1"/>
                <w:color w:val="262626"/>
              </w:rPr>
              <w:t>$90.9</w:t>
            </w:r>
          </w:p>
        </w:tc>
        <w:tc>
          <w:tcPr>
            <w:tcW w:w="0" w:type="dxa"/>
            <w:vAlign w:val="bottom"/>
          </w:tcPr>
          <w:p>
            <w:pPr>
              <w:spacing w:after="0"/>
              <w:rPr>
                <w:sz w:val="1"/>
                <w:szCs w:val="1"/>
                <w:color w:val="auto"/>
              </w:rPr>
            </w:pPr>
          </w:p>
        </w:tc>
      </w:tr>
      <w:tr>
        <w:trPr>
          <w:trHeight w:val="378"/>
        </w:trPr>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bottom w:val="single" w:sz="8" w:color="262626"/>
            </w:tcBorders>
          </w:tcPr>
          <w:p>
            <w:pPr>
              <w:spacing w:after="0"/>
              <w:rPr>
                <w:sz w:val="24"/>
                <w:szCs w:val="24"/>
                <w:color w:val="auto"/>
              </w:rPr>
            </w:pPr>
          </w:p>
        </w:tc>
        <w:tc>
          <w:tcPr>
            <w:tcW w:w="1240" w:type="dxa"/>
            <w:vAlign w:val="bottom"/>
            <w:tcBorders>
              <w:bottom w:val="single" w:sz="8" w:color="262626"/>
            </w:tcBorders>
          </w:tcPr>
          <w:p>
            <w:pPr>
              <w:spacing w:after="0"/>
              <w:rPr>
                <w:sz w:val="24"/>
                <w:szCs w:val="24"/>
                <w:color w:val="auto"/>
              </w:rPr>
            </w:pPr>
          </w:p>
        </w:tc>
        <w:tc>
          <w:tcPr>
            <w:tcW w:w="294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820" w:type="dxa"/>
            <w:vAlign w:val="bottom"/>
          </w:tcPr>
          <w:p>
            <w:pPr>
              <w:spacing w:after="0"/>
              <w:rPr>
                <w:sz w:val="20"/>
                <w:szCs w:val="20"/>
                <w:color w:val="auto"/>
              </w:rPr>
            </w:pPr>
            <w:r>
              <w:rPr>
                <w:rFonts w:ascii="Arial" w:cs="Arial" w:eastAsia="Arial" w:hAnsi="Arial"/>
                <w:sz w:val="15"/>
                <w:szCs w:val="15"/>
                <w:color w:val="auto"/>
              </w:rPr>
              <w:t>(1) Excludes $31.8 million of</w:t>
            </w:r>
          </w:p>
        </w:tc>
        <w:tc>
          <w:tcPr>
            <w:tcW w:w="3080" w:type="dxa"/>
            <w:vAlign w:val="bottom"/>
            <w:gridSpan w:val="3"/>
            <w:vMerge w:val="restart"/>
          </w:tcPr>
          <w:p>
            <w:pPr>
              <w:jc w:val="right"/>
              <w:ind w:right="300"/>
              <w:spacing w:after="0" w:line="520" w:lineRule="exact"/>
              <w:rPr>
                <w:sz w:val="20"/>
                <w:szCs w:val="20"/>
                <w:color w:val="auto"/>
              </w:rPr>
            </w:pPr>
            <w:r>
              <w:rPr>
                <w:rFonts w:ascii="Arial" w:cs="Arial" w:eastAsia="Arial" w:hAnsi="Arial"/>
                <w:sz w:val="48"/>
                <w:szCs w:val="48"/>
                <w:b w:val="1"/>
                <w:bCs w:val="1"/>
                <w:color w:val="FFFFFF"/>
              </w:rPr>
              <w:t>18%</w:t>
            </w:r>
          </w:p>
        </w:tc>
        <w:tc>
          <w:tcPr>
            <w:tcW w:w="12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262626"/>
              </w:rPr>
              <w:t>RF Test &amp; Measurement:</w:t>
            </w:r>
          </w:p>
        </w:tc>
        <w:tc>
          <w:tcPr>
            <w:tcW w:w="0" w:type="dxa"/>
            <w:vAlign w:val="bottom"/>
          </w:tcPr>
          <w:p>
            <w:pPr>
              <w:spacing w:after="0"/>
              <w:rPr>
                <w:sz w:val="1"/>
                <w:szCs w:val="1"/>
                <w:color w:val="auto"/>
              </w:rPr>
            </w:pPr>
          </w:p>
        </w:tc>
      </w:tr>
      <w:tr>
        <w:trPr>
          <w:trHeight w:val="180"/>
        </w:trPr>
        <w:tc>
          <w:tcPr>
            <w:tcW w:w="2820" w:type="dxa"/>
            <w:vAlign w:val="bottom"/>
          </w:tcPr>
          <w:p>
            <w:pPr>
              <w:ind w:left="220"/>
              <w:spacing w:after="0"/>
              <w:rPr>
                <w:sz w:val="20"/>
                <w:szCs w:val="20"/>
                <w:color w:val="auto"/>
              </w:rPr>
            </w:pPr>
            <w:r>
              <w:rPr>
                <w:rFonts w:ascii="Arial" w:cs="Arial" w:eastAsia="Arial" w:hAnsi="Arial"/>
                <w:sz w:val="15"/>
                <w:szCs w:val="15"/>
                <w:color w:val="auto"/>
              </w:rPr>
              <w:t>Corporate costs and $4.1 million of</w:t>
            </w:r>
          </w:p>
        </w:tc>
        <w:tc>
          <w:tcPr>
            <w:tcW w:w="308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2940" w:type="dxa"/>
            <w:vAlign w:val="bottom"/>
            <w:vMerge w:val="restart"/>
          </w:tcPr>
          <w:p>
            <w:pPr>
              <w:jc w:val="right"/>
              <w:spacing w:after="0"/>
              <w:rPr>
                <w:sz w:val="20"/>
                <w:szCs w:val="20"/>
                <w:color w:val="auto"/>
              </w:rPr>
            </w:pPr>
            <w:r>
              <w:rPr>
                <w:rFonts w:ascii="Arial" w:cs="Arial" w:eastAsia="Arial" w:hAnsi="Arial"/>
                <w:sz w:val="25"/>
                <w:szCs w:val="25"/>
                <w:b w:val="1"/>
                <w:bCs w:val="1"/>
                <w:color w:val="262626"/>
              </w:rPr>
              <w:t>$37.7</w:t>
            </w:r>
          </w:p>
        </w:tc>
        <w:tc>
          <w:tcPr>
            <w:tcW w:w="0" w:type="dxa"/>
            <w:vAlign w:val="bottom"/>
          </w:tcPr>
          <w:p>
            <w:pPr>
              <w:spacing w:after="0"/>
              <w:rPr>
                <w:sz w:val="1"/>
                <w:szCs w:val="1"/>
                <w:color w:val="auto"/>
              </w:rPr>
            </w:pPr>
          </w:p>
        </w:tc>
      </w:tr>
      <w:tr>
        <w:trPr>
          <w:trHeight w:val="176"/>
        </w:trPr>
        <w:tc>
          <w:tcPr>
            <w:tcW w:w="2820" w:type="dxa"/>
            <w:vAlign w:val="bottom"/>
          </w:tcPr>
          <w:p>
            <w:pPr>
              <w:ind w:left="220"/>
              <w:spacing w:after="0"/>
              <w:rPr>
                <w:sz w:val="20"/>
                <w:szCs w:val="20"/>
                <w:color w:val="auto"/>
              </w:rPr>
            </w:pPr>
            <w:r>
              <w:rPr>
                <w:rFonts w:ascii="Arial" w:cs="Arial" w:eastAsia="Arial" w:hAnsi="Arial"/>
                <w:sz w:val="15"/>
                <w:szCs w:val="15"/>
                <w:color w:val="auto"/>
              </w:rPr>
              <w:t>charges associated with executive</w:t>
            </w:r>
          </w:p>
        </w:tc>
        <w:tc>
          <w:tcPr>
            <w:tcW w:w="1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20" w:right="7340"/>
        <w:spacing w:after="0" w:line="275" w:lineRule="auto"/>
        <w:rPr>
          <w:sz w:val="20"/>
          <w:szCs w:val="20"/>
          <w:color w:val="auto"/>
        </w:rPr>
      </w:pPr>
      <w:r>
        <w:rPr>
          <w:rFonts w:ascii="Arial" w:cs="Arial" w:eastAsia="Arial" w:hAnsi="Arial"/>
          <w:sz w:val="14"/>
          <w:szCs w:val="14"/>
          <w:color w:val="auto"/>
        </w:rPr>
        <w:t>management transition costs at Corporate, CMT acquisition inventory step-up, restructuring within A&amp;D, and Corporate acquisition related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187960</wp:posOffset>
                </wp:positionV>
                <wp:extent cx="6400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5A4245"/>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8pt" to="504pt,14.8pt" o:allowincell="f" strokecolor="#5A4245" strokeweight="0.5pt"/>
            </w:pict>
          </mc:Fallback>
        </mc:AlternateContent>
      </w:r>
    </w:p>
    <w:p>
      <w:pPr>
        <w:sectPr>
          <w:pgSz w:w="12240" w:h="15840" w:orient="portrait"/>
          <w:cols w:equalWidth="0" w:num="1">
            <w:col w:w="10080"/>
          </w:cols>
          <w:pgMar w:left="1080" w:top="911" w:right="1080" w:bottom="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Cash Flow from</w:t>
      </w:r>
    </w:p>
    <w:p>
      <w:pPr>
        <w:spacing w:after="0"/>
        <w:rPr>
          <w:sz w:val="20"/>
          <w:szCs w:val="20"/>
          <w:color w:val="auto"/>
        </w:rPr>
      </w:pPr>
      <w:r>
        <w:rPr>
          <w:rFonts w:ascii="Arial" w:cs="Arial" w:eastAsia="Arial" w:hAnsi="Arial"/>
          <w:sz w:val="20"/>
          <w:szCs w:val="20"/>
          <w:color w:val="auto"/>
        </w:rPr>
        <w:t>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262626"/>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1276350</wp:posOffset>
                </wp:positionH>
                <wp:positionV relativeFrom="paragraph">
                  <wp:posOffset>198120</wp:posOffset>
                </wp:positionV>
                <wp:extent cx="278765" cy="123444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765" cy="1234440"/>
                        </a:xfrm>
                        <a:prstGeom prst="rect">
                          <a:avLst/>
                        </a:prstGeom>
                        <a:solidFill>
                          <a:srgbClr val="FC3B13"/>
                        </a:solidFill>
                      </wps:spPr>
                      <wps:bodyPr/>
                    </wps:wsp>
                  </a:graphicData>
                </a:graphic>
              </wp:anchor>
            </w:drawing>
          </mc:Choice>
          <mc:Fallback>
            <w:pict>
              <v:rect id="Shape 9" o:spid="_x0000_s1034" style="position:absolute;margin-left:100.5pt;margin-top:15.6pt;width:21.95pt;height:9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3B13" stroked="f"/>
            </w:pict>
          </mc:Fallback>
        </mc:AlternateContent>
        <mc:AlternateContent>
          <mc:Choice Requires="wps">
            <w:drawing>
              <wp:anchor simplePos="0" relativeHeight="251657728" behindDoc="1" locked="0" layoutInCell="0" allowOverlap="1">
                <wp:simplePos x="0" y="0"/>
                <wp:positionH relativeFrom="column">
                  <wp:posOffset>1701800</wp:posOffset>
                </wp:positionH>
                <wp:positionV relativeFrom="paragraph">
                  <wp:posOffset>728345</wp:posOffset>
                </wp:positionV>
                <wp:extent cx="279400" cy="70421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400" cy="704215"/>
                        </a:xfrm>
                        <a:prstGeom prst="rect">
                          <a:avLst/>
                        </a:prstGeom>
                        <a:solidFill>
                          <a:srgbClr val="FC3B13"/>
                        </a:solidFill>
                      </wps:spPr>
                      <wps:bodyPr/>
                    </wps:wsp>
                  </a:graphicData>
                </a:graphic>
              </wp:anchor>
            </w:drawing>
          </mc:Choice>
          <mc:Fallback>
            <w:pict>
              <v:rect id="Shape 10" o:spid="_x0000_s1035" style="position:absolute;margin-left:134pt;margin-top:57.35pt;width:22pt;height:55.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3B13" stroked="f"/>
            </w:pict>
          </mc:Fallback>
        </mc:AlternateContent>
        <mc:AlternateContent>
          <mc:Choice Requires="wps">
            <w:drawing>
              <wp:anchor simplePos="0" relativeHeight="251657728" behindDoc="1" locked="0" layoutInCell="0" allowOverlap="1">
                <wp:simplePos x="0" y="0"/>
                <wp:positionH relativeFrom="column">
                  <wp:posOffset>851535</wp:posOffset>
                </wp:positionH>
                <wp:positionV relativeFrom="paragraph">
                  <wp:posOffset>329565</wp:posOffset>
                </wp:positionV>
                <wp:extent cx="276860" cy="110299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860" cy="1102995"/>
                        </a:xfrm>
                        <a:prstGeom prst="rect">
                          <a:avLst/>
                        </a:prstGeom>
                        <a:solidFill>
                          <a:srgbClr val="FC3B13"/>
                        </a:solidFill>
                      </wps:spPr>
                      <wps:bodyPr/>
                    </wps:wsp>
                  </a:graphicData>
                </a:graphic>
              </wp:anchor>
            </w:drawing>
          </mc:Choice>
          <mc:Fallback>
            <w:pict>
              <v:rect id="Shape 11" o:spid="_x0000_s1036" style="position:absolute;margin-left:67.05pt;margin-top:25.95pt;width:21.8pt;height:8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3B13" stroked="f"/>
            </w:pict>
          </mc:Fallback>
        </mc:AlternateContent>
        <mc:AlternateContent>
          <mc:Choice Requires="wps">
            <w:drawing>
              <wp:anchor simplePos="0" relativeHeight="251657728" behindDoc="1" locked="0" layoutInCell="0" allowOverlap="1">
                <wp:simplePos x="0" y="0"/>
                <wp:positionH relativeFrom="column">
                  <wp:posOffset>424815</wp:posOffset>
                </wp:positionH>
                <wp:positionV relativeFrom="paragraph">
                  <wp:posOffset>446405</wp:posOffset>
                </wp:positionV>
                <wp:extent cx="278765" cy="98615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765" cy="986155"/>
                        </a:xfrm>
                        <a:prstGeom prst="rect">
                          <a:avLst/>
                        </a:prstGeom>
                        <a:solidFill>
                          <a:srgbClr val="FC3B13"/>
                        </a:solidFill>
                      </wps:spPr>
                      <wps:bodyPr/>
                    </wps:wsp>
                  </a:graphicData>
                </a:graphic>
              </wp:anchor>
            </w:drawing>
          </mc:Choice>
          <mc:Fallback>
            <w:pict>
              <v:rect id="Shape 12" o:spid="_x0000_s1037" style="position:absolute;margin-left:33.45pt;margin-top:35.15pt;width:21.95pt;height:77.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3B1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511175</wp:posOffset>
                </wp:positionV>
                <wp:extent cx="276225" cy="92138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225" cy="921385"/>
                        </a:xfrm>
                        <a:prstGeom prst="rect">
                          <a:avLst/>
                        </a:prstGeom>
                        <a:solidFill>
                          <a:srgbClr val="FC3B13"/>
                        </a:solidFill>
                      </wps:spPr>
                      <wps:bodyPr/>
                    </wps:wsp>
                  </a:graphicData>
                </a:graphic>
              </wp:anchor>
            </w:drawing>
          </mc:Choice>
          <mc:Fallback>
            <w:pict>
              <v:rect id="Shape 13" o:spid="_x0000_s1038" style="position:absolute;margin-left:0pt;margin-top:40.25pt;width:21.75pt;height:7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3B1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393"/>
        </w:trPr>
        <w:tc>
          <w:tcPr>
            <w:tcW w:w="480" w:type="dxa"/>
            <w:vAlign w:val="bottom"/>
            <w:textDirection w:val="btLr"/>
          </w:tcPr>
          <w:p>
            <w:pPr>
              <w:ind w:right="156"/>
              <w:spacing w:after="0"/>
              <w:rPr>
                <w:sz w:val="20"/>
                <w:szCs w:val="20"/>
                <w:color w:val="auto"/>
              </w:rPr>
            </w:pPr>
            <w:r>
              <w:rPr>
                <w:rFonts w:ascii="Arial" w:cs="Arial" w:eastAsia="Arial" w:hAnsi="Arial"/>
                <w:sz w:val="17"/>
                <w:szCs w:val="17"/>
                <w:b w:val="1"/>
                <w:bCs w:val="1"/>
                <w:color w:val="FFFFFF"/>
              </w:rPr>
              <w:t>$101</w:t>
            </w:r>
          </w:p>
        </w:tc>
        <w:tc>
          <w:tcPr>
            <w:tcW w:w="680" w:type="dxa"/>
            <w:vAlign w:val="bottom"/>
            <w:textDirection w:val="btLr"/>
          </w:tcPr>
          <w:p>
            <w:pPr>
              <w:ind w:right="165"/>
              <w:spacing w:after="0"/>
              <w:rPr>
                <w:sz w:val="20"/>
                <w:szCs w:val="20"/>
                <w:color w:val="auto"/>
              </w:rPr>
            </w:pPr>
            <w:r>
              <w:rPr>
                <w:rFonts w:ascii="Arial" w:cs="Arial" w:eastAsia="Arial" w:hAnsi="Arial"/>
                <w:sz w:val="17"/>
                <w:szCs w:val="17"/>
                <w:b w:val="1"/>
                <w:bCs w:val="1"/>
                <w:color w:val="FFFFFF"/>
              </w:rPr>
              <w:t>$109</w:t>
            </w:r>
          </w:p>
        </w:tc>
        <w:tc>
          <w:tcPr>
            <w:tcW w:w="680" w:type="dxa"/>
            <w:vAlign w:val="bottom"/>
            <w:textDirection w:val="btLr"/>
          </w:tcPr>
          <w:p>
            <w:pPr>
              <w:ind w:right="174"/>
              <w:spacing w:after="0"/>
              <w:rPr>
                <w:sz w:val="20"/>
                <w:szCs w:val="20"/>
                <w:color w:val="auto"/>
              </w:rPr>
            </w:pPr>
            <w:r>
              <w:rPr>
                <w:rFonts w:ascii="Arial" w:cs="Arial" w:eastAsia="Arial" w:hAnsi="Arial"/>
                <w:sz w:val="17"/>
                <w:szCs w:val="17"/>
                <w:b w:val="1"/>
                <w:bCs w:val="1"/>
                <w:color w:val="FFFFFF"/>
              </w:rPr>
              <w:t>$123</w:t>
            </w:r>
          </w:p>
        </w:tc>
        <w:tc>
          <w:tcPr>
            <w:tcW w:w="660" w:type="dxa"/>
            <w:vAlign w:val="bottom"/>
            <w:textDirection w:val="btLr"/>
          </w:tcPr>
          <w:p>
            <w:pPr>
              <w:ind w:right="164"/>
              <w:spacing w:after="0"/>
              <w:rPr>
                <w:sz w:val="20"/>
                <w:szCs w:val="20"/>
                <w:color w:val="auto"/>
              </w:rPr>
            </w:pPr>
            <w:r>
              <w:rPr>
                <w:rFonts w:ascii="Arial" w:cs="Arial" w:eastAsia="Arial" w:hAnsi="Arial"/>
                <w:sz w:val="17"/>
                <w:szCs w:val="17"/>
                <w:b w:val="1"/>
                <w:bCs w:val="1"/>
                <w:color w:val="FFFFFF"/>
              </w:rPr>
              <w:t>$135</w:t>
            </w:r>
          </w:p>
        </w:tc>
        <w:tc>
          <w:tcPr>
            <w:tcW w:w="480" w:type="dxa"/>
            <w:vAlign w:val="bottom"/>
            <w:textDirection w:val="btLr"/>
          </w:tcPr>
          <w:p>
            <w:pPr>
              <w:spacing w:after="0"/>
              <w:rPr>
                <w:sz w:val="20"/>
                <w:szCs w:val="20"/>
                <w:color w:val="auto"/>
              </w:rPr>
            </w:pPr>
            <w:r>
              <w:rPr>
                <w:rFonts w:ascii="Arial" w:cs="Arial" w:eastAsia="Arial" w:hAnsi="Arial"/>
                <w:sz w:val="17"/>
                <w:szCs w:val="17"/>
                <w:b w:val="1"/>
                <w:bCs w:val="1"/>
                <w:color w:val="FFFFFF"/>
              </w:rPr>
              <w:t>$77</w:t>
            </w:r>
          </w:p>
        </w:tc>
      </w:tr>
      <w:tr>
        <w:trPr>
          <w:trHeight w:val="280"/>
        </w:trPr>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262626"/>
              </w:rPr>
              <w:t>2019</w:t>
            </w:r>
          </w:p>
        </w:tc>
        <w:tc>
          <w:tcPr>
            <w:tcW w:w="680" w:type="dxa"/>
            <w:vAlign w:val="bottom"/>
          </w:tcPr>
          <w:p>
            <w:pPr>
              <w:jc w:val="right"/>
              <w:ind w:right="129"/>
              <w:spacing w:after="0"/>
              <w:rPr>
                <w:sz w:val="20"/>
                <w:szCs w:val="20"/>
                <w:color w:val="auto"/>
              </w:rPr>
            </w:pPr>
            <w:r>
              <w:rPr>
                <w:rFonts w:ascii="Arial" w:cs="Arial" w:eastAsia="Arial" w:hAnsi="Arial"/>
                <w:sz w:val="12"/>
                <w:szCs w:val="12"/>
                <w:b w:val="1"/>
                <w:bCs w:val="1"/>
                <w:color w:val="262626"/>
              </w:rPr>
              <w:t>2020</w:t>
            </w:r>
          </w:p>
        </w:tc>
        <w:tc>
          <w:tcPr>
            <w:tcW w:w="680" w:type="dxa"/>
            <w:vAlign w:val="bottom"/>
          </w:tcPr>
          <w:p>
            <w:pPr>
              <w:jc w:val="right"/>
              <w:ind w:right="129"/>
              <w:spacing w:after="0"/>
              <w:rPr>
                <w:sz w:val="20"/>
                <w:szCs w:val="20"/>
                <w:color w:val="auto"/>
              </w:rPr>
            </w:pPr>
            <w:r>
              <w:rPr>
                <w:rFonts w:ascii="Arial" w:cs="Arial" w:eastAsia="Arial" w:hAnsi="Arial"/>
                <w:sz w:val="12"/>
                <w:szCs w:val="12"/>
                <w:b w:val="1"/>
                <w:bCs w:val="1"/>
                <w:color w:val="262626"/>
              </w:rPr>
              <w:t>2021</w:t>
            </w:r>
          </w:p>
        </w:tc>
        <w:tc>
          <w:tcPr>
            <w:tcW w:w="660" w:type="dxa"/>
            <w:vAlign w:val="bottom"/>
          </w:tcPr>
          <w:p>
            <w:pPr>
              <w:jc w:val="right"/>
              <w:ind w:right="109"/>
              <w:spacing w:after="0"/>
              <w:rPr>
                <w:sz w:val="20"/>
                <w:szCs w:val="20"/>
                <w:color w:val="auto"/>
              </w:rPr>
            </w:pPr>
            <w:r>
              <w:rPr>
                <w:rFonts w:ascii="Arial" w:cs="Arial" w:eastAsia="Arial" w:hAnsi="Arial"/>
                <w:sz w:val="12"/>
                <w:szCs w:val="12"/>
                <w:b w:val="1"/>
                <w:bCs w:val="1"/>
                <w:color w:val="262626"/>
              </w:rPr>
              <w:t>2022</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262626"/>
              </w:rPr>
              <w:t>2023</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Leverage Ratio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1253490</wp:posOffset>
                </wp:positionH>
                <wp:positionV relativeFrom="paragraph">
                  <wp:posOffset>775335</wp:posOffset>
                </wp:positionV>
                <wp:extent cx="275590" cy="68707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687070"/>
                        </a:xfrm>
                        <a:prstGeom prst="rect">
                          <a:avLst/>
                        </a:prstGeom>
                        <a:solidFill>
                          <a:srgbClr val="147EB9"/>
                        </a:solidFill>
                      </wps:spPr>
                      <wps:bodyPr/>
                    </wps:wsp>
                  </a:graphicData>
                </a:graphic>
              </wp:anchor>
            </w:drawing>
          </mc:Choice>
          <mc:Fallback>
            <w:pict>
              <v:rect id="Shape 14" o:spid="_x0000_s1039" style="position:absolute;margin-left:98.7pt;margin-top:61.05pt;width:21.7pt;height:54.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47EB9" stroked="f"/>
            </w:pict>
          </mc:Fallback>
        </mc:AlternateContent>
        <mc:AlternateContent>
          <mc:Choice Requires="wps">
            <w:drawing>
              <wp:anchor simplePos="0" relativeHeight="251657728" behindDoc="1" locked="0" layoutInCell="0" allowOverlap="1">
                <wp:simplePos x="0" y="0"/>
                <wp:positionH relativeFrom="column">
                  <wp:posOffset>1705610</wp:posOffset>
                </wp:positionH>
                <wp:positionV relativeFrom="paragraph">
                  <wp:posOffset>1042035</wp:posOffset>
                </wp:positionV>
                <wp:extent cx="275590" cy="42037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420370"/>
                        </a:xfrm>
                        <a:prstGeom prst="rect">
                          <a:avLst/>
                        </a:prstGeom>
                        <a:solidFill>
                          <a:srgbClr val="147EB9"/>
                        </a:solidFill>
                      </wps:spPr>
                      <wps:bodyPr/>
                    </wps:wsp>
                  </a:graphicData>
                </a:graphic>
              </wp:anchor>
            </w:drawing>
          </mc:Choice>
          <mc:Fallback>
            <w:pict>
              <v:rect id="Shape 15" o:spid="_x0000_s1040" style="position:absolute;margin-left:134.3pt;margin-top:82.05pt;width:21.7pt;height:3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47EB9" stroked="f"/>
            </w:pict>
          </mc:Fallback>
        </mc:AlternateContent>
        <mc:AlternateContent>
          <mc:Choice Requires="wps">
            <w:drawing>
              <wp:anchor simplePos="0" relativeHeight="251657728" behindDoc="1" locked="0" layoutInCell="0" allowOverlap="1">
                <wp:simplePos x="0" y="0"/>
                <wp:positionH relativeFrom="column">
                  <wp:posOffset>835660</wp:posOffset>
                </wp:positionH>
                <wp:positionV relativeFrom="paragraph">
                  <wp:posOffset>675005</wp:posOffset>
                </wp:positionV>
                <wp:extent cx="277495" cy="7874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495" cy="787400"/>
                        </a:xfrm>
                        <a:prstGeom prst="rect">
                          <a:avLst/>
                        </a:prstGeom>
                        <a:solidFill>
                          <a:srgbClr val="147EB9"/>
                        </a:solidFill>
                      </wps:spPr>
                      <wps:bodyPr/>
                    </wps:wsp>
                  </a:graphicData>
                </a:graphic>
              </wp:anchor>
            </w:drawing>
          </mc:Choice>
          <mc:Fallback>
            <w:pict>
              <v:rect id="Shape 16" o:spid="_x0000_s1041" style="position:absolute;margin-left:65.8pt;margin-top:53.15pt;width:21.85pt;height: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47EB9" stroked="f"/>
            </w:pict>
          </mc:Fallback>
        </mc:AlternateContent>
        <mc:AlternateContent>
          <mc:Choice Requires="wps">
            <w:drawing>
              <wp:anchor simplePos="0" relativeHeight="251657728" behindDoc="1" locked="0" layoutInCell="0" allowOverlap="1">
                <wp:simplePos x="0" y="0"/>
                <wp:positionH relativeFrom="column">
                  <wp:posOffset>417830</wp:posOffset>
                </wp:positionH>
                <wp:positionV relativeFrom="paragraph">
                  <wp:posOffset>1090930</wp:posOffset>
                </wp:positionV>
                <wp:extent cx="276860" cy="3714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860" cy="371475"/>
                        </a:xfrm>
                        <a:prstGeom prst="rect">
                          <a:avLst/>
                        </a:prstGeom>
                        <a:solidFill>
                          <a:srgbClr val="147EB9"/>
                        </a:solidFill>
                      </wps:spPr>
                      <wps:bodyPr/>
                    </wps:wsp>
                  </a:graphicData>
                </a:graphic>
              </wp:anchor>
            </w:drawing>
          </mc:Choice>
          <mc:Fallback>
            <w:pict>
              <v:rect id="Shape 17" o:spid="_x0000_s1042" style="position:absolute;margin-left:32.9pt;margin-top:85.9pt;width:21.8pt;height:2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47EB9"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154940</wp:posOffset>
                </wp:positionV>
                <wp:extent cx="270510" cy="130746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510" cy="1307465"/>
                        </a:xfrm>
                        <a:prstGeom prst="rect">
                          <a:avLst/>
                        </a:prstGeom>
                        <a:solidFill>
                          <a:srgbClr val="147EB9"/>
                        </a:solidFill>
                      </wps:spPr>
                      <wps:bodyPr/>
                    </wps:wsp>
                  </a:graphicData>
                </a:graphic>
              </wp:anchor>
            </w:drawing>
          </mc:Choice>
          <mc:Fallback>
            <w:pict>
              <v:rect id="Shape 18" o:spid="_x0000_s1043" style="position:absolute;margin-left:0pt;margin-top:12.2pt;width:21.3pt;height:10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47EB9"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347"/>
        </w:trPr>
        <w:tc>
          <w:tcPr>
            <w:tcW w:w="480" w:type="dxa"/>
            <w:vAlign w:val="bottom"/>
            <w:textDirection w:val="btLr"/>
          </w:tcPr>
          <w:p>
            <w:pPr>
              <w:ind w:right="160"/>
              <w:spacing w:after="0"/>
              <w:rPr>
                <w:sz w:val="20"/>
                <w:szCs w:val="20"/>
                <w:color w:val="auto"/>
              </w:rPr>
            </w:pPr>
            <w:r>
              <w:rPr>
                <w:rFonts w:ascii="Arial" w:cs="Arial" w:eastAsia="Arial" w:hAnsi="Arial"/>
                <w:sz w:val="17"/>
                <w:szCs w:val="17"/>
                <w:b w:val="1"/>
                <w:bCs w:val="1"/>
                <w:color w:val="FFFFFF"/>
              </w:rPr>
              <w:t>1.68</w:t>
            </w:r>
          </w:p>
        </w:tc>
        <w:tc>
          <w:tcPr>
            <w:tcW w:w="680" w:type="dxa"/>
            <w:vAlign w:val="bottom"/>
            <w:textDirection w:val="btLr"/>
          </w:tcPr>
          <w:p>
            <w:pPr>
              <w:ind w:right="177"/>
              <w:spacing w:after="0"/>
              <w:rPr>
                <w:sz w:val="20"/>
                <w:szCs w:val="20"/>
                <w:color w:val="auto"/>
              </w:rPr>
            </w:pPr>
            <w:r>
              <w:rPr>
                <w:rFonts w:ascii="Arial" w:cs="Arial" w:eastAsia="Arial" w:hAnsi="Arial"/>
                <w:sz w:val="17"/>
                <w:szCs w:val="17"/>
                <w:b w:val="1"/>
                <w:bCs w:val="1"/>
                <w:color w:val="FFFFFF"/>
              </w:rPr>
              <w:t>.47</w:t>
            </w:r>
          </w:p>
        </w:tc>
        <w:tc>
          <w:tcPr>
            <w:tcW w:w="680" w:type="dxa"/>
            <w:vAlign w:val="bottom"/>
            <w:textDirection w:val="btLr"/>
          </w:tcPr>
          <w:p>
            <w:pPr>
              <w:ind w:right="199"/>
              <w:spacing w:after="0"/>
              <w:rPr>
                <w:sz w:val="20"/>
                <w:szCs w:val="20"/>
                <w:color w:val="auto"/>
              </w:rPr>
            </w:pPr>
            <w:r>
              <w:rPr>
                <w:rFonts w:ascii="Arial" w:cs="Arial" w:eastAsia="Arial" w:hAnsi="Arial"/>
                <w:sz w:val="17"/>
                <w:szCs w:val="17"/>
                <w:b w:val="1"/>
                <w:bCs w:val="1"/>
                <w:color w:val="FFFFFF"/>
              </w:rPr>
              <w:t>031.</w:t>
            </w:r>
          </w:p>
        </w:tc>
        <w:tc>
          <w:tcPr>
            <w:tcW w:w="660" w:type="dxa"/>
            <w:vAlign w:val="bottom"/>
            <w:textDirection w:val="btLr"/>
          </w:tcPr>
          <w:p>
            <w:pPr>
              <w:ind w:left="192"/>
              <w:spacing w:after="0"/>
              <w:rPr>
                <w:sz w:val="20"/>
                <w:szCs w:val="20"/>
                <w:color w:val="auto"/>
              </w:rPr>
            </w:pPr>
            <w:r>
              <w:rPr>
                <w:rFonts w:ascii="Arial" w:cs="Arial" w:eastAsia="Arial" w:hAnsi="Arial"/>
                <w:sz w:val="17"/>
                <w:szCs w:val="17"/>
                <w:b w:val="1"/>
                <w:bCs w:val="1"/>
                <w:color w:val="FFFFFF"/>
              </w:rPr>
              <w:t>.78</w:t>
            </w:r>
          </w:p>
        </w:tc>
        <w:tc>
          <w:tcPr>
            <w:tcW w:w="480" w:type="dxa"/>
            <w:vAlign w:val="bottom"/>
            <w:textDirection w:val="btLr"/>
          </w:tcPr>
          <w:p>
            <w:pPr>
              <w:spacing w:after="0"/>
              <w:rPr>
                <w:sz w:val="20"/>
                <w:szCs w:val="20"/>
                <w:color w:val="auto"/>
              </w:rPr>
            </w:pPr>
            <w:r>
              <w:rPr>
                <w:rFonts w:ascii="Arial" w:cs="Arial" w:eastAsia="Arial" w:hAnsi="Arial"/>
                <w:sz w:val="17"/>
                <w:szCs w:val="17"/>
                <w:b w:val="1"/>
                <w:bCs w:val="1"/>
                <w:color w:val="FFFFFF"/>
              </w:rPr>
              <w:t>.54</w:t>
            </w:r>
          </w:p>
        </w:tc>
      </w:tr>
      <w:tr>
        <w:trPr>
          <w:trHeight w:val="293"/>
        </w:trPr>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262626"/>
              </w:rPr>
              <w:t>2019</w:t>
            </w:r>
          </w:p>
        </w:tc>
        <w:tc>
          <w:tcPr>
            <w:tcW w:w="680" w:type="dxa"/>
            <w:vAlign w:val="bottom"/>
          </w:tcPr>
          <w:p>
            <w:pPr>
              <w:jc w:val="right"/>
              <w:ind w:right="129"/>
              <w:spacing w:after="0"/>
              <w:rPr>
                <w:sz w:val="20"/>
                <w:szCs w:val="20"/>
                <w:color w:val="auto"/>
              </w:rPr>
            </w:pPr>
            <w:r>
              <w:rPr>
                <w:rFonts w:ascii="Arial" w:cs="Arial" w:eastAsia="Arial" w:hAnsi="Arial"/>
                <w:sz w:val="12"/>
                <w:szCs w:val="12"/>
                <w:b w:val="1"/>
                <w:bCs w:val="1"/>
                <w:color w:val="262626"/>
              </w:rPr>
              <w:t>2020</w:t>
            </w:r>
          </w:p>
        </w:tc>
        <w:tc>
          <w:tcPr>
            <w:tcW w:w="680" w:type="dxa"/>
            <w:vAlign w:val="bottom"/>
          </w:tcPr>
          <w:p>
            <w:pPr>
              <w:jc w:val="right"/>
              <w:ind w:right="129"/>
              <w:spacing w:after="0"/>
              <w:rPr>
                <w:sz w:val="20"/>
                <w:szCs w:val="20"/>
                <w:color w:val="auto"/>
              </w:rPr>
            </w:pPr>
            <w:r>
              <w:rPr>
                <w:rFonts w:ascii="Arial" w:cs="Arial" w:eastAsia="Arial" w:hAnsi="Arial"/>
                <w:sz w:val="12"/>
                <w:szCs w:val="12"/>
                <w:b w:val="1"/>
                <w:bCs w:val="1"/>
                <w:color w:val="262626"/>
              </w:rPr>
              <w:t>2021</w:t>
            </w:r>
          </w:p>
        </w:tc>
        <w:tc>
          <w:tcPr>
            <w:tcW w:w="660" w:type="dxa"/>
            <w:vAlign w:val="bottom"/>
          </w:tcPr>
          <w:p>
            <w:pPr>
              <w:ind w:left="180"/>
              <w:spacing w:after="0"/>
              <w:rPr>
                <w:sz w:val="20"/>
                <w:szCs w:val="20"/>
                <w:color w:val="auto"/>
              </w:rPr>
            </w:pPr>
            <w:r>
              <w:rPr>
                <w:rFonts w:ascii="Arial" w:cs="Arial" w:eastAsia="Arial" w:hAnsi="Arial"/>
                <w:sz w:val="12"/>
                <w:szCs w:val="12"/>
                <w:b w:val="1"/>
                <w:bCs w:val="1"/>
                <w:color w:val="262626"/>
              </w:rPr>
              <w:t>2022</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262626"/>
              </w:rPr>
              <w:t>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Going Forward</w:t>
      </w:r>
    </w:p>
    <w:p>
      <w:pPr>
        <w:spacing w:after="0" w:line="297" w:lineRule="exact"/>
        <w:rPr>
          <w:sz w:val="20"/>
          <w:szCs w:val="20"/>
          <w:color w:val="auto"/>
        </w:rPr>
      </w:pPr>
    </w:p>
    <w:p>
      <w:pPr>
        <w:spacing w:after="0" w:line="323" w:lineRule="auto"/>
        <w:rPr>
          <w:sz w:val="20"/>
          <w:szCs w:val="20"/>
          <w:color w:val="auto"/>
        </w:rPr>
      </w:pPr>
      <w:r>
        <w:rPr>
          <w:rFonts w:ascii="Arial" w:cs="Arial" w:eastAsia="Arial" w:hAnsi="Arial"/>
          <w:sz w:val="17"/>
          <w:szCs w:val="17"/>
          <w:color w:val="262626"/>
        </w:rPr>
        <w:t>As a part of my transition, I have come to better understand that our companies are more alike than different. While we serve a variety of end-markets, our common theme is delivering premium value, highly-engineered products and solutions that address mission-critical technical challenges for our customers. As a company we are united in a common purpose, to make the world a better place by solving some of today’s most difficult problems through superior engineering, precision manufacturing and world-class customer service.</w:t>
      </w:r>
    </w:p>
    <w:p>
      <w:pPr>
        <w:spacing w:after="0" w:line="105"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262626"/>
        </w:rPr>
        <w:t>Our management team has worked extensively throughout the year to develop and refine our planning process and to set goals for the future. We are committed to identifying areas where we can leverage growth to drive operating efficiencies. Through a focus on continuous improvement, our objective as we grow the company is to deliver improving returns on invested capital (ROIC) that will drive long-term shareholder value creation for our investors.</w:t>
      </w:r>
    </w:p>
    <w:p>
      <w:pPr>
        <w:spacing w:after="0" w:line="108" w:lineRule="exact"/>
        <w:rPr>
          <w:sz w:val="20"/>
          <w:szCs w:val="20"/>
          <w:color w:val="auto"/>
        </w:rPr>
      </w:pPr>
    </w:p>
    <w:p>
      <w:pPr>
        <w:ind w:right="160"/>
        <w:spacing w:after="0" w:line="285" w:lineRule="auto"/>
        <w:rPr>
          <w:sz w:val="20"/>
          <w:szCs w:val="20"/>
          <w:color w:val="auto"/>
        </w:rPr>
      </w:pPr>
      <w:r>
        <w:rPr>
          <w:rFonts w:ascii="Arial" w:cs="Arial" w:eastAsia="Arial" w:hAnsi="Arial"/>
          <w:sz w:val="19"/>
          <w:szCs w:val="19"/>
          <w:color w:val="262626"/>
        </w:rPr>
        <w:t>As always, this year was very much a team effort, and on behalf of our Board of Directors and our management team, I want to thank our employees for their hard work and dedication in support of both our company and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79375</wp:posOffset>
            </wp:positionV>
            <wp:extent cx="1355090" cy="586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extLst>
                    </a:blip>
                    <a:srcRect/>
                    <a:stretch>
                      <a:fillRect/>
                    </a:stretch>
                  </pic:blipFill>
                  <pic:spPr bwMode="auto">
                    <a:xfrm>
                      <a:off x="0" y="0"/>
                      <a:ext cx="135509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Bryan Sayler</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262626"/>
        </w:rPr>
        <w:t>Chief Executive Officer &amp; President</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262626"/>
        </w:rPr>
        <w:t>November 29, 2023</w:t>
      </w:r>
    </w:p>
    <w:p>
      <w:pPr>
        <w:spacing w:after="0" w:line="200" w:lineRule="exact"/>
        <w:rPr>
          <w:sz w:val="20"/>
          <w:szCs w:val="20"/>
          <w:color w:val="auto"/>
        </w:rPr>
      </w:pPr>
    </w:p>
    <w:p>
      <w:pPr>
        <w:sectPr>
          <w:pgSz w:w="12240" w:h="15840" w:orient="portrait"/>
          <w:cols w:equalWidth="0" w:num="2">
            <w:col w:w="3760" w:space="720"/>
            <w:col w:w="5600"/>
          </w:cols>
          <w:pgMar w:left="1080" w:top="911" w:right="1080" w:bottom="0" w:gutter="0" w:footer="0" w:header="0"/>
          <w:type w:val="continuous"/>
        </w:sectPr>
      </w:pPr>
    </w:p>
    <w:p>
      <w:pPr>
        <w:spacing w:after="0" w:line="119" w:lineRule="exact"/>
        <w:rPr>
          <w:sz w:val="20"/>
          <w:szCs w:val="20"/>
          <w:color w:val="auto"/>
        </w:rPr>
      </w:pPr>
    </w:p>
    <w:p>
      <w:pPr>
        <w:ind w:left="320" w:hanging="320"/>
        <w:spacing w:after="0"/>
        <w:tabs>
          <w:tab w:leader="none" w:pos="320" w:val="left"/>
        </w:tabs>
        <w:numPr>
          <w:ilvl w:val="0"/>
          <w:numId w:val="3"/>
        </w:numPr>
        <w:rPr>
          <w:rFonts w:ascii="Times New Roman" w:cs="Times New Roman" w:eastAsia="Times New Roman" w:hAnsi="Times New Roman"/>
          <w:sz w:val="19"/>
          <w:szCs w:val="19"/>
          <w:i w:val="1"/>
          <w:iCs w:val="1"/>
          <w:color w:val="262626"/>
        </w:rPr>
      </w:pPr>
      <w:r>
        <w:rPr>
          <w:rFonts w:ascii="Arial" w:cs="Arial" w:eastAsia="Arial" w:hAnsi="Arial"/>
          <w:sz w:val="14"/>
          <w:szCs w:val="14"/>
          <w:b w:val="1"/>
          <w:bCs w:val="1"/>
          <w:color w:val="262626"/>
        </w:rPr>
        <w:t>ESCO Technologies</w:t>
      </w:r>
    </w:p>
    <w:p>
      <w:pPr>
        <w:sectPr>
          <w:pgSz w:w="12240" w:h="15840" w:orient="portrait"/>
          <w:cols w:equalWidth="0" w:num="1">
            <w:col w:w="10080"/>
          </w:cols>
          <w:pgMar w:left="1080" w:top="911" w:right="1080" w:bottom="0" w:gutter="0" w:footer="0" w:header="0"/>
          <w:type w:val="continuous"/>
        </w:sectPr>
      </w:pPr>
    </w:p>
    <w:bookmarkStart w:id="6" w:name="page7"/>
    <w:bookmarkEnd w:id="6"/>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jc w:val="center"/>
        <w:ind w:right="-19"/>
        <w:spacing w:after="0" w:line="237" w:lineRule="auto"/>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3600"/>
        <w:spacing w:after="0"/>
        <w:rPr>
          <w:sz w:val="20"/>
          <w:szCs w:val="20"/>
          <w:color w:val="auto"/>
        </w:rPr>
      </w:pPr>
      <w:r>
        <w:rPr>
          <w:rFonts w:ascii="Times New Roman" w:cs="Times New Roman" w:eastAsia="Times New Roman" w:hAnsi="Times New Roman"/>
          <w:sz w:val="20"/>
          <w:szCs w:val="20"/>
          <w:b w:val="1"/>
          <w:bCs w:val="1"/>
          <w:color w:val="auto"/>
        </w:rPr>
        <w:t>_______________________</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w:t>
      </w:r>
    </w:p>
    <w:p>
      <w:pPr>
        <w:spacing w:after="0" w:line="17" w:lineRule="exact"/>
        <w:rPr>
          <w:sz w:val="20"/>
          <w:szCs w:val="20"/>
          <w:color w:val="auto"/>
        </w:rPr>
      </w:pPr>
    </w:p>
    <w:p>
      <w:pPr>
        <w:ind w:left="360"/>
        <w:spacing w:after="0" w:line="222" w:lineRule="auto"/>
        <w:rPr>
          <w:sz w:val="20"/>
          <w:szCs w:val="20"/>
          <w:color w:val="auto"/>
        </w:rPr>
      </w:pPr>
      <w:r>
        <w:rPr>
          <w:rFonts w:ascii="Times New Roman" w:cs="Times New Roman" w:eastAsia="Times New Roman" w:hAnsi="Times New Roman"/>
          <w:sz w:val="20"/>
          <w:szCs w:val="20"/>
          <w:b w:val="1"/>
          <w:bCs w:val="1"/>
          <w:color w:val="auto"/>
        </w:rPr>
        <w:t>OF 1934</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For the fiscal year ended September 30, 2023</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OR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w:t>
      </w:r>
    </w:p>
    <w:p>
      <w:pPr>
        <w:spacing w:after="0" w:line="17" w:lineRule="exact"/>
        <w:rPr>
          <w:sz w:val="20"/>
          <w:szCs w:val="20"/>
          <w:color w:val="auto"/>
        </w:rPr>
      </w:pPr>
    </w:p>
    <w:p>
      <w:pPr>
        <w:ind w:left="360"/>
        <w:spacing w:after="0" w:line="222" w:lineRule="auto"/>
        <w:rPr>
          <w:sz w:val="20"/>
          <w:szCs w:val="20"/>
          <w:color w:val="auto"/>
        </w:rPr>
      </w:pPr>
      <w:r>
        <w:rPr>
          <w:rFonts w:ascii="Times New Roman" w:cs="Times New Roman" w:eastAsia="Times New Roman" w:hAnsi="Times New Roman"/>
          <w:sz w:val="20"/>
          <w:szCs w:val="20"/>
          <w:b w:val="1"/>
          <w:bCs w:val="1"/>
          <w:color w:val="auto"/>
        </w:rPr>
        <w:t>ACT OF 1934</w:t>
      </w:r>
    </w:p>
    <w:p>
      <w:pPr>
        <w:spacing w:after="0" w:line="1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For the transition period from _____ to_____</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Commission file number: 1-10596</w:t>
      </w:r>
    </w:p>
    <w:p>
      <w:pPr>
        <w:ind w:left="3600"/>
        <w:spacing w:after="0"/>
        <w:rPr>
          <w:sz w:val="20"/>
          <w:szCs w:val="20"/>
          <w:color w:val="auto"/>
        </w:rPr>
      </w:pPr>
      <w:r>
        <w:rPr>
          <w:rFonts w:ascii="Times New Roman" w:cs="Times New Roman" w:eastAsia="Times New Roman" w:hAnsi="Times New Roman"/>
          <w:sz w:val="20"/>
          <w:szCs w:val="20"/>
          <w:b w:val="1"/>
          <w:bCs w:val="1"/>
          <w:color w:val="auto"/>
        </w:rPr>
        <w:t>_______________________</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ESCO Technologies Inc.</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1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4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Missouri</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0" w:type="dxa"/>
            <w:vAlign w:val="bottom"/>
            <w:gridSpan w:val="2"/>
          </w:tcPr>
          <w:p>
            <w:pPr>
              <w:jc w:val="center"/>
              <w:ind w:right="359"/>
              <w:spacing w:after="0"/>
              <w:rPr>
                <w:sz w:val="20"/>
                <w:szCs w:val="20"/>
                <w:color w:val="auto"/>
              </w:rPr>
            </w:pPr>
            <w:r>
              <w:rPr>
                <w:rFonts w:ascii="Times New Roman" w:cs="Times New Roman" w:eastAsia="Times New Roman" w:hAnsi="Times New Roman"/>
                <w:sz w:val="20"/>
                <w:szCs w:val="20"/>
                <w:color w:val="auto"/>
              </w:rPr>
              <w:t>43-1554045</w:t>
            </w:r>
          </w:p>
        </w:tc>
      </w:tr>
      <w:tr>
        <w:trPr>
          <w:trHeight w:val="230"/>
        </w:trPr>
        <w:tc>
          <w:tcPr>
            <w:tcW w:w="34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(State or other jurisdiction</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jc w:val="center"/>
              <w:ind w:right="699"/>
              <w:spacing w:after="0"/>
              <w:rPr>
                <w:sz w:val="20"/>
                <w:szCs w:val="20"/>
                <w:color w:val="auto"/>
              </w:rPr>
            </w:pPr>
            <w:r>
              <w:rPr>
                <w:rFonts w:ascii="Times New Roman" w:cs="Times New Roman" w:eastAsia="Times New Roman" w:hAnsi="Times New Roman"/>
                <w:sz w:val="20"/>
                <w:szCs w:val="20"/>
                <w:color w:val="auto"/>
              </w:rPr>
              <w:t>(I.R.S. Employer</w:t>
            </w:r>
          </w:p>
        </w:tc>
      </w:tr>
      <w:tr>
        <w:trPr>
          <w:trHeight w:val="231"/>
        </w:trPr>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9"/>
              </w:rPr>
              <w:t>of incorporation or organization)</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2"/>
          </w:tcPr>
          <w:p>
            <w:pPr>
              <w:jc w:val="center"/>
              <w:ind w:right="359"/>
              <w:spacing w:after="0"/>
              <w:rPr>
                <w:sz w:val="20"/>
                <w:szCs w:val="20"/>
                <w:color w:val="auto"/>
              </w:rPr>
            </w:pPr>
            <w:r>
              <w:rPr>
                <w:rFonts w:ascii="Times New Roman" w:cs="Times New Roman" w:eastAsia="Times New Roman" w:hAnsi="Times New Roman"/>
                <w:sz w:val="20"/>
                <w:szCs w:val="20"/>
                <w:color w:val="auto"/>
              </w:rPr>
              <w:t>Identification No.)</w:t>
            </w:r>
          </w:p>
        </w:tc>
      </w:tr>
      <w:tr>
        <w:trPr>
          <w:trHeight w:val="350"/>
        </w:trPr>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9"/>
              </w:rPr>
              <w:t>9900A Clayton Road</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St. Louis, Missouri</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2"/>
          </w:tcPr>
          <w:p>
            <w:pPr>
              <w:jc w:val="center"/>
              <w:ind w:right="359"/>
              <w:spacing w:after="0"/>
              <w:rPr>
                <w:sz w:val="20"/>
                <w:szCs w:val="20"/>
                <w:color w:val="auto"/>
              </w:rPr>
            </w:pPr>
            <w:r>
              <w:rPr>
                <w:rFonts w:ascii="Times New Roman" w:cs="Times New Roman" w:eastAsia="Times New Roman" w:hAnsi="Times New Roman"/>
                <w:sz w:val="20"/>
                <w:szCs w:val="20"/>
                <w:color w:val="auto"/>
              </w:rPr>
              <w:t>63124-1186</w:t>
            </w:r>
          </w:p>
        </w:tc>
      </w:tr>
      <w:tr>
        <w:trPr>
          <w:trHeight w:val="230"/>
        </w:trPr>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jc w:val="center"/>
              <w:ind w:right="719"/>
              <w:spacing w:after="0"/>
              <w:rPr>
                <w:sz w:val="20"/>
                <w:szCs w:val="20"/>
                <w:color w:val="auto"/>
              </w:rPr>
            </w:pPr>
            <w:r>
              <w:rPr>
                <w:rFonts w:ascii="Times New Roman" w:cs="Times New Roman" w:eastAsia="Times New Roman" w:hAnsi="Times New Roman"/>
                <w:sz w:val="20"/>
                <w:szCs w:val="20"/>
                <w:color w:val="auto"/>
                <w:w w:val="99"/>
              </w:rPr>
              <w:t>(Zip Code)</w:t>
            </w:r>
          </w:p>
        </w:tc>
      </w:tr>
      <w:tr>
        <w:trPr>
          <w:trHeight w:val="350"/>
        </w:trPr>
        <w:tc>
          <w:tcPr>
            <w:tcW w:w="8200" w:type="dxa"/>
            <w:vAlign w:val="bottom"/>
            <w:gridSpan w:val="7"/>
          </w:tcPr>
          <w:p>
            <w:pPr>
              <w:jc w:val="center"/>
              <w:ind w:left="119"/>
              <w:spacing w:after="0"/>
              <w:rPr>
                <w:sz w:val="20"/>
                <w:szCs w:val="20"/>
                <w:color w:val="auto"/>
              </w:rPr>
            </w:pPr>
            <w:r>
              <w:rPr>
                <w:rFonts w:ascii="Times New Roman" w:cs="Times New Roman" w:eastAsia="Times New Roman" w:hAnsi="Times New Roman"/>
                <w:sz w:val="20"/>
                <w:szCs w:val="20"/>
                <w:color w:val="auto"/>
              </w:rPr>
              <w:t>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telephone number, including area code:</w:t>
            </w:r>
          </w:p>
        </w:tc>
      </w:tr>
      <w:tr>
        <w:trPr>
          <w:trHeight w:val="231"/>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199"/>
              <w:spacing w:after="0"/>
              <w:rPr>
                <w:sz w:val="20"/>
                <w:szCs w:val="20"/>
                <w:color w:val="auto"/>
              </w:rPr>
            </w:pPr>
            <w:r>
              <w:rPr>
                <w:rFonts w:ascii="Times New Roman" w:cs="Times New Roman" w:eastAsia="Times New Roman" w:hAnsi="Times New Roman"/>
                <w:sz w:val="20"/>
                <w:szCs w:val="20"/>
                <w:color w:val="auto"/>
                <w:w w:val="99"/>
              </w:rPr>
              <w:t>(314) 213-7200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701"/>
        </w:trPr>
        <w:tc>
          <w:tcPr>
            <w:tcW w:w="8200" w:type="dxa"/>
            <w:vAlign w:val="bottom"/>
            <w:gridSpan w:val="7"/>
          </w:tcPr>
          <w:p>
            <w:pPr>
              <w:jc w:val="center"/>
              <w:ind w:left="11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tc>
      </w:tr>
      <w:tr>
        <w:trPr>
          <w:trHeight w:val="230"/>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Name of each exchange</w:t>
            </w:r>
          </w:p>
        </w:tc>
      </w:tr>
      <w:tr>
        <w:trPr>
          <w:trHeight w:val="208"/>
        </w:trPr>
        <w:tc>
          <w:tcPr>
            <w:tcW w:w="334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Title of each class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center"/>
              <w:ind w:right="340"/>
              <w:spacing w:after="0" w:line="207" w:lineRule="exact"/>
              <w:rPr>
                <w:sz w:val="20"/>
                <w:szCs w:val="20"/>
                <w:color w:val="auto"/>
              </w:rPr>
            </w:pPr>
            <w:r>
              <w:rPr>
                <w:rFonts w:ascii="Times New Roman" w:cs="Times New Roman" w:eastAsia="Times New Roman" w:hAnsi="Times New Roman"/>
                <w:sz w:val="20"/>
                <w:szCs w:val="20"/>
                <w:color w:val="auto"/>
              </w:rPr>
              <w:t>Trading Symbol(s)</w:t>
            </w:r>
          </w:p>
        </w:tc>
        <w:tc>
          <w:tcPr>
            <w:tcW w:w="340" w:type="dxa"/>
            <w:vAlign w:val="bottom"/>
          </w:tcPr>
          <w:p>
            <w:pPr>
              <w:spacing w:after="0"/>
              <w:rPr>
                <w:sz w:val="18"/>
                <w:szCs w:val="18"/>
                <w:color w:val="auto"/>
              </w:rPr>
            </w:pPr>
          </w:p>
        </w:tc>
        <w:tc>
          <w:tcPr>
            <w:tcW w:w="226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rPr>
              <w:t>on which registered</w:t>
            </w:r>
          </w:p>
        </w:tc>
      </w:tr>
      <w:tr>
        <w:trPr>
          <w:trHeight w:val="20"/>
        </w:trPr>
        <w:tc>
          <w:tcPr>
            <w:tcW w:w="3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228"/>
        </w:trPr>
        <w:tc>
          <w:tcPr>
            <w:tcW w:w="348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Common Stock, par value $0.01 per share</w:t>
            </w:r>
          </w:p>
        </w:tc>
        <w:tc>
          <w:tcPr>
            <w:tcW w:w="260" w:type="dxa"/>
            <w:vAlign w:val="bottom"/>
          </w:tcPr>
          <w:p>
            <w:pPr>
              <w:spacing w:after="0"/>
              <w:rPr>
                <w:sz w:val="19"/>
                <w:szCs w:val="19"/>
                <w:color w:val="auto"/>
              </w:rPr>
            </w:pPr>
          </w:p>
        </w:tc>
        <w:tc>
          <w:tcPr>
            <w:tcW w:w="1860" w:type="dxa"/>
            <w:vAlign w:val="bottom"/>
            <w:gridSpan w:val="2"/>
          </w:tcPr>
          <w:p>
            <w:pPr>
              <w:jc w:val="center"/>
              <w:ind w:right="340"/>
              <w:spacing w:after="0" w:line="229" w:lineRule="exact"/>
              <w:rPr>
                <w:sz w:val="20"/>
                <w:szCs w:val="20"/>
                <w:color w:val="auto"/>
              </w:rPr>
            </w:pPr>
            <w:r>
              <w:rPr>
                <w:rFonts w:ascii="Times New Roman" w:cs="Times New Roman" w:eastAsia="Times New Roman" w:hAnsi="Times New Roman"/>
                <w:sz w:val="20"/>
                <w:szCs w:val="20"/>
                <w:color w:val="auto"/>
              </w:rPr>
              <w:t>ESE</w:t>
            </w:r>
          </w:p>
        </w:tc>
        <w:tc>
          <w:tcPr>
            <w:tcW w:w="340" w:type="dxa"/>
            <w:vAlign w:val="bottom"/>
          </w:tcPr>
          <w:p>
            <w:pPr>
              <w:spacing w:after="0"/>
              <w:rPr>
                <w:sz w:val="19"/>
                <w:szCs w:val="19"/>
                <w:color w:val="auto"/>
              </w:rPr>
            </w:pPr>
          </w:p>
        </w:tc>
        <w:tc>
          <w:tcPr>
            <w:tcW w:w="22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rPr>
              <w:t>New York Stock Exchange</w:t>
            </w: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w:t>
      </w:r>
    </w:p>
    <w:p>
      <w:pPr>
        <w:jc w:val="center"/>
        <w:ind w:right="-39"/>
        <w:spacing w:after="0"/>
        <w:rPr>
          <w:sz w:val="20"/>
          <w:szCs w:val="20"/>
          <w:color w:val="auto"/>
        </w:rPr>
      </w:pPr>
      <w:r>
        <w:rPr>
          <w:rFonts w:ascii="Times New Roman" w:cs="Times New Roman" w:eastAsia="Times New Roman" w:hAnsi="Times New Roman"/>
          <w:sz w:val="20"/>
          <w:szCs w:val="20"/>
          <w:color w:val="auto"/>
        </w:rPr>
        <w:t>None</w:t>
      </w:r>
    </w:p>
    <w:p>
      <w:pPr>
        <w:ind w:left="3600"/>
        <w:spacing w:after="0"/>
        <w:rPr>
          <w:sz w:val="20"/>
          <w:szCs w:val="20"/>
          <w:color w:val="auto"/>
        </w:rPr>
      </w:pPr>
      <w:r>
        <w:rPr>
          <w:rFonts w:ascii="Times New Roman" w:cs="Times New Roman" w:eastAsia="Times New Roman" w:hAnsi="Times New Roman"/>
          <w:sz w:val="20"/>
          <w:szCs w:val="20"/>
          <w:b w:val="1"/>
          <w:bCs w:val="1"/>
          <w:color w:val="auto"/>
        </w:rPr>
        <w:t>_______________________</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 by check mark if the registrant is a well-known seasoned issuer, as defined in Rule 405 of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Yes</w:t>
      </w:r>
      <w:r>
        <w:rPr>
          <w:rFonts w:ascii="Times New Roman" w:cs="Times New Roman" w:eastAsia="Times New Roman" w:hAnsi="Times New Roman"/>
          <w:sz w:val="19"/>
          <w:szCs w:val="19"/>
          <w:color w:val="auto"/>
        </w:rPr>
        <w:t>No</w:t>
      </w:r>
    </w:p>
    <w:p>
      <w:pPr>
        <w:spacing w:after="0" w:line="137" w:lineRule="exact"/>
        <w:rPr>
          <w:sz w:val="20"/>
          <w:szCs w:val="20"/>
          <w:color w:val="auto"/>
        </w:rPr>
      </w:pPr>
    </w:p>
    <w:p>
      <w:pPr>
        <w:ind w:right="300"/>
        <w:spacing w:after="0" w:line="231" w:lineRule="auto"/>
        <w:rPr>
          <w:sz w:val="20"/>
          <w:szCs w:val="20"/>
          <w:color w:val="auto"/>
        </w:rPr>
      </w:pPr>
      <w:r>
        <w:rPr>
          <w:rFonts w:ascii="Times New Roman" w:cs="Times New Roman" w:eastAsia="Times New Roman" w:hAnsi="Times New Roman"/>
          <w:sz w:val="20"/>
          <w:szCs w:val="20"/>
          <w:color w:val="auto"/>
        </w:rPr>
        <w:t>Indicate by check mark if the registrant is not required to file reports pursuant to Section 13 or Section 15(d) of the Act. Yes No</w:t>
      </w:r>
    </w:p>
    <w:p>
      <w:pPr>
        <w:spacing w:after="0" w:line="13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40"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No</w:t>
      </w:r>
    </w:p>
    <w:p>
      <w:pPr>
        <w:sectPr>
          <w:pgSz w:w="12240" w:h="15840" w:orient="portrait"/>
          <w:cols w:equalWidth="0" w:num="1">
            <w:col w:w="9480"/>
          </w:cols>
          <w:pgMar w:left="1440" w:top="1440" w:right="132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w:t>
      </w:r>
    </w:p>
    <w:p>
      <w:pPr>
        <w:spacing w:after="0"/>
        <w:rPr>
          <w:sz w:val="20"/>
          <w:szCs w:val="20"/>
          <w:color w:val="auto"/>
        </w:rPr>
      </w:pPr>
      <w:r>
        <w:rPr>
          <w:rFonts w:ascii="Times New Roman" w:cs="Times New Roman" w:eastAsia="Times New Roman" w:hAnsi="Times New Roman"/>
          <w:sz w:val="20"/>
          <w:szCs w:val="20"/>
          <w:color w:val="auto"/>
        </w:rPr>
        <w:t xml:space="preserve">smaller reporting company, or an emerging growth company.  See the definitions of </w:t>
      </w:r>
      <w:r>
        <w:rPr>
          <w:rFonts w:ascii="Arial" w:cs="Arial" w:eastAsia="Arial" w:hAnsi="Arial"/>
          <w:sz w:val="20"/>
          <w:szCs w:val="20"/>
          <w:color w:val="auto"/>
        </w:rPr>
        <w:t>“</w:t>
      </w:r>
      <w:r>
        <w:rPr>
          <w:rFonts w:ascii="Times New Roman" w:cs="Times New Roman" w:eastAsia="Times New Roman" w:hAnsi="Times New Roman"/>
          <w:sz w:val="20"/>
          <w:szCs w:val="20"/>
          <w:color w:val="auto"/>
        </w:rPr>
        <w:t>large accelerated filer</w:t>
      </w: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Times New Roman" w:cs="Times New Roman" w:eastAsia="Times New Roman" w:hAnsi="Times New Roman"/>
          <w:sz w:val="19"/>
          <w:szCs w:val="19"/>
          <w:color w:val="auto"/>
        </w:rPr>
        <w:t>accelerated filer,</w:t>
      </w:r>
      <w:r>
        <w:rPr>
          <w:rFonts w:ascii="Arial" w:cs="Arial" w:eastAsia="Arial" w:hAnsi="Arial"/>
          <w:sz w:val="19"/>
          <w:szCs w:val="19"/>
          <w:color w:val="auto"/>
        </w:rPr>
        <w:t>” “</w:t>
      </w:r>
      <w:r>
        <w:rPr>
          <w:rFonts w:ascii="Times New Roman" w:cs="Times New Roman" w:eastAsia="Times New Roman" w:hAnsi="Times New Roman"/>
          <w:sz w:val="19"/>
          <w:szCs w:val="19"/>
          <w:color w:val="auto"/>
        </w:rPr>
        <w:t>smaller reporting company</w:t>
      </w:r>
      <w:r>
        <w:rPr>
          <w:rFonts w:ascii="Arial" w:cs="Arial" w:eastAsia="Arial" w:hAnsi="Arial"/>
          <w:sz w:val="19"/>
          <w:szCs w:val="19"/>
          <w:color w:val="auto"/>
        </w:rPr>
        <w:t xml:space="preserve">” and “emerging growth company” </w:t>
      </w:r>
      <w:r>
        <w:rPr>
          <w:rFonts w:ascii="Times New Roman" w:cs="Times New Roman" w:eastAsia="Times New Roman" w:hAnsi="Times New Roman"/>
          <w:sz w:val="19"/>
          <w:szCs w:val="19"/>
          <w:color w:val="auto"/>
        </w:rPr>
        <w:t>in Rule 12b-2 of the Exchange Act.</w:t>
      </w:r>
    </w:p>
    <w:p>
      <w:pPr>
        <w:sectPr>
          <w:pgSz w:w="12240" w:h="15840" w:orient="portrait"/>
          <w:cols w:equalWidth="0" w:num="1">
            <w:col w:w="9520"/>
          </w:cols>
          <w:pgMar w:left="1440" w:top="1439" w:right="1280" w:bottom="1440"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Large accelerated filer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Accelerated filer</w:t>
      </w:r>
    </w:p>
    <w:p>
      <w:pPr>
        <w:spacing w:after="0" w:line="77" w:lineRule="exact"/>
        <w:rPr>
          <w:sz w:val="20"/>
          <w:szCs w:val="20"/>
          <w:color w:val="auto"/>
        </w:rPr>
      </w:pPr>
    </w:p>
    <w:p>
      <w:pPr>
        <w:sectPr>
          <w:pgSz w:w="12240" w:h="15840" w:orient="portrait"/>
          <w:cols w:equalWidth="0" w:num="2">
            <w:col w:w="5500" w:space="720"/>
            <w:col w:w="3300"/>
          </w:cols>
          <w:pgMar w:left="1440" w:top="1439" w:right="1280"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Smaller reporting company</w:t>
      </w:r>
    </w:p>
    <w:p>
      <w:pPr>
        <w:spacing w:after="0" w:line="82" w:lineRule="exact"/>
        <w:rPr>
          <w:sz w:val="20"/>
          <w:szCs w:val="20"/>
          <w:color w:val="auto"/>
        </w:rPr>
      </w:pPr>
    </w:p>
    <w:p>
      <w:pPr>
        <w:sectPr>
          <w:pgSz w:w="12240" w:h="15840" w:orient="portrait"/>
          <w:cols w:equalWidth="0" w:num="2">
            <w:col w:w="5500" w:space="720"/>
            <w:col w:w="3300"/>
          </w:cols>
          <w:pgMar w:left="1440" w:top="1439" w:right="1280" w:bottom="1440" w:gutter="0" w:footer="0" w:header="0"/>
          <w:type w:val="continuous"/>
        </w:sectPr>
      </w:pPr>
    </w:p>
    <w:p>
      <w:pPr>
        <w:ind w:left="6220"/>
        <w:spacing w:after="0"/>
        <w:rPr>
          <w:sz w:val="20"/>
          <w:szCs w:val="20"/>
          <w:color w:val="auto"/>
        </w:rPr>
      </w:pPr>
      <w:r>
        <w:rPr>
          <w:rFonts w:ascii="Times New Roman" w:cs="Times New Roman" w:eastAsia="Times New Roman" w:hAnsi="Times New Roman"/>
          <w:sz w:val="20"/>
          <w:szCs w:val="20"/>
          <w:color w:val="auto"/>
        </w:rPr>
        <w:t>Emerging growth company</w:t>
      </w:r>
    </w:p>
    <w:p>
      <w:pPr>
        <w:sectPr>
          <w:pgSz w:w="12240" w:h="15840" w:orient="portrait"/>
          <w:cols w:equalWidth="0" w:num="1">
            <w:col w:w="9520"/>
          </w:cols>
          <w:pgMar w:left="1440" w:top="1439" w:right="1280" w:bottom="1440" w:gutter="0" w:footer="0" w:header="0"/>
          <w:type w:val="continuous"/>
        </w:sectPr>
      </w:pPr>
    </w:p>
    <w:p>
      <w:pPr>
        <w:spacing w:after="0" w:line="12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3"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 xml:space="preserve">Indicate by check mark whether the registrant has filed a report on and attestation to its management’s </w:t>
      </w:r>
      <w:r>
        <w:rPr>
          <w:rFonts w:ascii="Times New Roman" w:cs="Times New Roman" w:eastAsia="Times New Roman" w:hAnsi="Times New Roman"/>
          <w:sz w:val="20"/>
          <w:szCs w:val="20"/>
          <w:color w:val="auto"/>
        </w:rPr>
        <w:t>assessment of</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effectiveness of its internal control over financial reporting under Section 404(b) of the Sarbanes-Oxley Act (15 U.S.C. 7262(b)) by the registered public accounting firm that prepared or issued its audit report.</w:t>
      </w:r>
    </w:p>
    <w:p>
      <w:pPr>
        <w:spacing w:after="0" w:line="138" w:lineRule="exact"/>
        <w:rPr>
          <w:sz w:val="20"/>
          <w:szCs w:val="20"/>
          <w:color w:val="auto"/>
        </w:rPr>
      </w:pPr>
    </w:p>
    <w:p>
      <w:pPr>
        <w:ind w:right="640"/>
        <w:spacing w:after="0" w:line="234" w:lineRule="auto"/>
        <w:rPr>
          <w:sz w:val="20"/>
          <w:szCs w:val="20"/>
          <w:color w:val="auto"/>
        </w:rPr>
      </w:pPr>
      <w:r>
        <w:rPr>
          <w:rFonts w:ascii="Times New Roman" w:cs="Times New Roman" w:eastAsia="Times New Roman" w:hAnsi="Times New Roman"/>
          <w:sz w:val="20"/>
          <w:szCs w:val="20"/>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39"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w:t>
      </w:r>
      <w:r>
        <w:rPr>
          <w:rFonts w:ascii="Arial" w:cs="Arial" w:eastAsia="Arial" w:hAnsi="Arial"/>
          <w:sz w:val="20"/>
          <w:szCs w:val="20"/>
          <w:color w:val="auto"/>
        </w:rPr>
        <w:t>based compensation received by any of the registrant’s executive officers during the relevant recovery</w:t>
      </w:r>
      <w:r>
        <w:rPr>
          <w:rFonts w:ascii="Times New Roman" w:cs="Times New Roman" w:eastAsia="Times New Roman" w:hAnsi="Times New Roman"/>
          <w:sz w:val="20"/>
          <w:szCs w:val="20"/>
          <w:color w:val="auto"/>
        </w:rPr>
        <w:t xml:space="preserve"> period pursuant to §240.10D-1(b).</w:t>
      </w:r>
    </w:p>
    <w:p>
      <w:pPr>
        <w:spacing w:after="0" w:line="123" w:lineRule="exact"/>
        <w:rPr>
          <w:sz w:val="20"/>
          <w:szCs w:val="20"/>
          <w:color w:val="auto"/>
        </w:rPr>
      </w:pPr>
    </w:p>
    <w:p>
      <w:pPr>
        <w:spacing w:after="0"/>
        <w:tabs>
          <w:tab w:leader="none" w:pos="8560" w:val="left"/>
          <w:tab w:leader="none" w:pos="926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20"/>
          <w:szCs w:val="20"/>
          <w:color w:val="auto"/>
        </w:rPr>
        <w:t>Yes</w:t>
      </w:r>
      <w:r>
        <w:rPr>
          <w:sz w:val="20"/>
          <w:szCs w:val="20"/>
          <w:color w:val="auto"/>
        </w:rPr>
        <w:tab/>
      </w:r>
      <w:r>
        <w:rPr>
          <w:rFonts w:ascii="Times New Roman" w:cs="Times New Roman" w:eastAsia="Times New Roman" w:hAnsi="Times New Roman"/>
          <w:sz w:val="19"/>
          <w:szCs w:val="19"/>
          <w:color w:val="auto"/>
        </w:rPr>
        <w:t>No</w:t>
      </w:r>
    </w:p>
    <w:p>
      <w:pPr>
        <w:spacing w:after="0" w:line="13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color w:val="auto"/>
        </w:rPr>
        <w:t>Aggregate market value of the Common Stock held by non-affiliates of the registrant as of the close of trading on March 31, 2023</w:t>
      </w:r>
      <w:r>
        <w:rPr>
          <w:rFonts w:ascii="Arial" w:cs="Arial" w:eastAsia="Arial" w:hAnsi="Arial"/>
          <w:sz w:val="20"/>
          <w:szCs w:val="20"/>
          <w:color w:val="auto"/>
        </w:rPr>
        <w:t>, the last business day of the registrant’s most recently completed second fiscal quarter</w:t>
      </w:r>
      <w:r>
        <w:rPr>
          <w:rFonts w:ascii="Times New Roman" w:cs="Times New Roman" w:eastAsia="Times New Roman" w:hAnsi="Times New Roman"/>
          <w:sz w:val="20"/>
          <w:szCs w:val="20"/>
          <w:color w:val="auto"/>
        </w:rPr>
        <w:t>, based on the New York Stock Exchange closing price on March 31, 2023: approximately $2,423,000,000.*</w:t>
      </w:r>
    </w:p>
    <w:p>
      <w:pPr>
        <w:spacing w:after="0" w:line="131" w:lineRule="exact"/>
        <w:rPr>
          <w:sz w:val="20"/>
          <w:szCs w:val="20"/>
          <w:color w:val="auto"/>
        </w:rPr>
      </w:pPr>
    </w:p>
    <w:p>
      <w:pPr>
        <w:ind w:left="720" w:right="760"/>
        <w:spacing w:after="0" w:line="237" w:lineRule="auto"/>
        <w:rPr>
          <w:sz w:val="20"/>
          <w:szCs w:val="20"/>
          <w:color w:val="auto"/>
        </w:rPr>
      </w:pPr>
      <w:r>
        <w:rPr>
          <w:rFonts w:ascii="Times New Roman" w:cs="Times New Roman" w:eastAsia="Times New Roman" w:hAnsi="Times New Roman"/>
          <w:sz w:val="20"/>
          <w:szCs w:val="20"/>
          <w:color w:val="auto"/>
        </w:rPr>
        <w:t>*For purpose of this calculation only, without determining whether the following are affiliates of the registrant, the registrant has assumed that (i) its directors and executive officers are affiliates, and (ii) no party who has filed a Schedule 13D or 13G is an affiliate.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Common Stock outstanding at November 10, 2023:  25,803,969</w:t>
      </w:r>
    </w:p>
    <w:p>
      <w:pPr>
        <w:ind w:left="3600"/>
        <w:spacing w:after="0"/>
        <w:rPr>
          <w:sz w:val="20"/>
          <w:szCs w:val="20"/>
          <w:color w:val="auto"/>
        </w:rPr>
      </w:pPr>
      <w:r>
        <w:rPr>
          <w:rFonts w:ascii="Times New Roman" w:cs="Times New Roman" w:eastAsia="Times New Roman" w:hAnsi="Times New Roman"/>
          <w:sz w:val="20"/>
          <w:szCs w:val="20"/>
          <w:b w:val="1"/>
          <w:bCs w:val="1"/>
          <w:color w:val="auto"/>
        </w:rPr>
        <w:t>_______________________</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DOCUMENTS INCORPORATED BY REFERENCE:</w:t>
      </w:r>
    </w:p>
    <w:p>
      <w:pPr>
        <w:spacing w:after="0" w:line="129" w:lineRule="exact"/>
        <w:rPr>
          <w:sz w:val="20"/>
          <w:szCs w:val="20"/>
          <w:color w:val="auto"/>
        </w:rPr>
      </w:pPr>
    </w:p>
    <w:p>
      <w:pPr>
        <w:jc w:val="both"/>
        <w:ind w:right="240"/>
        <w:spacing w:after="0" w:line="236" w:lineRule="auto"/>
        <w:rPr>
          <w:sz w:val="20"/>
          <w:szCs w:val="20"/>
          <w:color w:val="auto"/>
        </w:rPr>
      </w:pPr>
      <w:r>
        <w:rPr>
          <w:rFonts w:ascii="Times New Roman" w:cs="Times New Roman" w:eastAsia="Times New Roman" w:hAnsi="Times New Roman"/>
          <w:sz w:val="20"/>
          <w:szCs w:val="20"/>
          <w:color w:val="auto"/>
        </w:rPr>
        <w:t>Part III of this Report incorporates by reference certain portions of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definitive Proxy Statement for its 2024 Annual Meeting of Shareholders, which the registrant currently anticipates first sending to shareholders on or about December 19, 2023 (hereinafter, the </w:t>
      </w:r>
      <w:r>
        <w:rPr>
          <w:rFonts w:ascii="Arial" w:cs="Arial" w:eastAsia="Arial" w:hAnsi="Arial"/>
          <w:sz w:val="20"/>
          <w:szCs w:val="20"/>
          <w:color w:val="auto"/>
        </w:rPr>
        <w:t>“</w:t>
      </w:r>
      <w:r>
        <w:rPr>
          <w:rFonts w:ascii="Times New Roman" w:cs="Times New Roman" w:eastAsia="Times New Roman" w:hAnsi="Times New Roman"/>
          <w:sz w:val="20"/>
          <w:szCs w:val="20"/>
          <w:color w:val="auto"/>
        </w:rPr>
        <w:t>2023 Proxy Statement</w:t>
      </w: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ectPr>
          <w:pgSz w:w="12240" w:h="15840" w:orient="portrait"/>
          <w:cols w:equalWidth="0" w:num="1">
            <w:col w:w="9520"/>
          </w:cols>
          <w:pgMar w:left="1440" w:top="1439" w:right="1280" w:bottom="1440" w:gutter="0" w:footer="0" w:header="0"/>
          <w:type w:val="continuous"/>
        </w:sectPr>
      </w:pPr>
    </w:p>
    <w:bookmarkStart w:id="8" w:name="page9"/>
    <w:bookmarkEnd w:id="8"/>
    <w:p>
      <w:pPr>
        <w:jc w:val="center"/>
        <w:ind w:right="-159"/>
        <w:spacing w:after="0"/>
        <w:rPr>
          <w:sz w:val="20"/>
          <w:szCs w:val="20"/>
          <w:color w:val="auto"/>
        </w:rPr>
      </w:pPr>
      <w:r>
        <w:rPr>
          <w:rFonts w:ascii="Arial" w:cs="Arial" w:eastAsia="Arial" w:hAnsi="Arial"/>
          <w:sz w:val="22"/>
          <w:szCs w:val="22"/>
          <w:b w:val="1"/>
          <w:bCs w:val="1"/>
          <w:color w:val="auto"/>
        </w:rPr>
        <w:t>INDEX TO ANNUAL REPORT ON FORM 10-K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20"/>
                <w:szCs w:val="20"/>
                <w:color w:val="auto"/>
                <w:w w:val="94"/>
              </w:rPr>
              <w:t>Page</w:t>
            </w:r>
          </w:p>
        </w:tc>
      </w:tr>
      <w:tr>
        <w:trPr>
          <w:trHeight w:val="435"/>
        </w:trPr>
        <w:tc>
          <w:tcPr>
            <w:tcW w:w="8660" w:type="dxa"/>
            <w:vAlign w:val="bottom"/>
            <w:gridSpan w:val="2"/>
          </w:tcPr>
          <w:p>
            <w:pPr>
              <w:ind w:left="20"/>
              <w:spacing w:after="0"/>
              <w:rPr>
                <w:sz w:val="20"/>
                <w:szCs w:val="20"/>
                <w:color w:val="auto"/>
              </w:rPr>
            </w:pPr>
            <w:r>
              <w:rPr>
                <w:rFonts w:ascii="Arial" w:cs="Arial" w:eastAsia="Arial" w:hAnsi="Arial"/>
                <w:sz w:val="22"/>
                <w:szCs w:val="22"/>
                <w:b w:val="1"/>
                <w:bCs w:val="1"/>
                <w:color w:val="auto"/>
              </w:rPr>
              <w:t>FORWARD-LOOKING INFORMATION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ii</w:t>
            </w:r>
          </w:p>
        </w:tc>
        <w:tc>
          <w:tcPr>
            <w:tcW w:w="80" w:type="dxa"/>
            <w:vAlign w:val="bottom"/>
          </w:tcPr>
          <w:p>
            <w:pPr>
              <w:spacing w:after="0"/>
              <w:rPr>
                <w:sz w:val="24"/>
                <w:szCs w:val="24"/>
                <w:color w:val="auto"/>
              </w:rPr>
            </w:pPr>
          </w:p>
        </w:tc>
      </w:tr>
      <w:tr>
        <w:trPr>
          <w:trHeight w:val="445"/>
        </w:trPr>
        <w:tc>
          <w:tcPr>
            <w:tcW w:w="86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PART I</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27"/>
        </w:trPr>
        <w:tc>
          <w:tcPr>
            <w:tcW w:w="380" w:type="dxa"/>
            <w:vAlign w:val="bottom"/>
          </w:tcPr>
          <w:p>
            <w:pPr>
              <w:ind w:left="20"/>
              <w:spacing w:after="0" w:line="228" w:lineRule="exact"/>
              <w:rPr>
                <w:sz w:val="20"/>
                <w:szCs w:val="20"/>
                <w:color w:val="auto"/>
              </w:rPr>
            </w:pPr>
            <w:r>
              <w:rPr>
                <w:rFonts w:ascii="Arial" w:cs="Arial" w:eastAsia="Arial" w:hAnsi="Arial"/>
                <w:sz w:val="20"/>
                <w:szCs w:val="20"/>
                <w:color w:val="auto"/>
              </w:rPr>
              <w:t>1.</w:t>
            </w:r>
          </w:p>
        </w:tc>
        <w:tc>
          <w:tcPr>
            <w:tcW w:w="8280" w:type="dxa"/>
            <w:vAlign w:val="bottom"/>
          </w:tcPr>
          <w:p>
            <w:pPr>
              <w:ind w:left="100"/>
              <w:spacing w:after="0" w:line="228" w:lineRule="exact"/>
              <w:rPr>
                <w:sz w:val="20"/>
                <w:szCs w:val="20"/>
                <w:color w:val="auto"/>
              </w:rPr>
            </w:pPr>
            <w:r>
              <w:rPr>
                <w:rFonts w:ascii="Arial" w:cs="Arial" w:eastAsia="Arial" w:hAnsi="Arial"/>
                <w:sz w:val="20"/>
                <w:szCs w:val="20"/>
                <w:color w:val="auto"/>
              </w:rPr>
              <w:t>Business</w:t>
            </w:r>
          </w:p>
        </w:tc>
        <w:tc>
          <w:tcPr>
            <w:tcW w:w="380" w:type="dxa"/>
            <w:vAlign w:val="bottom"/>
          </w:tcPr>
          <w:p>
            <w:pPr>
              <w:jc w:val="right"/>
              <w:spacing w:after="0" w:line="228" w:lineRule="exact"/>
              <w:rPr>
                <w:sz w:val="20"/>
                <w:szCs w:val="20"/>
                <w:color w:val="auto"/>
              </w:rPr>
            </w:pPr>
            <w:r>
              <w:rPr>
                <w:rFonts w:ascii="Arial" w:cs="Arial" w:eastAsia="Arial" w:hAnsi="Arial"/>
                <w:sz w:val="20"/>
                <w:szCs w:val="20"/>
                <w:color w:val="auto"/>
              </w:rPr>
              <w:t>1</w:t>
            </w:r>
          </w:p>
        </w:tc>
        <w:tc>
          <w:tcPr>
            <w:tcW w:w="80" w:type="dxa"/>
            <w:vAlign w:val="bottom"/>
          </w:tcPr>
          <w:p>
            <w:pPr>
              <w:spacing w:after="0"/>
              <w:rPr>
                <w:sz w:val="19"/>
                <w:szCs w:val="19"/>
                <w:color w:val="auto"/>
              </w:rPr>
            </w:pPr>
          </w:p>
        </w:tc>
      </w:tr>
      <w:tr>
        <w:trPr>
          <w:trHeight w:val="226"/>
        </w:trPr>
        <w:tc>
          <w:tcPr>
            <w:tcW w:w="380" w:type="dxa"/>
            <w:vAlign w:val="bottom"/>
          </w:tcPr>
          <w:p>
            <w:pPr>
              <w:spacing w:after="0"/>
              <w:rPr>
                <w:sz w:val="19"/>
                <w:szCs w:val="19"/>
                <w:color w:val="auto"/>
              </w:rPr>
            </w:pPr>
          </w:p>
        </w:tc>
        <w:tc>
          <w:tcPr>
            <w:tcW w:w="8280" w:type="dxa"/>
            <w:vAlign w:val="bottom"/>
          </w:tcPr>
          <w:p>
            <w:pPr>
              <w:ind w:left="540"/>
              <w:spacing w:after="0" w:line="226" w:lineRule="exact"/>
              <w:rPr>
                <w:sz w:val="20"/>
                <w:szCs w:val="20"/>
                <w:color w:val="auto"/>
              </w:rPr>
            </w:pPr>
            <w:r>
              <w:rPr>
                <w:rFonts w:ascii="Arial" w:cs="Arial" w:eastAsia="Arial" w:hAnsi="Arial"/>
                <w:sz w:val="20"/>
                <w:szCs w:val="20"/>
                <w:color w:val="auto"/>
              </w:rPr>
              <w:t>The Company</w:t>
            </w:r>
          </w:p>
        </w:tc>
        <w:tc>
          <w:tcPr>
            <w:tcW w:w="380" w:type="dxa"/>
            <w:vAlign w:val="bottom"/>
          </w:tcPr>
          <w:p>
            <w:pPr>
              <w:jc w:val="right"/>
              <w:spacing w:after="0" w:line="226" w:lineRule="exact"/>
              <w:rPr>
                <w:sz w:val="20"/>
                <w:szCs w:val="20"/>
                <w:color w:val="auto"/>
              </w:rPr>
            </w:pPr>
            <w:r>
              <w:rPr>
                <w:rFonts w:ascii="Arial" w:cs="Arial" w:eastAsia="Arial" w:hAnsi="Arial"/>
                <w:sz w:val="20"/>
                <w:szCs w:val="20"/>
                <w:color w:val="auto"/>
              </w:rPr>
              <w:t>1</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Products</w:t>
            </w:r>
          </w:p>
        </w:tc>
        <w:tc>
          <w:tcPr>
            <w:tcW w:w="38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9"/>
                <w:szCs w:val="19"/>
                <w:color w:val="auto"/>
              </w:rPr>
            </w:pPr>
          </w:p>
        </w:tc>
      </w:tr>
      <w:tr>
        <w:trPr>
          <w:trHeight w:val="231"/>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Marketing and Sales</w:t>
            </w:r>
          </w:p>
        </w:tc>
        <w:tc>
          <w:tcPr>
            <w:tcW w:w="3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Government Contracts</w:t>
            </w:r>
          </w:p>
        </w:tc>
        <w:tc>
          <w:tcPr>
            <w:tcW w:w="3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Intellectual Property</w:t>
            </w:r>
          </w:p>
        </w:tc>
        <w:tc>
          <w:tcPr>
            <w:tcW w:w="3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0"/>
                <w:szCs w:val="20"/>
                <w:color w:val="auto"/>
              </w:rPr>
            </w:pPr>
          </w:p>
        </w:tc>
      </w:tr>
      <w:tr>
        <w:trPr>
          <w:trHeight w:val="226"/>
        </w:trPr>
        <w:tc>
          <w:tcPr>
            <w:tcW w:w="380" w:type="dxa"/>
            <w:vAlign w:val="bottom"/>
          </w:tcPr>
          <w:p>
            <w:pPr>
              <w:spacing w:after="0"/>
              <w:rPr>
                <w:sz w:val="19"/>
                <w:szCs w:val="19"/>
                <w:color w:val="auto"/>
              </w:rPr>
            </w:pPr>
          </w:p>
        </w:tc>
        <w:tc>
          <w:tcPr>
            <w:tcW w:w="8280" w:type="dxa"/>
            <w:vAlign w:val="bottom"/>
          </w:tcPr>
          <w:p>
            <w:pPr>
              <w:ind w:left="540"/>
              <w:spacing w:after="0" w:line="227" w:lineRule="exact"/>
              <w:rPr>
                <w:sz w:val="20"/>
                <w:szCs w:val="20"/>
                <w:color w:val="auto"/>
              </w:rPr>
            </w:pPr>
            <w:r>
              <w:rPr>
                <w:rFonts w:ascii="Arial" w:cs="Arial" w:eastAsia="Arial" w:hAnsi="Arial"/>
                <w:sz w:val="20"/>
                <w:szCs w:val="20"/>
                <w:color w:val="auto"/>
              </w:rPr>
              <w:t>Backlog</w:t>
            </w:r>
          </w:p>
        </w:tc>
        <w:tc>
          <w:tcPr>
            <w:tcW w:w="380" w:type="dxa"/>
            <w:vAlign w:val="bottom"/>
          </w:tcPr>
          <w:p>
            <w:pPr>
              <w:jc w:val="right"/>
              <w:spacing w:after="0" w:line="227" w:lineRule="exact"/>
              <w:rPr>
                <w:sz w:val="20"/>
                <w:szCs w:val="20"/>
                <w:color w:val="auto"/>
              </w:rPr>
            </w:pPr>
            <w:r>
              <w:rPr>
                <w:rFonts w:ascii="Arial" w:cs="Arial" w:eastAsia="Arial" w:hAnsi="Arial"/>
                <w:sz w:val="20"/>
                <w:szCs w:val="20"/>
                <w:color w:val="auto"/>
              </w:rPr>
              <w:t>4</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Purchased Components and Raw Materials</w:t>
            </w:r>
          </w:p>
        </w:tc>
        <w:tc>
          <w:tcPr>
            <w:tcW w:w="38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Competition</w:t>
            </w:r>
          </w:p>
        </w:tc>
        <w:tc>
          <w:tcPr>
            <w:tcW w:w="38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Research and Development</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0"/>
                <w:szCs w:val="20"/>
                <w:color w:val="auto"/>
              </w:rPr>
            </w:pPr>
          </w:p>
        </w:tc>
      </w:tr>
      <w:tr>
        <w:trPr>
          <w:trHeight w:val="231"/>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Environmental Matters and Government Regulation</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0"/>
                <w:szCs w:val="20"/>
                <w:color w:val="auto"/>
              </w:rPr>
            </w:pPr>
          </w:p>
        </w:tc>
      </w:tr>
      <w:tr>
        <w:trPr>
          <w:trHeight w:val="226"/>
        </w:trPr>
        <w:tc>
          <w:tcPr>
            <w:tcW w:w="380" w:type="dxa"/>
            <w:vAlign w:val="bottom"/>
          </w:tcPr>
          <w:p>
            <w:pPr>
              <w:spacing w:after="0"/>
              <w:rPr>
                <w:sz w:val="19"/>
                <w:szCs w:val="19"/>
                <w:color w:val="auto"/>
              </w:rPr>
            </w:pPr>
          </w:p>
        </w:tc>
        <w:tc>
          <w:tcPr>
            <w:tcW w:w="8280" w:type="dxa"/>
            <w:vAlign w:val="bottom"/>
          </w:tcPr>
          <w:p>
            <w:pPr>
              <w:ind w:left="540"/>
              <w:spacing w:after="0" w:line="227" w:lineRule="exact"/>
              <w:rPr>
                <w:sz w:val="20"/>
                <w:szCs w:val="20"/>
                <w:color w:val="auto"/>
              </w:rPr>
            </w:pPr>
            <w:r>
              <w:rPr>
                <w:rFonts w:ascii="Arial" w:cs="Arial" w:eastAsia="Arial" w:hAnsi="Arial"/>
                <w:sz w:val="20"/>
                <w:szCs w:val="20"/>
                <w:color w:val="auto"/>
              </w:rPr>
              <w:t>Human Capital Management</w:t>
            </w:r>
          </w:p>
        </w:tc>
        <w:tc>
          <w:tcPr>
            <w:tcW w:w="380" w:type="dxa"/>
            <w:vAlign w:val="bottom"/>
          </w:tcPr>
          <w:p>
            <w:pPr>
              <w:jc w:val="right"/>
              <w:spacing w:after="0" w:line="227" w:lineRule="exact"/>
              <w:rPr>
                <w:sz w:val="20"/>
                <w:szCs w:val="20"/>
                <w:color w:val="auto"/>
              </w:rPr>
            </w:pPr>
            <w:r>
              <w:rPr>
                <w:rFonts w:ascii="Arial" w:cs="Arial" w:eastAsia="Arial" w:hAnsi="Arial"/>
                <w:sz w:val="20"/>
                <w:szCs w:val="20"/>
                <w:color w:val="auto"/>
              </w:rPr>
              <w:t>5</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Financing</w:t>
            </w:r>
          </w:p>
        </w:tc>
        <w:tc>
          <w:tcPr>
            <w:tcW w:w="38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Additional Information</w:t>
            </w:r>
          </w:p>
        </w:tc>
        <w:tc>
          <w:tcPr>
            <w:tcW w:w="38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Arial" w:cs="Arial" w:eastAsia="Arial" w:hAnsi="Arial"/>
                <w:sz w:val="20"/>
                <w:szCs w:val="20"/>
                <w:color w:val="auto"/>
              </w:rPr>
              <w:t>Information about our Executive Officers</w:t>
            </w:r>
          </w:p>
        </w:tc>
        <w:tc>
          <w:tcPr>
            <w:tcW w:w="38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0"/>
                <w:szCs w:val="20"/>
                <w:color w:val="auto"/>
              </w:rPr>
            </w:pPr>
          </w:p>
        </w:tc>
      </w:tr>
      <w:tr>
        <w:trPr>
          <w:trHeight w:val="230"/>
        </w:trPr>
        <w:tc>
          <w:tcPr>
            <w:tcW w:w="380" w:type="dxa"/>
            <w:vAlign w:val="bottom"/>
          </w:tcPr>
          <w:p>
            <w:pPr>
              <w:ind w:left="20"/>
              <w:spacing w:after="0"/>
              <w:rPr>
                <w:sz w:val="20"/>
                <w:szCs w:val="20"/>
                <w:color w:val="auto"/>
              </w:rPr>
            </w:pPr>
            <w:r>
              <w:rPr>
                <w:rFonts w:ascii="Arial" w:cs="Arial" w:eastAsia="Arial" w:hAnsi="Arial"/>
                <w:sz w:val="20"/>
                <w:szCs w:val="20"/>
                <w:color w:val="auto"/>
              </w:rPr>
              <w:t>1A.</w:t>
            </w:r>
          </w:p>
        </w:tc>
        <w:tc>
          <w:tcPr>
            <w:tcW w:w="8280" w:type="dxa"/>
            <w:vAlign w:val="bottom"/>
          </w:tcPr>
          <w:p>
            <w:pPr>
              <w:ind w:left="100"/>
              <w:spacing w:after="0"/>
              <w:rPr>
                <w:sz w:val="20"/>
                <w:szCs w:val="20"/>
                <w:color w:val="auto"/>
              </w:rPr>
            </w:pPr>
            <w:r>
              <w:rPr>
                <w:rFonts w:ascii="Arial" w:cs="Arial" w:eastAsia="Arial" w:hAnsi="Arial"/>
                <w:sz w:val="20"/>
                <w:szCs w:val="20"/>
                <w:color w:val="auto"/>
              </w:rPr>
              <w:t>Risk Factors</w:t>
            </w: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0"/>
                <w:szCs w:val="20"/>
                <w:color w:val="auto"/>
              </w:rPr>
            </w:pPr>
          </w:p>
        </w:tc>
      </w:tr>
      <w:tr>
        <w:trPr>
          <w:trHeight w:val="230"/>
        </w:trPr>
        <w:tc>
          <w:tcPr>
            <w:tcW w:w="380" w:type="dxa"/>
            <w:vAlign w:val="bottom"/>
          </w:tcPr>
          <w:p>
            <w:pPr>
              <w:ind w:left="20"/>
              <w:spacing w:after="0"/>
              <w:rPr>
                <w:sz w:val="20"/>
                <w:szCs w:val="20"/>
                <w:color w:val="auto"/>
              </w:rPr>
            </w:pPr>
            <w:r>
              <w:rPr>
                <w:rFonts w:ascii="Arial" w:cs="Arial" w:eastAsia="Arial" w:hAnsi="Arial"/>
                <w:sz w:val="20"/>
                <w:szCs w:val="20"/>
                <w:color w:val="auto"/>
              </w:rPr>
              <w:t>1B.</w:t>
            </w:r>
          </w:p>
        </w:tc>
        <w:tc>
          <w:tcPr>
            <w:tcW w:w="8280" w:type="dxa"/>
            <w:vAlign w:val="bottom"/>
          </w:tcPr>
          <w:p>
            <w:pPr>
              <w:ind w:left="100"/>
              <w:spacing w:after="0"/>
              <w:rPr>
                <w:sz w:val="20"/>
                <w:szCs w:val="20"/>
                <w:color w:val="auto"/>
              </w:rPr>
            </w:pPr>
            <w:r>
              <w:rPr>
                <w:rFonts w:ascii="Arial" w:cs="Arial" w:eastAsia="Arial" w:hAnsi="Arial"/>
                <w:sz w:val="20"/>
                <w:szCs w:val="20"/>
                <w:color w:val="auto"/>
              </w:rPr>
              <w:t>Unresolved Staff Comments</w:t>
            </w:r>
          </w:p>
        </w:tc>
        <w:tc>
          <w:tcPr>
            <w:tcW w:w="38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0"/>
                <w:szCs w:val="20"/>
                <w:color w:val="auto"/>
              </w:rPr>
            </w:pPr>
          </w:p>
        </w:tc>
      </w:tr>
      <w:tr>
        <w:trPr>
          <w:trHeight w:val="227"/>
        </w:trPr>
        <w:tc>
          <w:tcPr>
            <w:tcW w:w="380" w:type="dxa"/>
            <w:vAlign w:val="bottom"/>
          </w:tcPr>
          <w:p>
            <w:pPr>
              <w:ind w:left="20"/>
              <w:spacing w:after="0" w:line="227" w:lineRule="exact"/>
              <w:rPr>
                <w:sz w:val="20"/>
                <w:szCs w:val="20"/>
                <w:color w:val="auto"/>
              </w:rPr>
            </w:pPr>
            <w:r>
              <w:rPr>
                <w:rFonts w:ascii="Arial" w:cs="Arial" w:eastAsia="Arial" w:hAnsi="Arial"/>
                <w:sz w:val="20"/>
                <w:szCs w:val="20"/>
                <w:color w:val="auto"/>
              </w:rPr>
              <w:t>2.</w:t>
            </w:r>
          </w:p>
        </w:tc>
        <w:tc>
          <w:tcPr>
            <w:tcW w:w="8280" w:type="dxa"/>
            <w:vAlign w:val="bottom"/>
          </w:tcPr>
          <w:p>
            <w:pPr>
              <w:ind w:left="100"/>
              <w:spacing w:after="0" w:line="227" w:lineRule="exact"/>
              <w:rPr>
                <w:sz w:val="20"/>
                <w:szCs w:val="20"/>
                <w:color w:val="auto"/>
              </w:rPr>
            </w:pPr>
            <w:r>
              <w:rPr>
                <w:rFonts w:ascii="Arial" w:cs="Arial" w:eastAsia="Arial" w:hAnsi="Arial"/>
                <w:sz w:val="20"/>
                <w:szCs w:val="20"/>
                <w:color w:val="auto"/>
              </w:rPr>
              <w:t>Properties</w:t>
            </w:r>
          </w:p>
        </w:tc>
        <w:tc>
          <w:tcPr>
            <w:tcW w:w="380" w:type="dxa"/>
            <w:vAlign w:val="bottom"/>
          </w:tcPr>
          <w:p>
            <w:pPr>
              <w:jc w:val="right"/>
              <w:spacing w:after="0" w:line="227" w:lineRule="exact"/>
              <w:rPr>
                <w:sz w:val="20"/>
                <w:szCs w:val="20"/>
                <w:color w:val="auto"/>
              </w:rPr>
            </w:pPr>
            <w:r>
              <w:rPr>
                <w:rFonts w:ascii="Arial" w:cs="Arial" w:eastAsia="Arial" w:hAnsi="Arial"/>
                <w:sz w:val="20"/>
                <w:szCs w:val="20"/>
                <w:color w:val="auto"/>
              </w:rPr>
              <w:t>14</w:t>
            </w:r>
          </w:p>
        </w:tc>
        <w:tc>
          <w:tcPr>
            <w:tcW w:w="80" w:type="dxa"/>
            <w:vAlign w:val="bottom"/>
          </w:tcPr>
          <w:p>
            <w:pPr>
              <w:spacing w:after="0"/>
              <w:rPr>
                <w:sz w:val="19"/>
                <w:szCs w:val="19"/>
                <w:color w:val="auto"/>
              </w:rPr>
            </w:pPr>
          </w:p>
        </w:tc>
      </w:tr>
      <w:tr>
        <w:trPr>
          <w:trHeight w:val="230"/>
        </w:trPr>
        <w:tc>
          <w:tcPr>
            <w:tcW w:w="380" w:type="dxa"/>
            <w:vAlign w:val="bottom"/>
          </w:tcPr>
          <w:p>
            <w:pPr>
              <w:ind w:left="20"/>
              <w:spacing w:after="0"/>
              <w:rPr>
                <w:sz w:val="20"/>
                <w:szCs w:val="20"/>
                <w:color w:val="auto"/>
              </w:rPr>
            </w:pPr>
            <w:r>
              <w:rPr>
                <w:rFonts w:ascii="Arial" w:cs="Arial" w:eastAsia="Arial" w:hAnsi="Arial"/>
                <w:sz w:val="20"/>
                <w:szCs w:val="20"/>
                <w:color w:val="auto"/>
              </w:rPr>
              <w:t>3.</w:t>
            </w:r>
          </w:p>
        </w:tc>
        <w:tc>
          <w:tcPr>
            <w:tcW w:w="8280" w:type="dxa"/>
            <w:vAlign w:val="bottom"/>
          </w:tcPr>
          <w:p>
            <w:pPr>
              <w:ind w:left="100"/>
              <w:spacing w:after="0"/>
              <w:rPr>
                <w:sz w:val="20"/>
                <w:szCs w:val="20"/>
                <w:color w:val="auto"/>
              </w:rPr>
            </w:pPr>
            <w:r>
              <w:rPr>
                <w:rFonts w:ascii="Arial" w:cs="Arial" w:eastAsia="Arial" w:hAnsi="Arial"/>
                <w:sz w:val="20"/>
                <w:szCs w:val="20"/>
                <w:color w:val="auto"/>
              </w:rPr>
              <w:t>Legal Proceedings</w:t>
            </w:r>
          </w:p>
        </w:tc>
        <w:tc>
          <w:tcPr>
            <w:tcW w:w="38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19"/>
                <w:szCs w:val="19"/>
                <w:color w:val="auto"/>
              </w:rPr>
            </w:pPr>
          </w:p>
        </w:tc>
      </w:tr>
      <w:tr>
        <w:trPr>
          <w:trHeight w:val="230"/>
        </w:trPr>
        <w:tc>
          <w:tcPr>
            <w:tcW w:w="380" w:type="dxa"/>
            <w:vAlign w:val="bottom"/>
          </w:tcPr>
          <w:p>
            <w:pPr>
              <w:ind w:left="20"/>
              <w:spacing w:after="0"/>
              <w:rPr>
                <w:sz w:val="20"/>
                <w:szCs w:val="20"/>
                <w:color w:val="auto"/>
              </w:rPr>
            </w:pPr>
            <w:r>
              <w:rPr>
                <w:rFonts w:ascii="Arial" w:cs="Arial" w:eastAsia="Arial" w:hAnsi="Arial"/>
                <w:sz w:val="20"/>
                <w:szCs w:val="20"/>
                <w:color w:val="auto"/>
              </w:rPr>
              <w:t>4.</w:t>
            </w:r>
          </w:p>
        </w:tc>
        <w:tc>
          <w:tcPr>
            <w:tcW w:w="8280" w:type="dxa"/>
            <w:vAlign w:val="bottom"/>
          </w:tcPr>
          <w:p>
            <w:pPr>
              <w:ind w:left="100"/>
              <w:spacing w:after="0"/>
              <w:rPr>
                <w:sz w:val="20"/>
                <w:szCs w:val="20"/>
                <w:color w:val="auto"/>
              </w:rPr>
            </w:pPr>
            <w:r>
              <w:rPr>
                <w:rFonts w:ascii="Arial" w:cs="Arial" w:eastAsia="Arial" w:hAnsi="Arial"/>
                <w:sz w:val="20"/>
                <w:szCs w:val="20"/>
                <w:color w:val="auto"/>
              </w:rPr>
              <w:t>Mine Safety Disclosures</w:t>
            </w:r>
          </w:p>
        </w:tc>
        <w:tc>
          <w:tcPr>
            <w:tcW w:w="38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0"/>
                <w:szCs w:val="20"/>
                <w:color w:val="auto"/>
              </w:rPr>
            </w:pP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79056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extLst>
                    </a:blip>
                    <a:srcRect/>
                    <a:stretch>
                      <a:fillRect/>
                    </a:stretch>
                  </pic:blipFill>
                  <pic:spPr bwMode="auto">
                    <a:xfrm>
                      <a:off x="0" y="0"/>
                      <a:ext cx="5790565" cy="6350"/>
                    </a:xfrm>
                    <a:prstGeom prst="rect">
                      <a:avLst/>
                    </a:prstGeom>
                    <a:noFill/>
                  </pic:spPr>
                </pic:pic>
              </a:graphicData>
            </a:graphic>
          </wp:anchor>
        </w:drawing>
      </w:r>
    </w:p>
    <w:p>
      <w:pPr>
        <w:spacing w:after="0" w:line="5" w:lineRule="exact"/>
        <w:rPr>
          <w:sz w:val="20"/>
          <w:szCs w:val="20"/>
          <w:color w:val="auto"/>
        </w:rPr>
      </w:pPr>
    </w:p>
    <w:p>
      <w:pPr>
        <w:ind w:left="480" w:hanging="46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Market for Registrant’s Common Equity, Related Stockholder Matters</w:t>
      </w:r>
    </w:p>
    <w:tbl>
      <w:tblPr>
        <w:tblLayout w:type="fixed"/>
        <w:tblInd w:w="2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7480" w:type="dxa"/>
            <w:vAlign w:val="bottom"/>
          </w:tcPr>
          <w:p>
            <w:pPr>
              <w:ind w:left="540"/>
              <w:spacing w:after="0"/>
              <w:rPr>
                <w:sz w:val="20"/>
                <w:szCs w:val="20"/>
                <w:color w:val="auto"/>
              </w:rPr>
            </w:pPr>
            <w:r>
              <w:rPr>
                <w:rFonts w:ascii="Arial" w:cs="Arial" w:eastAsia="Arial" w:hAnsi="Arial"/>
                <w:sz w:val="20"/>
                <w:szCs w:val="20"/>
                <w:color w:val="auto"/>
              </w:rPr>
              <w:t>and Issuer Purchases of Equity Securities</w:t>
            </w:r>
          </w:p>
        </w:tc>
        <w:tc>
          <w:tcPr>
            <w:tcW w:w="10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1"/>
        </w:trPr>
        <w:tc>
          <w:tcPr>
            <w:tcW w:w="360" w:type="dxa"/>
            <w:vAlign w:val="bottom"/>
          </w:tcPr>
          <w:p>
            <w:pPr>
              <w:spacing w:after="0"/>
              <w:rPr>
                <w:sz w:val="20"/>
                <w:szCs w:val="20"/>
                <w:color w:val="auto"/>
              </w:rPr>
            </w:pPr>
            <w:r>
              <w:rPr>
                <w:rFonts w:ascii="Arial" w:cs="Arial" w:eastAsia="Arial" w:hAnsi="Arial"/>
                <w:sz w:val="20"/>
                <w:szCs w:val="20"/>
                <w:color w:val="auto"/>
              </w:rPr>
              <w:t>6.</w:t>
            </w:r>
          </w:p>
        </w:tc>
        <w:tc>
          <w:tcPr>
            <w:tcW w:w="7480" w:type="dxa"/>
            <w:vAlign w:val="bottom"/>
          </w:tcPr>
          <w:p>
            <w:pPr>
              <w:ind w:left="100"/>
              <w:spacing w:after="0"/>
              <w:rPr>
                <w:sz w:val="20"/>
                <w:szCs w:val="20"/>
                <w:color w:val="auto"/>
              </w:rPr>
            </w:pPr>
            <w:r>
              <w:rPr>
                <w:rFonts w:ascii="Arial" w:cs="Arial" w:eastAsia="Arial" w:hAnsi="Arial"/>
                <w:sz w:val="20"/>
                <w:szCs w:val="20"/>
                <w:color w:val="auto"/>
              </w:rPr>
              <w:t>[Reserved]</w:t>
            </w:r>
          </w:p>
        </w:tc>
        <w:tc>
          <w:tcPr>
            <w:tcW w:w="1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360" w:type="dxa"/>
            <w:vAlign w:val="bottom"/>
          </w:tcPr>
          <w:p>
            <w:pPr>
              <w:spacing w:after="0"/>
              <w:rPr>
                <w:sz w:val="20"/>
                <w:szCs w:val="20"/>
                <w:color w:val="auto"/>
              </w:rPr>
            </w:pPr>
            <w:r>
              <w:rPr>
                <w:rFonts w:ascii="Arial" w:cs="Arial" w:eastAsia="Arial" w:hAnsi="Arial"/>
                <w:sz w:val="20"/>
                <w:szCs w:val="20"/>
                <w:color w:val="auto"/>
              </w:rPr>
              <w:t>7.</w:t>
            </w:r>
          </w:p>
        </w:tc>
        <w:tc>
          <w:tcPr>
            <w:tcW w:w="7480" w:type="dxa"/>
            <w:vAlign w:val="bottom"/>
          </w:tcPr>
          <w:p>
            <w:pPr>
              <w:ind w:left="100"/>
              <w:spacing w:after="0"/>
              <w:rPr>
                <w:sz w:val="20"/>
                <w:szCs w:val="20"/>
                <w:color w:val="auto"/>
              </w:rPr>
            </w:pPr>
            <w:r>
              <w:rPr>
                <w:rFonts w:ascii="Arial" w:cs="Arial" w:eastAsia="Arial" w:hAnsi="Arial"/>
                <w:sz w:val="20"/>
                <w:szCs w:val="20"/>
                <w:color w:val="auto"/>
                <w:w w:val="93"/>
              </w:rPr>
              <w:t>Management’s Discussion and Analysis of Financial Condition and Results of Operations</w:t>
            </w:r>
          </w:p>
        </w:tc>
        <w:tc>
          <w:tcPr>
            <w:tcW w:w="1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6"/>
        </w:trPr>
        <w:tc>
          <w:tcPr>
            <w:tcW w:w="360" w:type="dxa"/>
            <w:vAlign w:val="bottom"/>
          </w:tcPr>
          <w:p>
            <w:pPr>
              <w:spacing w:after="0" w:line="227" w:lineRule="exact"/>
              <w:rPr>
                <w:sz w:val="20"/>
                <w:szCs w:val="20"/>
                <w:color w:val="auto"/>
              </w:rPr>
            </w:pPr>
            <w:r>
              <w:rPr>
                <w:rFonts w:ascii="Arial" w:cs="Arial" w:eastAsia="Arial" w:hAnsi="Arial"/>
                <w:sz w:val="20"/>
                <w:szCs w:val="20"/>
                <w:color w:val="auto"/>
              </w:rPr>
              <w:t>7A.</w:t>
            </w:r>
          </w:p>
        </w:tc>
        <w:tc>
          <w:tcPr>
            <w:tcW w:w="7480" w:type="dxa"/>
            <w:vAlign w:val="bottom"/>
          </w:tcPr>
          <w:p>
            <w:pPr>
              <w:ind w:left="100"/>
              <w:spacing w:after="0" w:line="227" w:lineRule="exact"/>
              <w:rPr>
                <w:sz w:val="20"/>
                <w:szCs w:val="20"/>
                <w:color w:val="auto"/>
              </w:rPr>
            </w:pPr>
            <w:r>
              <w:rPr>
                <w:rFonts w:ascii="Arial" w:cs="Arial" w:eastAsia="Arial" w:hAnsi="Arial"/>
                <w:sz w:val="20"/>
                <w:szCs w:val="20"/>
                <w:color w:val="auto"/>
              </w:rPr>
              <w:t>Quantitative and Qualitative Disclosures about Market Risk</w:t>
            </w:r>
          </w:p>
        </w:tc>
        <w:tc>
          <w:tcPr>
            <w:tcW w:w="1080" w:type="dxa"/>
            <w:vAlign w:val="bottom"/>
          </w:tcPr>
          <w:p>
            <w:pPr>
              <w:jc w:val="right"/>
              <w:spacing w:after="0" w:line="227" w:lineRule="exact"/>
              <w:rPr>
                <w:sz w:val="20"/>
                <w:szCs w:val="20"/>
                <w:color w:val="auto"/>
              </w:rPr>
            </w:pPr>
            <w:r>
              <w:rPr>
                <w:rFonts w:ascii="Arial" w:cs="Arial" w:eastAsia="Arial" w:hAnsi="Arial"/>
                <w:sz w:val="20"/>
                <w:szCs w:val="20"/>
                <w:color w:val="auto"/>
              </w:rPr>
              <w:t>24</w:t>
            </w:r>
          </w:p>
        </w:tc>
      </w:tr>
      <w:tr>
        <w:trPr>
          <w:trHeight w:val="230"/>
        </w:trPr>
        <w:tc>
          <w:tcPr>
            <w:tcW w:w="360" w:type="dxa"/>
            <w:vAlign w:val="bottom"/>
          </w:tcPr>
          <w:p>
            <w:pPr>
              <w:spacing w:after="0"/>
              <w:rPr>
                <w:sz w:val="20"/>
                <w:szCs w:val="20"/>
                <w:color w:val="auto"/>
              </w:rPr>
            </w:pPr>
            <w:r>
              <w:rPr>
                <w:rFonts w:ascii="Arial" w:cs="Arial" w:eastAsia="Arial" w:hAnsi="Arial"/>
                <w:sz w:val="20"/>
                <w:szCs w:val="20"/>
                <w:color w:val="auto"/>
              </w:rPr>
              <w:t>8.</w:t>
            </w:r>
          </w:p>
        </w:tc>
        <w:tc>
          <w:tcPr>
            <w:tcW w:w="7480" w:type="dxa"/>
            <w:vAlign w:val="bottom"/>
          </w:tcPr>
          <w:p>
            <w:pPr>
              <w:ind w:left="100"/>
              <w:spacing w:after="0"/>
              <w:rPr>
                <w:sz w:val="20"/>
                <w:szCs w:val="20"/>
                <w:color w:val="auto"/>
              </w:rPr>
            </w:pPr>
            <w:r>
              <w:rPr>
                <w:rFonts w:ascii="Arial" w:cs="Arial" w:eastAsia="Arial" w:hAnsi="Arial"/>
                <w:sz w:val="20"/>
                <w:szCs w:val="20"/>
                <w:color w:val="auto"/>
              </w:rPr>
              <w:t>Financial Statements and Supplementary Data</w:t>
            </w:r>
          </w:p>
        </w:tc>
        <w:tc>
          <w:tcPr>
            <w:tcW w:w="10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360" w:type="dxa"/>
            <w:vAlign w:val="bottom"/>
          </w:tcPr>
          <w:p>
            <w:pPr>
              <w:spacing w:after="0"/>
              <w:rPr>
                <w:sz w:val="20"/>
                <w:szCs w:val="20"/>
                <w:color w:val="auto"/>
              </w:rPr>
            </w:pPr>
            <w:r>
              <w:rPr>
                <w:rFonts w:ascii="Arial" w:cs="Arial" w:eastAsia="Arial" w:hAnsi="Arial"/>
                <w:sz w:val="20"/>
                <w:szCs w:val="20"/>
                <w:color w:val="auto"/>
              </w:rPr>
              <w:t>9.</w:t>
            </w:r>
          </w:p>
        </w:tc>
        <w:tc>
          <w:tcPr>
            <w:tcW w:w="7480" w:type="dxa"/>
            <w:vAlign w:val="bottom"/>
          </w:tcPr>
          <w:p>
            <w:pPr>
              <w:ind w:left="100"/>
              <w:spacing w:after="0"/>
              <w:rPr>
                <w:sz w:val="20"/>
                <w:szCs w:val="20"/>
                <w:color w:val="auto"/>
              </w:rPr>
            </w:pPr>
            <w:r>
              <w:rPr>
                <w:rFonts w:ascii="Arial" w:cs="Arial" w:eastAsia="Arial" w:hAnsi="Arial"/>
                <w:sz w:val="20"/>
                <w:szCs w:val="20"/>
                <w:color w:val="auto"/>
                <w:w w:val="92"/>
              </w:rPr>
              <w:t>Changes in and Disagreements with Accountants on Accounting and Financial Disclosure</w:t>
            </w:r>
          </w:p>
        </w:tc>
        <w:tc>
          <w:tcPr>
            <w:tcW w:w="10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360" w:type="dxa"/>
            <w:vAlign w:val="bottom"/>
          </w:tcPr>
          <w:p>
            <w:pPr>
              <w:spacing w:after="0"/>
              <w:rPr>
                <w:sz w:val="20"/>
                <w:szCs w:val="20"/>
                <w:color w:val="auto"/>
              </w:rPr>
            </w:pPr>
            <w:r>
              <w:rPr>
                <w:rFonts w:ascii="Arial" w:cs="Arial" w:eastAsia="Arial" w:hAnsi="Arial"/>
                <w:sz w:val="20"/>
                <w:szCs w:val="20"/>
                <w:color w:val="auto"/>
              </w:rPr>
              <w:t>9A.</w:t>
            </w:r>
          </w:p>
        </w:tc>
        <w:tc>
          <w:tcPr>
            <w:tcW w:w="7480" w:type="dxa"/>
            <w:vAlign w:val="bottom"/>
          </w:tcPr>
          <w:p>
            <w:pPr>
              <w:ind w:left="100"/>
              <w:spacing w:after="0"/>
              <w:rPr>
                <w:sz w:val="20"/>
                <w:szCs w:val="20"/>
                <w:color w:val="auto"/>
              </w:rPr>
            </w:pPr>
            <w:r>
              <w:rPr>
                <w:rFonts w:ascii="Arial" w:cs="Arial" w:eastAsia="Arial" w:hAnsi="Arial"/>
                <w:sz w:val="20"/>
                <w:szCs w:val="20"/>
                <w:color w:val="auto"/>
              </w:rPr>
              <w:t>Controls and Procedures</w:t>
            </w:r>
          </w:p>
        </w:tc>
        <w:tc>
          <w:tcPr>
            <w:tcW w:w="10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1"/>
        </w:trPr>
        <w:tc>
          <w:tcPr>
            <w:tcW w:w="360" w:type="dxa"/>
            <w:vAlign w:val="bottom"/>
          </w:tcPr>
          <w:p>
            <w:pPr>
              <w:spacing w:after="0"/>
              <w:rPr>
                <w:sz w:val="20"/>
                <w:szCs w:val="20"/>
                <w:color w:val="auto"/>
              </w:rPr>
            </w:pPr>
            <w:r>
              <w:rPr>
                <w:rFonts w:ascii="Arial" w:cs="Arial" w:eastAsia="Arial" w:hAnsi="Arial"/>
                <w:sz w:val="20"/>
                <w:szCs w:val="20"/>
                <w:color w:val="auto"/>
              </w:rPr>
              <w:t>9B.</w:t>
            </w:r>
          </w:p>
        </w:tc>
        <w:tc>
          <w:tcPr>
            <w:tcW w:w="7480" w:type="dxa"/>
            <w:vAlign w:val="bottom"/>
          </w:tcPr>
          <w:p>
            <w:pPr>
              <w:ind w:left="100"/>
              <w:spacing w:after="0"/>
              <w:rPr>
                <w:sz w:val="20"/>
                <w:szCs w:val="20"/>
                <w:color w:val="auto"/>
              </w:rPr>
            </w:pPr>
            <w:r>
              <w:rPr>
                <w:rFonts w:ascii="Arial" w:cs="Arial" w:eastAsia="Arial" w:hAnsi="Arial"/>
                <w:sz w:val="20"/>
                <w:szCs w:val="20"/>
                <w:color w:val="auto"/>
              </w:rPr>
              <w:t>Other Information</w:t>
            </w:r>
          </w:p>
        </w:tc>
        <w:tc>
          <w:tcPr>
            <w:tcW w:w="10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360" w:type="dxa"/>
            <w:vAlign w:val="bottom"/>
          </w:tcPr>
          <w:p>
            <w:pPr>
              <w:spacing w:after="0"/>
              <w:rPr>
                <w:sz w:val="20"/>
                <w:szCs w:val="20"/>
                <w:color w:val="auto"/>
              </w:rPr>
            </w:pPr>
            <w:r>
              <w:rPr>
                <w:rFonts w:ascii="Arial" w:cs="Arial" w:eastAsia="Arial" w:hAnsi="Arial"/>
                <w:sz w:val="20"/>
                <w:szCs w:val="20"/>
                <w:color w:val="auto"/>
              </w:rPr>
              <w:t>9C.</w:t>
            </w:r>
          </w:p>
        </w:tc>
        <w:tc>
          <w:tcPr>
            <w:tcW w:w="7480" w:type="dxa"/>
            <w:vAlign w:val="bottom"/>
          </w:tcPr>
          <w:p>
            <w:pPr>
              <w:ind w:left="10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1080" w:type="dxa"/>
            <w:vAlign w:val="bottom"/>
          </w:tcPr>
          <w:p>
            <w:pPr>
              <w:jc w:val="right"/>
              <w:spacing w:after="0"/>
              <w:rPr>
                <w:sz w:val="20"/>
                <w:szCs w:val="20"/>
                <w:color w:val="auto"/>
              </w:rPr>
            </w:pPr>
            <w:r>
              <w:rPr>
                <w:rFonts w:ascii="Arial" w:cs="Arial" w:eastAsia="Arial" w:hAnsi="Arial"/>
                <w:sz w:val="20"/>
                <w:szCs w:val="20"/>
                <w:color w:val="auto"/>
              </w:rPr>
              <w:t>25</w:t>
            </w: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 III</w:t>
      </w:r>
    </w:p>
    <w:tbl>
      <w:tblPr>
        <w:tblLayout w:type="fixed"/>
        <w:tblInd w:w="0" w:type="dxa"/>
        <w:tblCellMar>
          <w:top w:w="0" w:type="dxa"/>
          <w:left w:w="0" w:type="dxa"/>
          <w:bottom w:w="0" w:type="dxa"/>
          <w:right w:w="0" w:type="dxa"/>
        </w:tblCellMar>
      </w:tblPr>
      <w:tr>
        <w:trPr>
          <w:trHeight w:val="236"/>
        </w:trPr>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20"/>
                <w:szCs w:val="20"/>
                <w:color w:val="auto"/>
                <w:w w:val="78"/>
              </w:rPr>
              <w:t>10.</w:t>
            </w:r>
          </w:p>
        </w:tc>
        <w:tc>
          <w:tcPr>
            <w:tcW w:w="7900" w:type="dxa"/>
            <w:vAlign w:val="bottom"/>
            <w:tcBorders>
              <w:top w:val="single" w:sz="8" w:color="auto"/>
            </w:tcBorders>
          </w:tcPr>
          <w:p>
            <w:pPr>
              <w:ind w:left="120"/>
              <w:spacing w:after="0"/>
              <w:rPr>
                <w:sz w:val="20"/>
                <w:szCs w:val="20"/>
                <w:color w:val="auto"/>
              </w:rPr>
            </w:pPr>
            <w:r>
              <w:rPr>
                <w:rFonts w:ascii="Arial" w:cs="Arial" w:eastAsia="Arial" w:hAnsi="Arial"/>
                <w:sz w:val="20"/>
                <w:szCs w:val="20"/>
                <w:color w:val="auto"/>
              </w:rPr>
              <w:t>Directors, Executive Officers and Corporate Governance</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20"/>
                <w:szCs w:val="20"/>
                <w:color w:val="auto"/>
              </w:rPr>
              <w:t>26</w:t>
            </w:r>
          </w:p>
        </w:tc>
      </w:tr>
      <w:tr>
        <w:trPr>
          <w:trHeight w:val="226"/>
        </w:trPr>
        <w:tc>
          <w:tcPr>
            <w:tcW w:w="360" w:type="dxa"/>
            <w:vAlign w:val="bottom"/>
          </w:tcPr>
          <w:p>
            <w:pPr>
              <w:jc w:val="right"/>
              <w:ind w:right="19"/>
              <w:spacing w:after="0" w:line="226" w:lineRule="exact"/>
              <w:rPr>
                <w:sz w:val="20"/>
                <w:szCs w:val="20"/>
                <w:color w:val="auto"/>
              </w:rPr>
            </w:pPr>
            <w:r>
              <w:rPr>
                <w:rFonts w:ascii="Arial" w:cs="Arial" w:eastAsia="Arial" w:hAnsi="Arial"/>
                <w:sz w:val="20"/>
                <w:szCs w:val="20"/>
                <w:color w:val="auto"/>
                <w:w w:val="78"/>
              </w:rPr>
              <w:t>11.</w:t>
            </w:r>
          </w:p>
        </w:tc>
        <w:tc>
          <w:tcPr>
            <w:tcW w:w="7900" w:type="dxa"/>
            <w:vAlign w:val="bottom"/>
          </w:tcPr>
          <w:p>
            <w:pPr>
              <w:ind w:left="120"/>
              <w:spacing w:after="0" w:line="226" w:lineRule="exact"/>
              <w:rPr>
                <w:sz w:val="20"/>
                <w:szCs w:val="20"/>
                <w:color w:val="auto"/>
              </w:rPr>
            </w:pPr>
            <w:r>
              <w:rPr>
                <w:rFonts w:ascii="Arial" w:cs="Arial" w:eastAsia="Arial" w:hAnsi="Arial"/>
                <w:sz w:val="20"/>
                <w:szCs w:val="20"/>
                <w:color w:val="auto"/>
              </w:rPr>
              <w:t>Executive Compensation</w:t>
            </w:r>
          </w:p>
        </w:tc>
        <w:tc>
          <w:tcPr>
            <w:tcW w:w="860" w:type="dxa"/>
            <w:vAlign w:val="bottom"/>
          </w:tcPr>
          <w:p>
            <w:pPr>
              <w:jc w:val="right"/>
              <w:ind w:right="79"/>
              <w:spacing w:after="0" w:line="226" w:lineRule="exact"/>
              <w:rPr>
                <w:sz w:val="20"/>
                <w:szCs w:val="20"/>
                <w:color w:val="auto"/>
              </w:rPr>
            </w:pPr>
            <w:r>
              <w:rPr>
                <w:rFonts w:ascii="Arial" w:cs="Arial" w:eastAsia="Arial" w:hAnsi="Arial"/>
                <w:sz w:val="20"/>
                <w:szCs w:val="20"/>
                <w:color w:val="auto"/>
              </w:rPr>
              <w:t>26</w:t>
            </w:r>
          </w:p>
        </w:tc>
      </w:tr>
      <w:tr>
        <w:trPr>
          <w:trHeight w:val="230"/>
        </w:trPr>
        <w:tc>
          <w:tcPr>
            <w:tcW w:w="360" w:type="dxa"/>
            <w:vAlign w:val="bottom"/>
          </w:tcPr>
          <w:p>
            <w:pPr>
              <w:jc w:val="right"/>
              <w:ind w:right="19"/>
              <w:spacing w:after="0"/>
              <w:rPr>
                <w:sz w:val="20"/>
                <w:szCs w:val="20"/>
                <w:color w:val="auto"/>
              </w:rPr>
            </w:pPr>
            <w:r>
              <w:rPr>
                <w:rFonts w:ascii="Arial" w:cs="Arial" w:eastAsia="Arial" w:hAnsi="Arial"/>
                <w:sz w:val="20"/>
                <w:szCs w:val="20"/>
                <w:color w:val="auto"/>
                <w:w w:val="78"/>
              </w:rPr>
              <w:t>12.</w:t>
            </w:r>
          </w:p>
        </w:tc>
        <w:tc>
          <w:tcPr>
            <w:tcW w:w="7900" w:type="dxa"/>
            <w:vAlign w:val="bottom"/>
          </w:tcPr>
          <w:p>
            <w:pPr>
              <w:ind w:left="120"/>
              <w:spacing w:after="0"/>
              <w:rPr>
                <w:sz w:val="20"/>
                <w:szCs w:val="20"/>
                <w:color w:val="auto"/>
              </w:rPr>
            </w:pPr>
            <w:r>
              <w:rPr>
                <w:rFonts w:ascii="Arial" w:cs="Arial" w:eastAsia="Arial" w:hAnsi="Arial"/>
                <w:sz w:val="20"/>
                <w:szCs w:val="20"/>
                <w:color w:val="auto"/>
                <w:w w:val="87"/>
              </w:rPr>
              <w:t>Security Ownership of Certain Beneficial Owners and Management and Related Stockholder Matters</w:t>
            </w:r>
          </w:p>
        </w:tc>
        <w:tc>
          <w:tcPr>
            <w:tcW w:w="860" w:type="dxa"/>
            <w:vAlign w:val="bottom"/>
          </w:tcPr>
          <w:p>
            <w:pPr>
              <w:jc w:val="right"/>
              <w:ind w:right="79"/>
              <w:spacing w:after="0"/>
              <w:rPr>
                <w:sz w:val="20"/>
                <w:szCs w:val="20"/>
                <w:color w:val="auto"/>
              </w:rPr>
            </w:pPr>
            <w:r>
              <w:rPr>
                <w:rFonts w:ascii="Arial" w:cs="Arial" w:eastAsia="Arial" w:hAnsi="Arial"/>
                <w:sz w:val="20"/>
                <w:szCs w:val="20"/>
                <w:color w:val="auto"/>
              </w:rPr>
              <w:t>26</w:t>
            </w:r>
          </w:p>
        </w:tc>
      </w:tr>
      <w:tr>
        <w:trPr>
          <w:trHeight w:val="231"/>
        </w:trPr>
        <w:tc>
          <w:tcPr>
            <w:tcW w:w="360" w:type="dxa"/>
            <w:vAlign w:val="bottom"/>
          </w:tcPr>
          <w:p>
            <w:pPr>
              <w:jc w:val="right"/>
              <w:ind w:right="19"/>
              <w:spacing w:after="0"/>
              <w:rPr>
                <w:sz w:val="20"/>
                <w:szCs w:val="20"/>
                <w:color w:val="auto"/>
              </w:rPr>
            </w:pPr>
            <w:r>
              <w:rPr>
                <w:rFonts w:ascii="Arial" w:cs="Arial" w:eastAsia="Arial" w:hAnsi="Arial"/>
                <w:sz w:val="20"/>
                <w:szCs w:val="20"/>
                <w:color w:val="auto"/>
                <w:w w:val="78"/>
              </w:rPr>
              <w:t>13.</w:t>
            </w:r>
          </w:p>
        </w:tc>
        <w:tc>
          <w:tcPr>
            <w:tcW w:w="7900" w:type="dxa"/>
            <w:vAlign w:val="bottom"/>
          </w:tcPr>
          <w:p>
            <w:pPr>
              <w:ind w:left="12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860" w:type="dxa"/>
            <w:vAlign w:val="bottom"/>
          </w:tcPr>
          <w:p>
            <w:pPr>
              <w:jc w:val="right"/>
              <w:ind w:right="79"/>
              <w:spacing w:after="0"/>
              <w:rPr>
                <w:sz w:val="20"/>
                <w:szCs w:val="20"/>
                <w:color w:val="auto"/>
              </w:rPr>
            </w:pPr>
            <w:r>
              <w:rPr>
                <w:rFonts w:ascii="Arial" w:cs="Arial" w:eastAsia="Arial" w:hAnsi="Arial"/>
                <w:sz w:val="20"/>
                <w:szCs w:val="20"/>
                <w:color w:val="auto"/>
              </w:rPr>
              <w:t>27</w:t>
            </w:r>
          </w:p>
        </w:tc>
      </w:tr>
      <w:tr>
        <w:trPr>
          <w:trHeight w:val="230"/>
        </w:trPr>
        <w:tc>
          <w:tcPr>
            <w:tcW w:w="360" w:type="dxa"/>
            <w:vAlign w:val="bottom"/>
          </w:tcPr>
          <w:p>
            <w:pPr>
              <w:jc w:val="right"/>
              <w:ind w:right="19"/>
              <w:spacing w:after="0"/>
              <w:rPr>
                <w:sz w:val="20"/>
                <w:szCs w:val="20"/>
                <w:color w:val="auto"/>
              </w:rPr>
            </w:pPr>
            <w:r>
              <w:rPr>
                <w:rFonts w:ascii="Arial" w:cs="Arial" w:eastAsia="Arial" w:hAnsi="Arial"/>
                <w:sz w:val="20"/>
                <w:szCs w:val="20"/>
                <w:color w:val="auto"/>
                <w:w w:val="78"/>
              </w:rPr>
              <w:t>14.</w:t>
            </w:r>
          </w:p>
        </w:tc>
        <w:tc>
          <w:tcPr>
            <w:tcW w:w="7900" w:type="dxa"/>
            <w:vAlign w:val="bottom"/>
          </w:tcPr>
          <w:p>
            <w:pPr>
              <w:ind w:left="120"/>
              <w:spacing w:after="0"/>
              <w:rPr>
                <w:sz w:val="20"/>
                <w:szCs w:val="20"/>
                <w:color w:val="auto"/>
              </w:rPr>
            </w:pPr>
            <w:r>
              <w:rPr>
                <w:rFonts w:ascii="Arial" w:cs="Arial" w:eastAsia="Arial" w:hAnsi="Arial"/>
                <w:sz w:val="20"/>
                <w:szCs w:val="20"/>
                <w:color w:val="auto"/>
              </w:rPr>
              <w:t>Principal Accountant Fees and Services</w:t>
            </w:r>
          </w:p>
        </w:tc>
        <w:tc>
          <w:tcPr>
            <w:tcW w:w="860" w:type="dxa"/>
            <w:vAlign w:val="bottom"/>
          </w:tcPr>
          <w:p>
            <w:pPr>
              <w:jc w:val="right"/>
              <w:ind w:right="79"/>
              <w:spacing w:after="0"/>
              <w:rPr>
                <w:sz w:val="20"/>
                <w:szCs w:val="20"/>
                <w:color w:val="auto"/>
              </w:rPr>
            </w:pPr>
            <w:r>
              <w:rPr>
                <w:rFonts w:ascii="Arial" w:cs="Arial" w:eastAsia="Arial" w:hAnsi="Arial"/>
                <w:sz w:val="20"/>
                <w:szCs w:val="20"/>
                <w:color w:val="auto"/>
              </w:rPr>
              <w:t>27</w:t>
            </w: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 IV</w:t>
      </w:r>
    </w:p>
    <w:tbl>
      <w:tblPr>
        <w:tblLayout w:type="fixed"/>
        <w:tblInd w:w="0" w:type="dxa"/>
        <w:tblCellMar>
          <w:top w:w="0" w:type="dxa"/>
          <w:left w:w="0" w:type="dxa"/>
          <w:bottom w:w="0" w:type="dxa"/>
          <w:right w:w="0" w:type="dxa"/>
        </w:tblCellMar>
      </w:tblPr>
      <w:tr>
        <w:trPr>
          <w:trHeight w:val="236"/>
        </w:trPr>
        <w:tc>
          <w:tcPr>
            <w:tcW w:w="3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15.</w:t>
            </w:r>
          </w:p>
        </w:tc>
        <w:tc>
          <w:tcPr>
            <w:tcW w:w="5680" w:type="dxa"/>
            <w:vAlign w:val="bottom"/>
            <w:tcBorders>
              <w:top w:val="single" w:sz="8" w:color="auto"/>
            </w:tcBorders>
          </w:tcPr>
          <w:p>
            <w:pPr>
              <w:ind w:left="120"/>
              <w:spacing w:after="0"/>
              <w:rPr>
                <w:sz w:val="20"/>
                <w:szCs w:val="20"/>
                <w:color w:val="auto"/>
              </w:rPr>
            </w:pPr>
            <w:r>
              <w:rPr>
                <w:rFonts w:ascii="Arial" w:cs="Arial" w:eastAsia="Arial" w:hAnsi="Arial"/>
                <w:sz w:val="20"/>
                <w:szCs w:val="20"/>
                <w:color w:val="auto"/>
              </w:rPr>
              <w:t>Exhibits, Financial Statement Schedules</w:t>
            </w:r>
          </w:p>
        </w:tc>
        <w:tc>
          <w:tcPr>
            <w:tcW w:w="3080" w:type="dxa"/>
            <w:vAlign w:val="bottom"/>
            <w:tcBorders>
              <w:top w:val="single" w:sz="8" w:color="auto"/>
            </w:tcBorders>
          </w:tcPr>
          <w:p>
            <w:pPr>
              <w:jc w:val="right"/>
              <w:ind w:right="79"/>
              <w:spacing w:after="0"/>
              <w:rPr>
                <w:sz w:val="20"/>
                <w:szCs w:val="20"/>
                <w:color w:val="auto"/>
              </w:rPr>
            </w:pPr>
            <w:r>
              <w:rPr>
                <w:rFonts w:ascii="Arial" w:cs="Arial" w:eastAsia="Arial" w:hAnsi="Arial"/>
                <w:sz w:val="20"/>
                <w:szCs w:val="20"/>
                <w:color w:val="auto"/>
              </w:rPr>
              <w:t>28</w:t>
            </w:r>
          </w:p>
        </w:tc>
      </w:tr>
      <w:tr>
        <w:trPr>
          <w:trHeight w:val="230"/>
        </w:trPr>
        <w:tc>
          <w:tcPr>
            <w:tcW w:w="360" w:type="dxa"/>
            <w:vAlign w:val="bottom"/>
          </w:tcPr>
          <w:p>
            <w:pPr>
              <w:ind w:left="20"/>
              <w:spacing w:after="0"/>
              <w:rPr>
                <w:sz w:val="20"/>
                <w:szCs w:val="20"/>
                <w:color w:val="auto"/>
              </w:rPr>
            </w:pPr>
            <w:r>
              <w:rPr>
                <w:rFonts w:ascii="Arial" w:cs="Arial" w:eastAsia="Arial" w:hAnsi="Arial"/>
                <w:sz w:val="20"/>
                <w:szCs w:val="20"/>
                <w:color w:val="auto"/>
              </w:rPr>
              <w:t>16.</w:t>
            </w:r>
          </w:p>
        </w:tc>
        <w:tc>
          <w:tcPr>
            <w:tcW w:w="5680" w:type="dxa"/>
            <w:vAlign w:val="bottom"/>
          </w:tcPr>
          <w:p>
            <w:pPr>
              <w:ind w:left="120"/>
              <w:spacing w:after="0"/>
              <w:rPr>
                <w:sz w:val="20"/>
                <w:szCs w:val="20"/>
                <w:color w:val="auto"/>
              </w:rPr>
            </w:pPr>
            <w:r>
              <w:rPr>
                <w:rFonts w:ascii="Arial" w:cs="Arial" w:eastAsia="Arial" w:hAnsi="Arial"/>
                <w:sz w:val="20"/>
                <w:szCs w:val="20"/>
                <w:color w:val="auto"/>
              </w:rPr>
              <w:t>Form 10-K Summary</w:t>
            </w:r>
          </w:p>
        </w:tc>
        <w:tc>
          <w:tcPr>
            <w:tcW w:w="3080" w:type="dxa"/>
            <w:vAlign w:val="bottom"/>
          </w:tcPr>
          <w:p>
            <w:pPr>
              <w:jc w:val="right"/>
              <w:ind w:right="79"/>
              <w:spacing w:after="0"/>
              <w:rPr>
                <w:sz w:val="20"/>
                <w:szCs w:val="20"/>
                <w:color w:val="auto"/>
              </w:rPr>
            </w:pPr>
            <w:r>
              <w:rPr>
                <w:rFonts w:ascii="Arial" w:cs="Arial" w:eastAsia="Arial" w:hAnsi="Arial"/>
                <w:sz w:val="20"/>
                <w:szCs w:val="20"/>
                <w:color w:val="auto"/>
              </w:rPr>
              <w:t>30</w:t>
            </w:r>
          </w:p>
        </w:tc>
      </w:tr>
      <w:tr>
        <w:trPr>
          <w:trHeight w:val="432"/>
        </w:trPr>
        <w:tc>
          <w:tcPr>
            <w:tcW w:w="6040" w:type="dxa"/>
            <w:vAlign w:val="bottom"/>
            <w:gridSpan w:val="2"/>
          </w:tcPr>
          <w:p>
            <w:pPr>
              <w:ind w:left="20"/>
              <w:spacing w:after="0"/>
              <w:rPr>
                <w:sz w:val="20"/>
                <w:szCs w:val="20"/>
                <w:color w:val="auto"/>
              </w:rPr>
            </w:pPr>
            <w:r>
              <w:rPr>
                <w:rFonts w:ascii="Arial" w:cs="Arial" w:eastAsia="Arial" w:hAnsi="Arial"/>
                <w:sz w:val="22"/>
                <w:szCs w:val="22"/>
                <w:b w:val="1"/>
                <w:bCs w:val="1"/>
                <w:color w:val="auto"/>
              </w:rPr>
              <w:t>SIGNATURES</w:t>
            </w:r>
          </w:p>
        </w:tc>
        <w:tc>
          <w:tcPr>
            <w:tcW w:w="3080" w:type="dxa"/>
            <w:vAlign w:val="bottom"/>
          </w:tcPr>
          <w:p>
            <w:pPr>
              <w:jc w:val="right"/>
              <w:ind w:right="79"/>
              <w:spacing w:after="0"/>
              <w:rPr>
                <w:sz w:val="20"/>
                <w:szCs w:val="20"/>
                <w:color w:val="auto"/>
              </w:rPr>
            </w:pPr>
            <w:r>
              <w:rPr>
                <w:rFonts w:ascii="Arial" w:cs="Arial" w:eastAsia="Arial" w:hAnsi="Arial"/>
                <w:sz w:val="20"/>
                <w:szCs w:val="20"/>
                <w:color w:val="auto"/>
              </w:rPr>
              <w:t>31</w:t>
            </w:r>
          </w:p>
        </w:tc>
      </w:tr>
      <w:tr>
        <w:trPr>
          <w:trHeight w:val="432"/>
        </w:trPr>
        <w:tc>
          <w:tcPr>
            <w:tcW w:w="6040" w:type="dxa"/>
            <w:vAlign w:val="bottom"/>
            <w:gridSpan w:val="2"/>
          </w:tcPr>
          <w:p>
            <w:pPr>
              <w:ind w:left="20"/>
              <w:spacing w:after="0"/>
              <w:rPr>
                <w:sz w:val="20"/>
                <w:szCs w:val="20"/>
                <w:color w:val="auto"/>
              </w:rPr>
            </w:pPr>
            <w:r>
              <w:rPr>
                <w:rFonts w:ascii="Arial" w:cs="Arial" w:eastAsia="Arial" w:hAnsi="Arial"/>
                <w:sz w:val="22"/>
                <w:szCs w:val="22"/>
                <w:b w:val="1"/>
                <w:bCs w:val="1"/>
                <w:color w:val="auto"/>
              </w:rPr>
              <w:t>FINANCIAL INFORMATION</w:t>
            </w:r>
          </w:p>
        </w:tc>
        <w:tc>
          <w:tcPr>
            <w:tcW w:w="3080" w:type="dxa"/>
            <w:vAlign w:val="bottom"/>
          </w:tcPr>
          <w:p>
            <w:pPr>
              <w:jc w:val="right"/>
              <w:ind w:right="79"/>
              <w:spacing w:after="0"/>
              <w:rPr>
                <w:sz w:val="20"/>
                <w:szCs w:val="20"/>
                <w:color w:val="auto"/>
              </w:rPr>
            </w:pPr>
            <w:r>
              <w:rPr>
                <w:rFonts w:ascii="Arial" w:cs="Arial" w:eastAsia="Arial" w:hAnsi="Arial"/>
                <w:sz w:val="20"/>
                <w:szCs w:val="20"/>
                <w:color w:val="auto"/>
              </w:rPr>
              <w:t>F-1</w:t>
            </w:r>
          </w:p>
        </w:tc>
      </w:tr>
      <w:tr>
        <w:trPr>
          <w:trHeight w:val="432"/>
        </w:trPr>
        <w:tc>
          <w:tcPr>
            <w:tcW w:w="6040" w:type="dxa"/>
            <w:vAlign w:val="bottom"/>
            <w:gridSpan w:val="2"/>
          </w:tcPr>
          <w:p>
            <w:pPr>
              <w:ind w:left="20"/>
              <w:spacing w:after="0"/>
              <w:rPr>
                <w:sz w:val="20"/>
                <w:szCs w:val="20"/>
                <w:color w:val="auto"/>
              </w:rPr>
            </w:pPr>
            <w:r>
              <w:rPr>
                <w:rFonts w:ascii="Arial" w:cs="Arial" w:eastAsia="Arial" w:hAnsi="Arial"/>
                <w:sz w:val="22"/>
                <w:szCs w:val="22"/>
                <w:b w:val="1"/>
                <w:bCs w:val="1"/>
                <w:color w:val="auto"/>
              </w:rPr>
              <w:t>EXHIBITS</w:t>
            </w:r>
          </w:p>
        </w:tc>
        <w:tc>
          <w:tcPr>
            <w:tcW w:w="3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i</w:t>
      </w:r>
    </w:p>
    <w:p>
      <w:pPr>
        <w:sectPr>
          <w:pgSz w:w="12240" w:h="15840" w:orient="portrait"/>
          <w:cols w:equalWidth="0" w:num="1">
            <w:col w:w="9380"/>
          </w:cols>
          <w:pgMar w:left="1420" w:top="1439" w:right="1440" w:bottom="0" w:gutter="0" w:footer="0" w:header="0"/>
        </w:sectPr>
      </w:pPr>
    </w:p>
    <w:bookmarkStart w:id="9" w:name="page10"/>
    <w:bookmarkEnd w:id="9"/>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60737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extLst>
                    </a:blip>
                    <a:srcRect/>
                    <a:stretch>
                      <a:fillRect/>
                    </a:stretch>
                  </pic:blipFill>
                  <pic:spPr bwMode="auto">
                    <a:xfrm>
                      <a:off x="0" y="0"/>
                      <a:ext cx="6073775" cy="6350"/>
                    </a:xfrm>
                    <a:prstGeom prst="rect">
                      <a:avLst/>
                    </a:prstGeom>
                    <a:noFill/>
                  </pic:spPr>
                </pic:pic>
              </a:graphicData>
            </a:graphic>
          </wp:anchor>
        </w:drawing>
      </w:r>
    </w:p>
    <w:p>
      <w:pPr>
        <w:sectPr>
          <w:pgSz w:w="12240" w:h="15840" w:orient="portrait"/>
          <w:cols w:equalWidth="0" w:num="1">
            <w:col w:w="9460"/>
          </w:cols>
          <w:pgMar w:left="1440" w:top="1440" w:right="1340" w:bottom="0" w:gutter="0" w:footer="0" w:header="0"/>
        </w:sectPr>
      </w:pPr>
    </w:p>
    <w:p>
      <w:pPr>
        <w:spacing w:after="0" w:line="3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Statements contained in this Form 10-K regarding future events and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future results that are based on current expectations, estimates, forecasts and projections about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performance and the industries in which the Company operates are considered </w:t>
      </w:r>
      <w:r>
        <w:rPr>
          <w:rFonts w:ascii="Arial" w:cs="Arial" w:eastAsia="Arial" w:hAnsi="Arial"/>
          <w:sz w:val="20"/>
          <w:szCs w:val="20"/>
          <w:color w:val="auto"/>
        </w:rPr>
        <w:t>“</w:t>
      </w:r>
      <w:r>
        <w:rPr>
          <w:rFonts w:ascii="Times New Roman" w:cs="Times New Roman" w:eastAsia="Times New Roman" w:hAnsi="Times New Roman"/>
          <w:sz w:val="20"/>
          <w:szCs w:val="20"/>
          <w:color w:val="auto"/>
        </w:rPr>
        <w:t>forward-looking statements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within the meaning of the safe harbor provisions of the Federal securities laws. These include, without limitation, statements about: the adequacy of the </w:t>
      </w:r>
      <w:r>
        <w:rPr>
          <w:rFonts w:ascii="Arial" w:cs="Arial" w:eastAsia="Arial" w:hAnsi="Arial"/>
          <w:sz w:val="20"/>
          <w:szCs w:val="20"/>
          <w:color w:val="auto"/>
        </w:rPr>
        <w:t xml:space="preserve">Company’s buildings, machinery and equipment; the </w:t>
      </w:r>
      <w:r>
        <w:rPr>
          <w:rFonts w:ascii="Times New Roman" w:cs="Times New Roman" w:eastAsia="Times New Roman" w:hAnsi="Times New Roman"/>
          <w:sz w:val="20"/>
          <w:szCs w:val="20"/>
          <w:color w:val="auto"/>
        </w:rPr>
        <w:t>adequacy</w:t>
      </w:r>
      <w:r>
        <w:rPr>
          <w:rFonts w:ascii="Arial" w:cs="Arial" w:eastAsia="Arial" w:hAnsi="Arial"/>
          <w:sz w:val="20"/>
          <w:szCs w:val="20"/>
          <w:color w:val="auto"/>
        </w:rPr>
        <w:t xml:space="preserve"> of the Company’s credit facilities and future cash </w:t>
      </w:r>
      <w:r>
        <w:rPr>
          <w:rFonts w:ascii="Times New Roman" w:cs="Times New Roman" w:eastAsia="Times New Roman" w:hAnsi="Times New Roman"/>
          <w:sz w:val="20"/>
          <w:szCs w:val="20"/>
          <w:color w:val="auto"/>
        </w:rPr>
        <w:t xml:space="preserve">flows; the outcome of litigation, claims and charges; future costs relating to environmental matters; repayment of debt within the next twelve months; the outlook for all or any part of </w:t>
      </w:r>
      <w:r>
        <w:rPr>
          <w:rFonts w:ascii="Arial" w:cs="Arial" w:eastAsia="Arial" w:hAnsi="Arial"/>
          <w:sz w:val="20"/>
          <w:szCs w:val="20"/>
          <w:color w:val="auto"/>
        </w:rPr>
        <w:t>the Company’s business</w:t>
      </w:r>
      <w:r>
        <w:rPr>
          <w:rFonts w:ascii="Times New Roman" w:cs="Times New Roman" w:eastAsia="Times New Roman" w:hAnsi="Times New Roman"/>
          <w:sz w:val="20"/>
          <w:szCs w:val="20"/>
          <w:color w:val="auto"/>
        </w:rPr>
        <w:t xml:space="preserve">, including amounts, timing and sources of future sales, revenues, sales growth, and comparisons with the current year; interest on Company debt obligations; the ability of expected hedging gains or losses to be offset by losses or gains on related underlying exposures; </w:t>
      </w:r>
      <w:r>
        <w:rPr>
          <w:rFonts w:ascii="Arial" w:cs="Arial" w:eastAsia="Arial" w:hAnsi="Arial"/>
          <w:sz w:val="20"/>
          <w:szCs w:val="20"/>
          <w:color w:val="auto"/>
        </w:rPr>
        <w:t>the Company’s ability to increase shareholder value; acquisitions;</w:t>
      </w:r>
      <w:r>
        <w:rPr>
          <w:rFonts w:ascii="Times New Roman" w:cs="Times New Roman" w:eastAsia="Times New Roman" w:hAnsi="Times New Roman"/>
          <w:sz w:val="20"/>
          <w:szCs w:val="20"/>
          <w:color w:val="auto"/>
        </w:rPr>
        <w:t xml:space="preserve"> income tax expense and </w:t>
      </w:r>
      <w:r>
        <w:rPr>
          <w:rFonts w:ascii="Arial" w:cs="Arial" w:eastAsia="Arial" w:hAnsi="Arial"/>
          <w:sz w:val="20"/>
          <w:szCs w:val="20"/>
          <w:color w:val="auto"/>
        </w:rPr>
        <w:t>the Company’s</w:t>
      </w:r>
      <w:r>
        <w:rPr>
          <w:rFonts w:ascii="Times New Roman" w:cs="Times New Roman" w:eastAsia="Times New Roman" w:hAnsi="Times New Roman"/>
          <w:sz w:val="20"/>
          <w:szCs w:val="20"/>
          <w:color w:val="auto"/>
        </w:rPr>
        <w:t xml:space="preserve"> expected effective tax rate; the recognition of unrecognized compensation costs related to share-based compensation arrangements; </w:t>
      </w:r>
      <w:r>
        <w:rPr>
          <w:rFonts w:ascii="Arial" w:cs="Arial" w:eastAsia="Arial" w:hAnsi="Arial"/>
          <w:sz w:val="20"/>
          <w:szCs w:val="20"/>
          <w:color w:val="auto"/>
        </w:rPr>
        <w:t>the Company’s exposure to market risk related to interest rates and to foreign currency exchange risk;</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 xml:space="preserve">the likelihood of future variations in the Company’s assumptions or estimates used in recording contracts and </w:t>
      </w:r>
      <w:r>
        <w:rPr>
          <w:rFonts w:ascii="Times New Roman" w:cs="Times New Roman" w:eastAsia="Times New Roman" w:hAnsi="Times New Roman"/>
          <w:sz w:val="20"/>
          <w:szCs w:val="20"/>
          <w:color w:val="auto"/>
        </w:rPr>
        <w:t xml:space="preserve">expected costs at completion under the percentage of completion method; </w:t>
      </w:r>
      <w:r>
        <w:rPr>
          <w:rFonts w:ascii="Arial" w:cs="Arial" w:eastAsia="Arial" w:hAnsi="Arial"/>
          <w:sz w:val="20"/>
          <w:szCs w:val="20"/>
          <w:color w:val="auto"/>
        </w:rPr>
        <w:t>the Company’s estimates and assumptions</w:t>
      </w:r>
      <w:r>
        <w:rPr>
          <w:rFonts w:ascii="Times New Roman" w:cs="Times New Roman" w:eastAsia="Times New Roman" w:hAnsi="Times New Roman"/>
          <w:sz w:val="20"/>
          <w:szCs w:val="20"/>
          <w:color w:val="auto"/>
        </w:rPr>
        <w:t xml:space="preserve"> as to future events used in the preparation of its financial statements; costs and estimated earnings from long-term contracts; valuation of inventories; estimates of uncollectible accounts receivable; the risk of goodwill impairment; the </w:t>
      </w:r>
      <w:r>
        <w:rPr>
          <w:rFonts w:ascii="Arial" w:cs="Arial" w:eastAsia="Arial" w:hAnsi="Arial"/>
          <w:sz w:val="20"/>
          <w:szCs w:val="20"/>
          <w:color w:val="auto"/>
        </w:rPr>
        <w:t>Company’s</w:t>
      </w:r>
      <w:r>
        <w:rPr>
          <w:rFonts w:ascii="Times New Roman" w:cs="Times New Roman" w:eastAsia="Times New Roman" w:hAnsi="Times New Roman"/>
          <w:sz w:val="20"/>
          <w:szCs w:val="20"/>
          <w:color w:val="auto"/>
        </w:rPr>
        <w:t xml:space="preserve"> estimates utilized in software revenue recognition, non-cash depreciation and the amortization of intangible assets; the valuation of deferred tax assets; estimates of future cash flows and fair values in connection with the risk of goodwill impairment; amounts of NOL not realizable and the timing and amount of the reduction of unrecognized tax benefits; the effects of implementing recently issued accounting pronouncements; and any other statements contained herein which are not strictly historical. Words such as expects, anticipates, targets, goals, projects, intends, plans, believes, estimates, variations of such words, and similar expressions are intended to identify such forward-looking statements.</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Investors are cautioned that such statements are only predictions and speak only as of the date of this Form 10-K, and the Company undertakes no duty to update the information in this Form 10-K except as may be required by applicable laws or regulations.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actual results in the future may differ materially from those projected in the forward-looking statements due to risks and uncertainties that exist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operations and business environment, including but not limited to those described herein under </w:t>
      </w:r>
      <w:r>
        <w:rPr>
          <w:rFonts w:ascii="Arial" w:cs="Arial" w:eastAsia="Arial" w:hAnsi="Arial"/>
          <w:sz w:val="20"/>
          <w:szCs w:val="20"/>
          <w:color w:val="auto"/>
        </w:rPr>
        <w:t>“</w:t>
      </w:r>
      <w:r>
        <w:rPr>
          <w:rFonts w:ascii="Times New Roman" w:cs="Times New Roman" w:eastAsia="Times New Roman" w:hAnsi="Times New Roman"/>
          <w:sz w:val="20"/>
          <w:szCs w:val="20"/>
          <w:color w:val="auto"/>
        </w:rPr>
        <w:t>Item 1A, Risk Factors,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the following: the impacts of climate change and related regulation of greenhouse gases; the impacts of labor disputes, civil disorder, wars, elections, political changes, tariffs and trade disputes, terrorist activities, cyberattacks or natural disasters on the </w:t>
      </w:r>
      <w:r>
        <w:rPr>
          <w:rFonts w:ascii="Arial" w:cs="Arial" w:eastAsia="Arial" w:hAnsi="Arial"/>
          <w:sz w:val="20"/>
          <w:szCs w:val="20"/>
          <w:color w:val="auto"/>
        </w:rPr>
        <w:t>Company’s operations and those of the Company’s customers and suppliers</w:t>
      </w:r>
      <w:r>
        <w:rPr>
          <w:rFonts w:ascii="Times New Roman" w:cs="Times New Roman" w:eastAsia="Times New Roman" w:hAnsi="Times New Roman"/>
          <w:sz w:val="20"/>
          <w:szCs w:val="20"/>
          <w:color w:val="auto"/>
        </w:rPr>
        <w:t>; disruptions in manufacturing or delivery</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arrangements due to shortages or unavailability of materials or components or supply chain disruptions; inability to access work sites; the timing and content of future customer orders; the timely appropriation and allocation of Government funds; the termination for convenience of Government and other customer contracts or orders; the timing and magnitude of future contract awards; weakening of economic conditions in served markets; the success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competitors; changes in customer demands or customer insolvencies; competition; intellectual property rights; technical difficulties or data breaches; the availability of selected acquisitions; defaults by customers; performance issues with key customers, suppliers and subcontractors; material changes in the costs and availability of certain raw materials; material changes in the cost of credit; changes in laws and regulations including but not limited to changes in accounting standards and taxation requirements; costs relating to environmental matters; litigation uncertainty;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inability to successfully execute internal restructuring and other plans; and the integration and performance of recently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ii</w:t>
      </w:r>
    </w:p>
    <w:p>
      <w:pPr>
        <w:sectPr>
          <w:pgSz w:w="12240" w:h="15840" w:orient="portrait"/>
          <w:cols w:equalWidth="0" w:num="1">
            <w:col w:w="9460"/>
          </w:cols>
          <w:pgMar w:left="1440" w:top="1440" w:right="1340" w:bottom="0" w:gutter="0" w:footer="0" w:header="0"/>
          <w:type w:val="continuous"/>
        </w:sectPr>
      </w:pPr>
    </w:p>
    <w:bookmarkStart w:id="10" w:name="page11"/>
    <w:bookmarkEnd w:id="10"/>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609854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extLst>
                    </a:blip>
                    <a:srcRect/>
                    <a:stretch>
                      <a:fillRect/>
                    </a:stretch>
                  </pic:blipFill>
                  <pic:spPr bwMode="auto">
                    <a:xfrm>
                      <a:off x="0" y="0"/>
                      <a:ext cx="6098540" cy="6350"/>
                    </a:xfrm>
                    <a:prstGeom prst="rect">
                      <a:avLst/>
                    </a:prstGeom>
                    <a:noFill/>
                  </pic:spPr>
                </pic:pic>
              </a:graphicData>
            </a:graphic>
          </wp:anchor>
        </w:drawing>
      </w:r>
    </w:p>
    <w:p>
      <w:pPr>
        <w:sectPr>
          <w:pgSz w:w="12240" w:h="15840" w:orient="portrait"/>
          <w:cols w:equalWidth="0" w:num="1">
            <w:col w:w="9520"/>
          </w:cols>
          <w:pgMar w:left="1440" w:top="1440" w:right="1280" w:bottom="673"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12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The Registrant is ESCO Technologies Inc., sometimes referred to in this report as ESCO. Except where the context indicates otherwise, t</w:t>
      </w:r>
      <w:r>
        <w:rPr>
          <w:rFonts w:ascii="Arial" w:cs="Arial" w:eastAsia="Arial" w:hAnsi="Arial"/>
          <w:sz w:val="20"/>
          <w:szCs w:val="20"/>
          <w:color w:val="auto"/>
        </w:rPr>
        <w:t>he terms “Company”, “we”, “our” and “us” are used in this report to refer to ESCO</w:t>
      </w:r>
      <w:r>
        <w:rPr>
          <w:rFonts w:ascii="Times New Roman" w:cs="Times New Roman" w:eastAsia="Times New Roman" w:hAnsi="Times New Roman"/>
          <w:sz w:val="20"/>
          <w:szCs w:val="20"/>
          <w:color w:val="auto"/>
        </w:rPr>
        <w:t xml:space="preserve"> together with its subsidiaries through which its businesses are conducted. We are:</w:t>
      </w:r>
    </w:p>
    <w:p>
      <w:pPr>
        <w:spacing w:after="0" w:line="137" w:lineRule="exact"/>
        <w:rPr>
          <w:sz w:val="20"/>
          <w:szCs w:val="20"/>
          <w:color w:val="auto"/>
        </w:rPr>
      </w:pPr>
    </w:p>
    <w:p>
      <w:pPr>
        <w:ind w:left="760" w:right="220" w:hanging="351"/>
        <w:spacing w:after="0" w:line="236" w:lineRule="auto"/>
        <w:tabs>
          <w:tab w:leader="none" w:pos="7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global provider of highly engineered filtration and fluid control products and integrated propulsion systems for the aviation, navy, space and process markets worldwide, as well as composite-based products and solutions for navy, defense and industrial customers;</w:t>
      </w:r>
    </w:p>
    <w:p>
      <w:pPr>
        <w:spacing w:after="0" w:line="131" w:lineRule="exact"/>
        <w:rPr>
          <w:rFonts w:ascii="Arial" w:cs="Arial" w:eastAsia="Arial" w:hAnsi="Arial"/>
          <w:sz w:val="20"/>
          <w:szCs w:val="20"/>
          <w:color w:val="auto"/>
        </w:rPr>
      </w:pPr>
    </w:p>
    <w:p>
      <w:pPr>
        <w:ind w:left="760" w:hanging="351"/>
        <w:spacing w:after="0" w:line="235" w:lineRule="auto"/>
        <w:tabs>
          <w:tab w:leader="none" w:pos="7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An industry leader in radio frequency (RF) shielding and electromagnetic compatibility (EMC) test products; and</w:t>
      </w:r>
    </w:p>
    <w:p>
      <w:pPr>
        <w:spacing w:after="0" w:line="134" w:lineRule="exact"/>
        <w:rPr>
          <w:rFonts w:ascii="Arial" w:cs="Arial" w:eastAsia="Arial" w:hAnsi="Arial"/>
          <w:sz w:val="20"/>
          <w:szCs w:val="20"/>
          <w:color w:val="auto"/>
        </w:rPr>
      </w:pPr>
    </w:p>
    <w:p>
      <w:pPr>
        <w:ind w:left="760" w:right="780" w:hanging="351"/>
        <w:spacing w:after="0" w:line="235" w:lineRule="auto"/>
        <w:tabs>
          <w:tab w:leader="none" w:pos="7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provider of diagnostic instruments, software and services for the benefit of the electric utility and renewable energy industries and industrial power users.</w:t>
      </w:r>
    </w:p>
    <w:p>
      <w:pPr>
        <w:spacing w:after="0" w:line="12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 xml:space="preserve">Our business is focused on generating predictable and profitable long-term growth through continued innovation and expansion of our product offerings across each of our business segments. We conduct our business through a number of wholly-owned direct and indirect subsidiaries. Our corporate strategy is centered on a multi-segment approach designed to enhance the strength and sustainability of sales and earnings growth by providing lower risk through diversification. Our </w:t>
      </w:r>
      <w:r>
        <w:rPr>
          <w:rFonts w:ascii="Arial" w:cs="Arial" w:eastAsia="Arial" w:hAnsi="Arial"/>
          <w:sz w:val="20"/>
          <w:szCs w:val="20"/>
          <w:color w:val="auto"/>
        </w:rPr>
        <w:t>stock is listed on the New York Stock Exchange, where its ticker symbol is “ESE”.</w:t>
      </w:r>
    </w:p>
    <w:p>
      <w:pPr>
        <w:spacing w:after="0" w:line="131"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 xml:space="preserve">Our fiscal year ends September 30. Throughout this Annual Report, unless the context indicates otherwise, references to a year (for example 2023) refer to our fiscal year ending on September 30 of that year, and references to the </w:t>
      </w:r>
      <w:r>
        <w:rPr>
          <w:rFonts w:ascii="Arial" w:cs="Arial" w:eastAsia="Arial" w:hAnsi="Arial"/>
          <w:sz w:val="20"/>
          <w:szCs w:val="20"/>
          <w:color w:val="auto"/>
        </w:rPr>
        <w:t xml:space="preserve">“Consolidated Financial Statements” refer to </w:t>
      </w:r>
      <w:r>
        <w:rPr>
          <w:rFonts w:ascii="Times New Roman" w:cs="Times New Roman" w:eastAsia="Times New Roman" w:hAnsi="Times New Roman"/>
          <w:sz w:val="20"/>
          <w:szCs w:val="20"/>
          <w:color w:val="auto"/>
        </w:rPr>
        <w:t>our Consolidated Financial statements included in the Financial</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Information section of this Annual Report beginning on page F-1, an Index to which is provided on page F-1.</w:t>
      </w:r>
    </w:p>
    <w:p>
      <w:pPr>
        <w:spacing w:after="0" w:line="13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We classify our business operations into three segments for financial reporting purposes, although for reporting certain financial information we treat Corporate activities as a separate segment. Our three operating segments during 2023, together with the significant domestic and foreign operating subsidiaries within each segment, are as follows: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Aerospace &amp; Defense (A&amp;D):</w:t>
      </w:r>
    </w:p>
    <w:p>
      <w:pPr>
        <w:ind w:left="720"/>
        <w:spacing w:after="0"/>
        <w:rPr>
          <w:sz w:val="20"/>
          <w:szCs w:val="20"/>
          <w:color w:val="auto"/>
        </w:rPr>
      </w:pPr>
      <w:r>
        <w:rPr>
          <w:rFonts w:ascii="Times New Roman" w:cs="Times New Roman" w:eastAsia="Times New Roman" w:hAnsi="Times New Roman"/>
          <w:sz w:val="20"/>
          <w:szCs w:val="20"/>
          <w:color w:val="auto"/>
        </w:rPr>
        <w:t>VACCO Industries (VACCO)</w:t>
      </w:r>
    </w:p>
    <w:p>
      <w:pPr>
        <w:ind w:left="720"/>
        <w:spacing w:after="0"/>
        <w:rPr>
          <w:sz w:val="20"/>
          <w:szCs w:val="20"/>
          <w:color w:val="auto"/>
        </w:rPr>
      </w:pPr>
      <w:r>
        <w:rPr>
          <w:rFonts w:ascii="Times New Roman" w:cs="Times New Roman" w:eastAsia="Times New Roman" w:hAnsi="Times New Roman"/>
          <w:sz w:val="20"/>
          <w:szCs w:val="20"/>
          <w:color w:val="auto"/>
        </w:rPr>
        <w:t>PTI Technologies Inc. (PTI)</w:t>
      </w:r>
    </w:p>
    <w:p>
      <w:pPr>
        <w:ind w:left="720"/>
        <w:spacing w:after="0"/>
        <w:rPr>
          <w:sz w:val="20"/>
          <w:szCs w:val="20"/>
          <w:color w:val="auto"/>
        </w:rPr>
      </w:pPr>
      <w:r>
        <w:rPr>
          <w:rFonts w:ascii="Times New Roman" w:cs="Times New Roman" w:eastAsia="Times New Roman" w:hAnsi="Times New Roman"/>
          <w:sz w:val="20"/>
          <w:szCs w:val="20"/>
          <w:color w:val="auto"/>
        </w:rPr>
        <w:t>Crissair, Inc. (Crissair)</w:t>
      </w:r>
    </w:p>
    <w:p>
      <w:pPr>
        <w:ind w:left="720"/>
        <w:spacing w:after="0"/>
        <w:rPr>
          <w:sz w:val="20"/>
          <w:szCs w:val="20"/>
          <w:color w:val="auto"/>
        </w:rPr>
      </w:pPr>
      <w:r>
        <w:rPr>
          <w:rFonts w:ascii="Times New Roman" w:cs="Times New Roman" w:eastAsia="Times New Roman" w:hAnsi="Times New Roman"/>
          <w:sz w:val="20"/>
          <w:szCs w:val="20"/>
          <w:color w:val="auto"/>
        </w:rPr>
        <w:t>Globe Composite Solutions, LLC (Globe)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Westland Technologies, Inc. (Westland)</w:t>
      </w:r>
    </w:p>
    <w:p>
      <w:pPr>
        <w:ind w:left="720"/>
        <w:spacing w:after="0"/>
        <w:rPr>
          <w:sz w:val="20"/>
          <w:szCs w:val="20"/>
          <w:color w:val="auto"/>
        </w:rPr>
      </w:pPr>
      <w:r>
        <w:rPr>
          <w:rFonts w:ascii="Times New Roman" w:cs="Times New Roman" w:eastAsia="Times New Roman" w:hAnsi="Times New Roman"/>
          <w:sz w:val="20"/>
          <w:szCs w:val="20"/>
          <w:color w:val="auto"/>
        </w:rPr>
        <w:t>Mayday Manufacturing Co. (Mayday)</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Utility Solutions Group (USG):</w:t>
      </w:r>
    </w:p>
    <w:p>
      <w:pPr>
        <w:ind w:left="720"/>
        <w:spacing w:after="0"/>
        <w:rPr>
          <w:sz w:val="20"/>
          <w:szCs w:val="20"/>
          <w:color w:val="auto"/>
        </w:rPr>
      </w:pPr>
      <w:r>
        <w:rPr>
          <w:rFonts w:ascii="Times New Roman" w:cs="Times New Roman" w:eastAsia="Times New Roman" w:hAnsi="Times New Roman"/>
          <w:sz w:val="20"/>
          <w:szCs w:val="20"/>
          <w:color w:val="auto"/>
        </w:rPr>
        <w:t>Doble Engineering Company</w:t>
      </w:r>
    </w:p>
    <w:p>
      <w:pPr>
        <w:ind w:left="720"/>
        <w:spacing w:after="0"/>
        <w:rPr>
          <w:sz w:val="20"/>
          <w:szCs w:val="20"/>
          <w:color w:val="auto"/>
        </w:rPr>
      </w:pPr>
      <w:r>
        <w:rPr>
          <w:rFonts w:ascii="Times New Roman" w:cs="Times New Roman" w:eastAsia="Times New Roman" w:hAnsi="Times New Roman"/>
          <w:sz w:val="20"/>
          <w:szCs w:val="20"/>
          <w:color w:val="auto"/>
        </w:rPr>
        <w:t xml:space="preserve">I.S.A.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Altanova Group S.r.l. and affiliates (Altanova)</w:t>
      </w:r>
    </w:p>
    <w:p>
      <w:pPr>
        <w:ind w:left="720"/>
        <w:spacing w:after="0"/>
        <w:rPr>
          <w:sz w:val="20"/>
          <w:szCs w:val="20"/>
          <w:color w:val="auto"/>
        </w:rPr>
      </w:pPr>
      <w:r>
        <w:rPr>
          <w:rFonts w:ascii="Times New Roman" w:cs="Times New Roman" w:eastAsia="Times New Roman" w:hAnsi="Times New Roman"/>
          <w:sz w:val="20"/>
          <w:szCs w:val="20"/>
          <w:color w:val="auto"/>
        </w:rPr>
        <w:t>Morgan Schaffer Ltd. (Morgan Schaffer)</w:t>
      </w:r>
    </w:p>
    <w:p>
      <w:pPr>
        <w:ind w:left="720"/>
        <w:spacing w:after="0"/>
        <w:rPr>
          <w:sz w:val="20"/>
          <w:szCs w:val="20"/>
          <w:color w:val="auto"/>
        </w:rPr>
      </w:pPr>
      <w:r>
        <w:rPr>
          <w:rFonts w:ascii="Times New Roman" w:cs="Times New Roman" w:eastAsia="Times New Roman" w:hAnsi="Times New Roman"/>
          <w:sz w:val="20"/>
          <w:szCs w:val="20"/>
          <w:color w:val="auto"/>
        </w:rPr>
        <w:t>NRG Systems, Inc. (NRG)</w:t>
      </w:r>
    </w:p>
    <w:p>
      <w:pPr>
        <w:ind w:left="720"/>
        <w:spacing w:after="0" w:line="235" w:lineRule="auto"/>
        <w:rPr>
          <w:sz w:val="20"/>
          <w:szCs w:val="20"/>
          <w:color w:val="auto"/>
        </w:rPr>
      </w:pPr>
      <w:r>
        <w:rPr>
          <w:rFonts w:ascii="Times New Roman" w:cs="Times New Roman" w:eastAsia="Times New Roman" w:hAnsi="Times New Roman"/>
          <w:sz w:val="20"/>
          <w:szCs w:val="20"/>
          <w:color w:val="auto"/>
        </w:rPr>
        <w:t>Phenix Technologies Inc. (Phenix)</w:t>
      </w:r>
    </w:p>
    <w:p>
      <w:pPr>
        <w:spacing w:after="0" w:line="92" w:lineRule="exact"/>
        <w:rPr>
          <w:sz w:val="20"/>
          <w:szCs w:val="20"/>
          <w:color w:val="auto"/>
        </w:rPr>
      </w:pPr>
    </w:p>
    <w:p>
      <w:pPr>
        <w:ind w:left="1080" w:right="200"/>
        <w:spacing w:after="0" w:line="234" w:lineRule="auto"/>
        <w:rPr>
          <w:sz w:val="20"/>
          <w:szCs w:val="20"/>
          <w:color w:val="auto"/>
        </w:rPr>
      </w:pPr>
      <w:r>
        <w:rPr>
          <w:rFonts w:ascii="Times New Roman" w:cs="Times New Roman" w:eastAsia="Times New Roman" w:hAnsi="Times New Roman"/>
          <w:sz w:val="20"/>
          <w:szCs w:val="20"/>
          <w:color w:val="auto"/>
        </w:rPr>
        <w:t xml:space="preserve">Except as the context otherwise indicates, the </w:t>
      </w:r>
      <w:r>
        <w:rPr>
          <w:rFonts w:ascii="Arial" w:cs="Arial" w:eastAsia="Arial" w:hAnsi="Arial"/>
          <w:sz w:val="20"/>
          <w:szCs w:val="20"/>
          <w:color w:val="auto"/>
        </w:rPr>
        <w:t>term “Doble” as used herein includes Doble Engineering</w:t>
      </w:r>
      <w:r>
        <w:rPr>
          <w:rFonts w:ascii="Times New Roman" w:cs="Times New Roman" w:eastAsia="Times New Roman" w:hAnsi="Times New Roman"/>
          <w:sz w:val="20"/>
          <w:szCs w:val="20"/>
          <w:color w:val="auto"/>
        </w:rPr>
        <w:t xml:space="preserve"> Company and </w:t>
      </w:r>
      <w:r>
        <w:rPr>
          <w:rFonts w:ascii="Arial" w:cs="Arial" w:eastAsia="Arial" w:hAnsi="Arial"/>
          <w:sz w:val="20"/>
          <w:szCs w:val="20"/>
          <w:color w:val="auto"/>
        </w:rPr>
        <w:t>ESCO’s</w:t>
      </w:r>
      <w:r>
        <w:rPr>
          <w:rFonts w:ascii="Times New Roman" w:cs="Times New Roman" w:eastAsia="Times New Roman" w:hAnsi="Times New Roman"/>
          <w:sz w:val="20"/>
          <w:szCs w:val="20"/>
          <w:color w:val="auto"/>
        </w:rPr>
        <w:t xml:space="preserve"> other USG subsidiaries except NRG.</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RF Test &amp; Measurement </w:t>
      </w:r>
      <w:r>
        <w:rPr>
          <w:rFonts w:ascii="Arial" w:cs="Arial" w:eastAsia="Arial" w:hAnsi="Arial"/>
          <w:sz w:val="18"/>
          <w:szCs w:val="18"/>
          <w:i w:val="1"/>
          <w:iCs w:val="1"/>
          <w:color w:val="auto"/>
        </w:rPr>
        <w:t>(formerly called RF Shielding and Test)</w:t>
      </w:r>
      <w:r>
        <w:rPr>
          <w:rFonts w:ascii="Arial" w:cs="Arial" w:eastAsia="Arial" w:hAnsi="Arial"/>
          <w:sz w:val="18"/>
          <w:szCs w:val="18"/>
          <w:b w:val="1"/>
          <w:bCs w:val="1"/>
          <w:i w:val="1"/>
          <w:iCs w:val="1"/>
          <w:color w:val="auto"/>
        </w:rPr>
        <w:t xml:space="preserve"> (Test):</w:t>
      </w:r>
    </w:p>
    <w:p>
      <w:pPr>
        <w:ind w:left="720"/>
        <w:spacing w:after="0"/>
        <w:rPr>
          <w:sz w:val="20"/>
          <w:szCs w:val="20"/>
          <w:color w:val="auto"/>
        </w:rPr>
      </w:pPr>
      <w:r>
        <w:rPr>
          <w:rFonts w:ascii="Times New Roman" w:cs="Times New Roman" w:eastAsia="Times New Roman" w:hAnsi="Times New Roman"/>
          <w:sz w:val="20"/>
          <w:szCs w:val="20"/>
          <w:color w:val="auto"/>
        </w:rPr>
        <w:t>ETS-Lindgren Inc.</w:t>
      </w:r>
    </w:p>
    <w:p>
      <w:pPr>
        <w:spacing w:after="0" w:line="86" w:lineRule="exact"/>
        <w:rPr>
          <w:sz w:val="20"/>
          <w:szCs w:val="20"/>
          <w:color w:val="auto"/>
        </w:rPr>
      </w:pPr>
    </w:p>
    <w:p>
      <w:pPr>
        <w:ind w:left="1080" w:right="620"/>
        <w:spacing w:after="0" w:line="234" w:lineRule="auto"/>
        <w:rPr>
          <w:sz w:val="20"/>
          <w:szCs w:val="20"/>
          <w:color w:val="auto"/>
        </w:rPr>
      </w:pPr>
      <w:r>
        <w:rPr>
          <w:rFonts w:ascii="Arial" w:cs="Arial" w:eastAsia="Arial" w:hAnsi="Arial"/>
          <w:sz w:val="20"/>
          <w:szCs w:val="20"/>
          <w:color w:val="auto"/>
        </w:rPr>
        <w:t>Except as the context otherwise indicates, the term “ETS</w:t>
      </w:r>
      <w:r>
        <w:rPr>
          <w:rFonts w:ascii="Times New Roman" w:cs="Times New Roman" w:eastAsia="Times New Roman" w:hAnsi="Times New Roman"/>
          <w:sz w:val="20"/>
          <w:szCs w:val="20"/>
          <w:color w:val="auto"/>
        </w:rPr>
        <w:t>-</w:t>
      </w:r>
      <w:r>
        <w:rPr>
          <w:rFonts w:ascii="Arial" w:cs="Arial" w:eastAsia="Arial" w:hAnsi="Arial"/>
          <w:sz w:val="20"/>
          <w:szCs w:val="20"/>
          <w:color w:val="auto"/>
        </w:rPr>
        <w:t>Lindgren” as used herein includes ETS</w:t>
      </w:r>
      <w:r>
        <w:rPr>
          <w:rFonts w:ascii="Times New Roman" w:cs="Times New Roman" w:eastAsia="Times New Roman" w:hAnsi="Times New Roman"/>
          <w:sz w:val="20"/>
          <w:szCs w:val="20"/>
          <w:color w:val="auto"/>
        </w:rPr>
        <w:t xml:space="preserve">-Lindgren Inc. and </w:t>
      </w:r>
      <w:r>
        <w:rPr>
          <w:rFonts w:ascii="Arial" w:cs="Arial" w:eastAsia="Arial" w:hAnsi="Arial"/>
          <w:sz w:val="20"/>
          <w:szCs w:val="20"/>
          <w:color w:val="auto"/>
        </w:rPr>
        <w:t>ESCO’s</w:t>
      </w:r>
      <w:r>
        <w:rPr>
          <w:rFonts w:ascii="Times New Roman" w:cs="Times New Roman" w:eastAsia="Times New Roman" w:hAnsi="Times New Roman"/>
          <w:sz w:val="20"/>
          <w:szCs w:val="20"/>
          <w:color w:val="auto"/>
        </w:rPr>
        <w:t xml:space="preserve"> other Test segment subsidiaries.</w:t>
      </w:r>
    </w:p>
    <w:p>
      <w:pPr>
        <w:spacing w:after="0" w:line="13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 xml:space="preserve">Our operating subsidiaries are engaged primarily in the research, development, manufacture, sale and support of the products and systems described below. Their respective businesses are subject to a number of risks and uncertainties, including without limitation those discussed in Item 1A, </w:t>
      </w:r>
      <w:r>
        <w:rPr>
          <w:rFonts w:ascii="Arial" w:cs="Arial" w:eastAsia="Arial" w:hAnsi="Arial"/>
          <w:sz w:val="20"/>
          <w:szCs w:val="20"/>
          <w:color w:val="auto"/>
        </w:rPr>
        <w:t>“</w:t>
      </w:r>
      <w:r>
        <w:rPr>
          <w:rFonts w:ascii="Times New Roman" w:cs="Times New Roman" w:eastAsia="Times New Roman" w:hAnsi="Times New Roman"/>
          <w:sz w:val="20"/>
          <w:szCs w:val="20"/>
          <w:color w:val="auto"/>
        </w:rPr>
        <w:t>Risk Factors.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See also </w:t>
      </w:r>
      <w:r>
        <w:rPr>
          <w:rFonts w:ascii="Arial" w:cs="Arial" w:eastAsia="Arial" w:hAnsi="Arial"/>
          <w:sz w:val="20"/>
          <w:szCs w:val="20"/>
          <w:color w:val="auto"/>
        </w:rPr>
        <w:t>Item 7, “</w:t>
      </w:r>
      <w:r>
        <w:rPr>
          <w:rFonts w:ascii="Times New Roman" w:cs="Times New Roman" w:eastAsia="Times New Roman" w:hAnsi="Times New Roman"/>
          <w:sz w:val="20"/>
          <w:szCs w:val="20"/>
          <w:color w:val="auto"/>
        </w:rPr>
        <w:t>Management</w:t>
      </w:r>
      <w:r>
        <w:rPr>
          <w:rFonts w:ascii="Arial" w:cs="Arial" w:eastAsia="Arial" w:hAnsi="Arial"/>
          <w:sz w:val="20"/>
          <w:szCs w:val="20"/>
          <w:color w:val="auto"/>
        </w:rPr>
        <w:t>’</w:t>
      </w:r>
      <w:r>
        <w:rPr>
          <w:rFonts w:ascii="Times New Roman" w:cs="Times New Roman" w:eastAsia="Times New Roman" w:hAnsi="Times New Roman"/>
          <w:sz w:val="20"/>
          <w:szCs w:val="20"/>
          <w:color w:val="auto"/>
        </w:rPr>
        <w:t>s Discussion and Analysis of Financial Condition and Results of Operations,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w:t>
      </w:r>
      <w:r>
        <w:rPr>
          <w:rFonts w:ascii="Arial" w:cs="Arial" w:eastAsia="Arial" w:hAnsi="Arial"/>
          <w:sz w:val="20"/>
          <w:szCs w:val="20"/>
          <w:color w:val="auto"/>
        </w:rPr>
        <w:t>“</w:t>
      </w:r>
      <w:r>
        <w:rPr>
          <w:rFonts w:ascii="Times New Roman" w:cs="Times New Roman" w:eastAsia="Times New Roman" w:hAnsi="Times New Roman"/>
          <w:sz w:val="20"/>
          <w:szCs w:val="20"/>
          <w:color w:val="auto"/>
        </w:rPr>
        <w:t>Forward-Looking Information.</w:t>
      </w:r>
      <w:r>
        <w:rPr>
          <w:rFonts w:ascii="Arial" w:cs="Arial" w:eastAsia="Arial" w:hAnsi="Arial"/>
          <w:sz w:val="20"/>
          <w:szCs w:val="20"/>
          <w:color w:val="auto"/>
        </w:rPr>
        <w:t>”</w:t>
      </w:r>
    </w:p>
    <w:p>
      <w:pPr>
        <w:sectPr>
          <w:pgSz w:w="12240" w:h="15840" w:orient="portrait"/>
          <w:cols w:equalWidth="0" w:num="1">
            <w:col w:w="9520"/>
          </w:cols>
          <w:pgMar w:left="1440" w:top="1440" w:right="1280" w:bottom="673" w:gutter="0" w:footer="0" w:header="0"/>
          <w:type w:val="continuous"/>
        </w:sectPr>
      </w:pPr>
    </w:p>
    <w:bookmarkStart w:id="11" w:name="page12"/>
    <w:bookmarkEnd w:id="11"/>
    <w:p>
      <w:pPr>
        <w:spacing w:after="0" w:line="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color w:val="auto"/>
        </w:rPr>
        <w:t>We are continually seeking ways to reduce our overall operating costs, streamline business processes and enhance the branding of our products and services. For example, in FY2023 we consolidated the businesses of Westland Technologies and Globe Composites into a single business managed by the Globe Composites leadership team in Stoughton, MA</w:t>
      </w:r>
      <w:r>
        <w:rPr>
          <w:rFonts w:ascii="Arial" w:cs="Arial" w:eastAsia="Arial" w:hAnsi="Arial"/>
          <w:sz w:val="20"/>
          <w:szCs w:val="20"/>
          <w:color w:val="auto"/>
        </w:rPr>
        <w:t>, and repurposed Westland’s</w:t>
      </w:r>
      <w:r>
        <w:rPr>
          <w:rFonts w:ascii="Times New Roman" w:cs="Times New Roman" w:eastAsia="Times New Roman" w:hAnsi="Times New Roman"/>
          <w:sz w:val="20"/>
          <w:szCs w:val="20"/>
          <w:color w:val="auto"/>
        </w:rPr>
        <w:t xml:space="preserve"> Modesto, California location into a focused manufacturing site in support of our broader Navy materials business.</w:t>
      </w:r>
    </w:p>
    <w:p>
      <w:pPr>
        <w:spacing w:after="0" w:line="12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 xml:space="preserve">We are also continually seeking opportunities to supplement our growth by making strategic acquisitions. In February 2023 we acquired CMT Materials, LLC and its affiliate Engineered Syntactic Systems, LLC (together, CMT). CMT is a leading supplier of syntactic materials for buoyancy and specialty applications, with expertise in designing and manufacturing custom syntactic foam components and systems utilized in industrial, oceanographic, military, and naval applications. In July 2021 we acquired I.S.A Altanova Group S.r.l. and its affiliated companies (Altanova); in August 2021 we acquired the assets of Phenix Technologies Inc. (Phenix); and in November 2021 we acquired Networks Electronic Company, LLC (NEco). Information about these acquired businesses is provided in the following section, </w:t>
      </w:r>
      <w:r>
        <w:rPr>
          <w:rFonts w:ascii="Arial" w:cs="Arial" w:eastAsia="Arial" w:hAnsi="Arial"/>
          <w:sz w:val="20"/>
          <w:szCs w:val="20"/>
          <w:color w:val="auto"/>
        </w:rPr>
        <w:t>“Products</w:t>
      </w:r>
      <w:r>
        <w:rPr>
          <w:rFonts w:ascii="Times New Roman" w:cs="Times New Roman" w:eastAsia="Times New Roman" w:hAnsi="Times New Roman"/>
          <w:sz w:val="20"/>
          <w:szCs w:val="20"/>
          <w:color w:val="auto"/>
        </w:rPr>
        <w:t>,</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in Note 2 to the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w:t>
      </w:r>
    </w:p>
    <w:p>
      <w:pPr>
        <w:spacing w:after="0" w:line="124" w:lineRule="exact"/>
        <w:rPr>
          <w:sz w:val="20"/>
          <w:szCs w:val="20"/>
          <w:color w:val="auto"/>
        </w:rPr>
      </w:pPr>
    </w:p>
    <w:p>
      <w:pPr>
        <w:ind w:right="740"/>
        <w:spacing w:after="0" w:line="235" w:lineRule="auto"/>
        <w:rPr>
          <w:sz w:val="20"/>
          <w:szCs w:val="20"/>
          <w:color w:val="auto"/>
        </w:rPr>
      </w:pPr>
      <w:r>
        <w:rPr>
          <w:rFonts w:ascii="Times New Roman" w:cs="Times New Roman" w:eastAsia="Times New Roman" w:hAnsi="Times New Roman"/>
          <w:sz w:val="20"/>
          <w:szCs w:val="20"/>
          <w:color w:val="auto"/>
        </w:rPr>
        <w:t>Our principal products are described below. See Note 9 to the Consolidated Financial Statements for financial information regarding business segments and 10%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A&amp;D</w:t>
      </w:r>
    </w:p>
    <w:p>
      <w:pPr>
        <w:spacing w:after="0" w:line="128"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20"/>
          <w:szCs w:val="20"/>
          <w:color w:val="auto"/>
        </w:rPr>
        <w:t>The A&amp;D segment accounted for approximately 41%, 41% and 44% of our total revenue in 2023, 2022 and 2021, respectively. This segment has seven facilities in the United States and one in Mexico.</w:t>
      </w:r>
    </w:p>
    <w:p>
      <w:pPr>
        <w:spacing w:after="0" w:line="12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Our companies within this segment primarily design and manufacture specialty filtration, fluid control and naval products, including hydraulic filter elements, fluid control devices, and precision-tolerance machined components used in aerospace and defense applications, unique filter mechanisms used in micro-propulsion devices for satellites, custom designed filters for manned aircraft and submarines, products and systems to reduce vibration and/or acoustic </w:t>
      </w:r>
      <w:r>
        <w:rPr>
          <w:rFonts w:ascii="Arial" w:cs="Arial" w:eastAsia="Arial" w:hAnsi="Arial"/>
          <w:sz w:val="20"/>
          <w:szCs w:val="20"/>
          <w:color w:val="auto"/>
        </w:rPr>
        <w:t xml:space="preserve">signatures and otherwise reduce or obscure a vessel’s </w:t>
      </w:r>
      <w:r>
        <w:rPr>
          <w:rFonts w:ascii="Times New Roman" w:cs="Times New Roman" w:eastAsia="Times New Roman" w:hAnsi="Times New Roman"/>
          <w:sz w:val="20"/>
          <w:szCs w:val="20"/>
          <w:color w:val="auto"/>
        </w:rPr>
        <w:t>signature, and other communications, sealing, surface control</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and hydrodynamic related applications to enhance U.S. Navy maritime survivability; and miniature electro-explosive devices for military aircraft ejection seats and missile arming devices.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USG</w:t>
      </w:r>
    </w:p>
    <w:p>
      <w:pPr>
        <w:spacing w:after="0" w:line="129" w:lineRule="exact"/>
        <w:rPr>
          <w:sz w:val="20"/>
          <w:szCs w:val="20"/>
          <w:color w:val="auto"/>
        </w:rPr>
      </w:pPr>
    </w:p>
    <w:p>
      <w:pPr>
        <w:jc w:val="both"/>
        <w:ind w:right="420"/>
        <w:spacing w:after="0" w:line="256" w:lineRule="auto"/>
        <w:rPr>
          <w:sz w:val="20"/>
          <w:szCs w:val="20"/>
          <w:color w:val="auto"/>
        </w:rPr>
      </w:pPr>
      <w:r>
        <w:rPr>
          <w:rFonts w:ascii="Times New Roman" w:cs="Times New Roman" w:eastAsia="Times New Roman" w:hAnsi="Times New Roman"/>
          <w:sz w:val="19"/>
          <w:szCs w:val="19"/>
          <w:color w:val="auto"/>
        </w:rPr>
        <w:t>Our USG segment accounted for approximately 36%, 32% and 28% of our total revenue in 2023, 2022 and 2021, respectively. This segment has eight facilities in the United States, one in Canada, and ten outside North America.</w:t>
      </w:r>
    </w:p>
    <w:p>
      <w:pPr>
        <w:spacing w:after="0" w:line="11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 xml:space="preserve">Doble is an industry leader in the development, manufacture and delivery of diagnostic testing and data management solutions that enable electric power grid operators to assess the integrity of high-voltage power delivery equipment. It combines three core elements for customers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diagnostic test instruments and condition monitoring systems, expert consulting, and testing services. </w:t>
      </w:r>
      <w:r>
        <w:rPr>
          <w:rFonts w:ascii="Arial" w:cs="Arial" w:eastAsia="Arial" w:hAnsi="Arial"/>
          <w:sz w:val="20"/>
          <w:szCs w:val="20"/>
          <w:color w:val="auto"/>
        </w:rPr>
        <w:t>The acquisition of Phenix’s assets has</w:t>
      </w:r>
      <w:r>
        <w:rPr>
          <w:rFonts w:ascii="Times New Roman" w:cs="Times New Roman" w:eastAsia="Times New Roman" w:hAnsi="Times New Roman"/>
          <w:sz w:val="20"/>
          <w:szCs w:val="20"/>
          <w:color w:val="auto"/>
        </w:rPr>
        <w:t xml:space="preserve"> enhanced </w:t>
      </w:r>
      <w:r>
        <w:rPr>
          <w:rFonts w:ascii="Arial" w:cs="Arial" w:eastAsia="Arial" w:hAnsi="Arial"/>
          <w:sz w:val="20"/>
          <w:szCs w:val="20"/>
          <w:color w:val="auto"/>
        </w:rPr>
        <w:t>Doble’s</w:t>
      </w:r>
      <w:r>
        <w:rPr>
          <w:rFonts w:ascii="Times New Roman" w:cs="Times New Roman" w:eastAsia="Times New Roman" w:hAnsi="Times New Roman"/>
          <w:sz w:val="20"/>
          <w:szCs w:val="20"/>
          <w:color w:val="auto"/>
        </w:rPr>
        <w:t xml:space="preserve"> high voltage, high current, high power test systems, components and solutions. NRG is a global market leader in the design and manufacture of decision support tools for the renewable energy industry, primarily wind and solar.</w:t>
      </w:r>
    </w:p>
    <w:p>
      <w:pPr>
        <w:spacing w:after="0" w:line="13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 xml:space="preserve">Altanova, headquartered in Taino, Italy, has historically had a strong market presence in Europe and Asia, and its acquisition has created a significant international platform for our USG segment by filling important product gaps and geographies not previously served by </w:t>
      </w:r>
      <w:r>
        <w:rPr>
          <w:rFonts w:ascii="Arial" w:cs="Arial" w:eastAsia="Arial" w:hAnsi="Arial"/>
          <w:sz w:val="20"/>
          <w:szCs w:val="20"/>
          <w:color w:val="auto"/>
        </w:rPr>
        <w:t>Doble’s</w:t>
      </w:r>
      <w:r>
        <w:rPr>
          <w:rFonts w:ascii="Times New Roman" w:cs="Times New Roman" w:eastAsia="Times New Roman" w:hAnsi="Times New Roman"/>
          <w:sz w:val="20"/>
          <w:szCs w:val="20"/>
          <w:color w:val="auto"/>
        </w:rPr>
        <w:t xml:space="preserve"> products and solutions. The Altanova team represents our products and solutions in markets outside North and South America and Canada.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w:t>
      </w:r>
    </w:p>
    <w:p>
      <w:pPr>
        <w:spacing w:after="0" w:line="128" w:lineRule="exact"/>
        <w:rPr>
          <w:sz w:val="20"/>
          <w:szCs w:val="20"/>
          <w:color w:val="auto"/>
        </w:rPr>
      </w:pPr>
    </w:p>
    <w:p>
      <w:pPr>
        <w:ind w:right="500"/>
        <w:spacing w:after="0" w:line="235" w:lineRule="auto"/>
        <w:rPr>
          <w:sz w:val="20"/>
          <w:szCs w:val="20"/>
          <w:color w:val="auto"/>
        </w:rPr>
      </w:pPr>
      <w:r>
        <w:rPr>
          <w:rFonts w:ascii="Times New Roman" w:cs="Times New Roman" w:eastAsia="Times New Roman" w:hAnsi="Times New Roman"/>
          <w:sz w:val="20"/>
          <w:szCs w:val="20"/>
          <w:color w:val="auto"/>
        </w:rPr>
        <w:t>Our Test segment accounted for approximately 23%, 27% and 28% of our total revenue in 2023, 2022 and 2021, respectively. This segment has four facilities in the United States and six outside the United States.</w:t>
      </w:r>
    </w:p>
    <w:p>
      <w:pPr>
        <w:spacing w:after="0" w:line="13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0"/>
          <w:szCs w:val="20"/>
          <w:color w:val="auto"/>
        </w:rPr>
        <w:t>ETS-Lindgren is an industry leader in designing and manufacturing products and systems to measure and control RF and acoustic energy for research and development, regulatory compliance, and medical and security applications. It supplies a broad range of turnkey systems, including RF test facilities and measurement systems, acoustic test enclosures, RF and magnetically shielded rooms, and secure communication facilities.</w:t>
      </w:r>
    </w:p>
    <w:p>
      <w:pPr>
        <w:spacing w:after="0" w:line="13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ETS-Lindgren also supplies a broad range of components including RF absorptive materials, filters, antennas, field probes, test cells, proprietary measurement software and other test accessories required to perform a variety of tests and measurements. ETS-Lindgren offers a variety of services including calibration and product tests accredited by the following organizations: American Association for Laboratory Accreditation, National Voluntary Laboratory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9540"/>
          </w:cols>
          <w:pgMar w:left="1440" w:top="1440" w:right="1260" w:bottom="0" w:gutter="0" w:footer="0" w:header="0"/>
        </w:sectPr>
      </w:pPr>
    </w:p>
    <w:bookmarkStart w:id="12" w:name="page13"/>
    <w:bookmarkEnd w:id="12"/>
    <w:p>
      <w:pPr>
        <w:spacing w:after="0" w:line="8"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0"/>
          <w:szCs w:val="20"/>
          <w:color w:val="auto"/>
        </w:rPr>
        <w:t>Accreditation Program and CTIA-The Wireless Association Accredited Test Lab. ETS-Lindgren serves the acoustics, medical, health and safety, electronics, wireless communications, automotive and defense markets.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and Sales</w:t>
      </w:r>
    </w:p>
    <w:p>
      <w:pPr>
        <w:spacing w:after="0" w:line="129" w:lineRule="exact"/>
        <w:rPr>
          <w:sz w:val="20"/>
          <w:szCs w:val="20"/>
          <w:color w:val="auto"/>
        </w:rPr>
      </w:pPr>
    </w:p>
    <w:p>
      <w:pPr>
        <w:ind w:right="520"/>
        <w:spacing w:after="0" w:line="235" w:lineRule="auto"/>
        <w:rPr>
          <w:sz w:val="20"/>
          <w:szCs w:val="20"/>
          <w:color w:val="auto"/>
        </w:rPr>
      </w:pPr>
      <w:r>
        <w:rPr>
          <w:rFonts w:ascii="Times New Roman" w:cs="Times New Roman" w:eastAsia="Times New Roman" w:hAnsi="Times New Roman"/>
          <w:sz w:val="20"/>
          <w:szCs w:val="20"/>
          <w:color w:val="auto"/>
        </w:rPr>
        <w:t>Our products generally are distributed to customers through a domestic and foreign network of distributors, sales representatives, direct sales teams and in-house sales personnel.</w:t>
      </w:r>
    </w:p>
    <w:p>
      <w:pPr>
        <w:spacing w:after="0" w:line="126"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0"/>
          <w:szCs w:val="20"/>
          <w:color w:val="auto"/>
        </w:rPr>
        <w:t xml:space="preserve">Our sales to international customers accounted for approximately 30%, 30% and 28% of our total revenue in 2023, 2022 and 2021, respectively. See Note 9 to the Consolidated Financial Statements for financial information by geographic area. See Item 1A, </w:t>
      </w:r>
      <w:r>
        <w:rPr>
          <w:rFonts w:ascii="Arial" w:cs="Arial" w:eastAsia="Arial" w:hAnsi="Arial"/>
          <w:sz w:val="20"/>
          <w:szCs w:val="20"/>
          <w:color w:val="auto"/>
        </w:rPr>
        <w:t>“Risk Factors,” for a discussion of risks</w:t>
      </w:r>
      <w:r>
        <w:rPr>
          <w:rFonts w:ascii="Times New Roman" w:cs="Times New Roman" w:eastAsia="Times New Roman" w:hAnsi="Times New Roman"/>
          <w:sz w:val="20"/>
          <w:szCs w:val="20"/>
          <w:color w:val="auto"/>
        </w:rPr>
        <w:t xml:space="preserve"> related to our international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Contracts</w:t>
      </w:r>
    </w:p>
    <w:p>
      <w:pPr>
        <w:spacing w:after="0" w:line="129"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Some of our products are sold to the U.S. Government either directly under contracts with the Army, Navy and Air Force as well as other Government agencies or indirectly under subcontracts with their prime contractors. Direct and indirect sales to the U.S. Government, primarily related to the A&amp;D segment, accounted for approximately 26%, 27% and 26% of our total revenue in 2023, 2022 and 2021, respectively.</w:t>
      </w:r>
    </w:p>
    <w:p>
      <w:pPr>
        <w:spacing w:after="0" w:line="13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Our Government contracts primarily include firm fixed-price contracts under which work is performed and paid for at a fixed amount without adjustment for the actual costs experienced in connection with the contracts. All Government prime contracts and virtually all of our Government subcontracts provide that they may be terminated at the convenience of the Government or the customer. Upon a termination for convenience, we are entitled to receive equitable compensation from the customer for the work we completed prior to termination.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of our facilities are in material compliance with appliable Government regulations and executive orders.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Item 1A, </w:t>
      </w:r>
      <w:r>
        <w:rPr>
          <w:rFonts w:ascii="Arial" w:cs="Arial" w:eastAsia="Arial" w:hAnsi="Arial"/>
          <w:sz w:val="20"/>
          <w:szCs w:val="20"/>
          <w:color w:val="auto"/>
        </w:rPr>
        <w:t>“</w:t>
      </w:r>
      <w:r>
        <w:rPr>
          <w:rFonts w:ascii="Times New Roman" w:cs="Times New Roman" w:eastAsia="Times New Roman" w:hAnsi="Times New Roman"/>
          <w:sz w:val="20"/>
          <w:szCs w:val="20"/>
          <w:color w:val="auto"/>
        </w:rPr>
        <w:t>Risk Factors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for a discussion of risks related to our Government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9"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0"/>
          <w:szCs w:val="20"/>
          <w:color w:val="auto"/>
        </w:rPr>
        <w:t xml:space="preserve">We own or have other rights in various forms of intellectual property (i.e., patents, trademarks, service marks, copyrights, mask works, trade secrets and other items). As a major supplier of engineered products to industrial and commercial markets, we emphasize developing intellectual property and protecting our rights therein. However, the legal protection afforded by intellectual property rights is often uncertain and can involve complex legal and factual issues. Some intellectual property rights, such as patents, have a limited term, and there can be no assurance that third parties will not infringe or design around our intellectual property. Policing the unauthorized use of intellectual property is difficult, and infringement and misappropriation are persistent problems for many companies, particularly in some international markets, and in some cases, we may elect not to pursue an unauthorized user due to the high costs and uncertainties associated with litigation. Further, there can be no assurance that courts will ultimately hold issued patents or other intellectual property valid and enforceable. See Item 1A, </w:t>
      </w:r>
      <w:r>
        <w:rPr>
          <w:rFonts w:ascii="Arial" w:cs="Arial" w:eastAsia="Arial" w:hAnsi="Arial"/>
          <w:sz w:val="20"/>
          <w:szCs w:val="20"/>
          <w:color w:val="auto"/>
        </w:rPr>
        <w:t>“</w:t>
      </w:r>
      <w:r>
        <w:rPr>
          <w:rFonts w:ascii="Times New Roman" w:cs="Times New Roman" w:eastAsia="Times New Roman" w:hAnsi="Times New Roman"/>
          <w:sz w:val="20"/>
          <w:szCs w:val="20"/>
          <w:color w:val="auto"/>
        </w:rPr>
        <w:t>Risk Factors.</w:t>
      </w:r>
      <w:r>
        <w:rPr>
          <w:rFonts w:ascii="Arial" w:cs="Arial" w:eastAsia="Arial" w:hAnsi="Arial"/>
          <w:sz w:val="20"/>
          <w:szCs w:val="20"/>
          <w:color w:val="auto"/>
        </w:rPr>
        <w:t>”</w:t>
      </w:r>
    </w:p>
    <w:p>
      <w:pPr>
        <w:spacing w:after="0" w:line="13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 xml:space="preserve">A number of products in the Aerospace &amp; Defense segment are based on patented or otherwise proprietary technology that sets them apart from the competition, such as </w:t>
      </w:r>
      <w:r>
        <w:rPr>
          <w:rFonts w:ascii="Arial" w:cs="Arial" w:eastAsia="Arial" w:hAnsi="Arial"/>
          <w:sz w:val="20"/>
          <w:szCs w:val="20"/>
          <w:color w:val="auto"/>
        </w:rPr>
        <w:t>VACCO’s proprietary quieting technology</w:t>
      </w:r>
      <w:r>
        <w:rPr>
          <w:rFonts w:ascii="Times New Roman" w:cs="Times New Roman" w:eastAsia="Times New Roman" w:hAnsi="Times New Roman"/>
          <w:sz w:val="20"/>
          <w:szCs w:val="20"/>
          <w:color w:val="auto"/>
        </w:rPr>
        <w:t xml:space="preserve"> and </w:t>
      </w:r>
      <w:r>
        <w:rPr>
          <w:rFonts w:ascii="Arial" w:cs="Arial" w:eastAsia="Arial" w:hAnsi="Arial"/>
          <w:sz w:val="20"/>
          <w:szCs w:val="20"/>
          <w:color w:val="auto"/>
        </w:rPr>
        <w:t>Westland’s signature</w:t>
      </w:r>
      <w:r>
        <w:rPr>
          <w:rFonts w:ascii="Times New Roman" w:cs="Times New Roman" w:eastAsia="Times New Roman" w:hAnsi="Times New Roman"/>
          <w:sz w:val="20"/>
          <w:szCs w:val="20"/>
          <w:color w:val="auto"/>
        </w:rPr>
        <w:t xml:space="preserve"> reduction solutions. In addition, Globe has developed significant manufacturing and logistics capability useful for special hull treatments for submarines.</w:t>
      </w:r>
    </w:p>
    <w:p>
      <w:pPr>
        <w:spacing w:after="0" w:line="1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In the USG segment, our policy is to seek patent and/or other forms of intellectual property protection on new and improved products, components of products, and methods of operation for our businesses, as such developments are made. Doble has obtained and is pursuing additional patent protection on improvements to its line of diagnostic equipment and NERC CIP compliance tools and its Calisto R9 dissolved gas analyzer. Doble also holds an extensive library of apparatus performance information useful to entities that generate, distribute or consume electric energy, and it makes part of this library available to registered users via an Internet portal. Altanova has obtained and is pursuing additional patent protection on instruments and methods for detecting partial discharges in electrical apparatus. NRG has intellectual property related to certain LIDAR technology and applications, and it has obtained and is pursuing additional patent protection on its line of bat deterrent systems, which are designed to significantly reduce bat mortality at windfarms and in other applications where bat conservation is a concern.</w:t>
      </w:r>
    </w:p>
    <w:p>
      <w:pPr>
        <w:spacing w:after="0" w:line="13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color w:val="auto"/>
        </w:rPr>
        <w:t>In the Test segment, we have sought patent protection for significant inventions. Examples of such inventions include novel designs for window and door assemblies used in shielded enclosures and anechoic chambers, improved acoustic techniques for sound isolation and a variety of unique antennas. In addition, the Test segment holds a number of patents, and has patents pending, on products used to perform wireless device testing.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9540"/>
          </w:cols>
          <w:pgMar w:left="1440" w:top="1440" w:right="1260"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We consider our patents and other intellectual property to be of significant value to each of our segments.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Company backlog of firm orders at September 30, 2023 was $772.4 million, representing an increase of $77.4</w:t>
      </w:r>
    </w:p>
    <w:p>
      <w:pPr>
        <w:spacing w:after="0"/>
        <w:rPr>
          <w:sz w:val="20"/>
          <w:szCs w:val="20"/>
          <w:color w:val="auto"/>
        </w:rPr>
      </w:pPr>
      <w:r>
        <w:rPr>
          <w:rFonts w:ascii="Times New Roman" w:cs="Times New Roman" w:eastAsia="Times New Roman" w:hAnsi="Times New Roman"/>
          <w:sz w:val="20"/>
          <w:szCs w:val="20"/>
          <w:color w:val="auto"/>
        </w:rPr>
        <w:t>million (11.1%) from the backlog of $695.0 million at September 30, 2022. By segment, the backlog at September 30,</w:t>
      </w:r>
    </w:p>
    <w:p>
      <w:pPr>
        <w:spacing w:after="0"/>
        <w:rPr>
          <w:sz w:val="20"/>
          <w:szCs w:val="20"/>
          <w:color w:val="auto"/>
        </w:rPr>
      </w:pPr>
      <w:r>
        <w:rPr>
          <w:rFonts w:ascii="Times New Roman" w:cs="Times New Roman" w:eastAsia="Times New Roman" w:hAnsi="Times New Roman"/>
          <w:sz w:val="20"/>
          <w:szCs w:val="20"/>
          <w:color w:val="auto"/>
        </w:rPr>
        <w:t>2023 and September 30, 2022, respectively, was $484.1 million and $408.3 million for A&amp;D; $133.5 million and</w:t>
      </w:r>
    </w:p>
    <w:p>
      <w:pPr>
        <w:spacing w:after="0" w:line="235" w:lineRule="auto"/>
        <w:rPr>
          <w:sz w:val="20"/>
          <w:szCs w:val="20"/>
          <w:color w:val="auto"/>
        </w:rPr>
      </w:pPr>
      <w:r>
        <w:rPr>
          <w:rFonts w:ascii="Times New Roman" w:cs="Times New Roman" w:eastAsia="Times New Roman" w:hAnsi="Times New Roman"/>
          <w:sz w:val="20"/>
          <w:szCs w:val="20"/>
          <w:color w:val="auto"/>
        </w:rPr>
        <w:t>$128.1 million for USG; and $154.8 million and $158.6 million for Test. We estimate that as of September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domestic customers accounted for approximately 75% of our total firm orders and international customers accounted</w:t>
      </w:r>
    </w:p>
    <w:p>
      <w:pPr>
        <w:spacing w:after="0"/>
        <w:rPr>
          <w:sz w:val="20"/>
          <w:szCs w:val="20"/>
          <w:color w:val="auto"/>
        </w:rPr>
      </w:pPr>
      <w:r>
        <w:rPr>
          <w:rFonts w:ascii="Times New Roman" w:cs="Times New Roman" w:eastAsia="Times New Roman" w:hAnsi="Times New Roman"/>
          <w:sz w:val="20"/>
          <w:szCs w:val="20"/>
          <w:color w:val="auto"/>
        </w:rPr>
        <w:t>for approximately 25%. Of our total backlog at September 30, 2023, approximately 70% is expected to be completed</w:t>
      </w:r>
    </w:p>
    <w:p>
      <w:pPr>
        <w:spacing w:after="0"/>
        <w:rPr>
          <w:sz w:val="20"/>
          <w:szCs w:val="20"/>
          <w:color w:val="auto"/>
        </w:rPr>
      </w:pPr>
      <w:r>
        <w:rPr>
          <w:rFonts w:ascii="Times New Roman" w:cs="Times New Roman" w:eastAsia="Times New Roman" w:hAnsi="Times New Roman"/>
          <w:sz w:val="20"/>
          <w:szCs w:val="20"/>
          <w:color w:val="auto"/>
        </w:rPr>
        <w:t>in the fiscal year ending September 30,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Purchased Components and Raw Materials</w:t>
      </w:r>
    </w:p>
    <w:p>
      <w:pPr>
        <w:spacing w:after="0" w:line="1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 xml:space="preserve">Our products require a wide variety of components and materials. Although we have multiple sources of supply for most of our materials requirements, certain components and raw materials are supplied by sole source vendors, and our ability to perform certain contracts depends on their timely performance. In the past, these required raw materials and various purchased components generally have been available in sufficient quantities. However, we do have some risk of shortages of materials or components due to reliance on sole or limited sources of supply; and supplies of components and materials are periodically impacted by supply chain disruptions, as well as complications due to current or future trade policies. Where feasible, we engineer and qualify substitute products to avoid short-term supply issues; however, we are subject to the same supply chain risks as other electronics manufacturers. An unanticipated delay in delivery by our suppliers could result in the inability to deliver our products on-time and to meet the expectations of our customers. Additionally, we have experienced, and could continue to experience, an increase in the costs of doing business, including increasing raw material prices and transportation costs, which have and could continue to have an adverse impact on our business, results of operations, financial condition and cash flows. See also </w:t>
      </w:r>
      <w:r>
        <w:rPr>
          <w:rFonts w:ascii="Arial" w:cs="Arial" w:eastAsia="Arial" w:hAnsi="Arial"/>
          <w:sz w:val="20"/>
          <w:szCs w:val="20"/>
          <w:color w:val="auto"/>
        </w:rPr>
        <w:t xml:space="preserve">Item 1A, “Risk </w:t>
      </w:r>
      <w:r>
        <w:rPr>
          <w:rFonts w:ascii="Times New Roman" w:cs="Times New Roman" w:eastAsia="Times New Roman" w:hAnsi="Times New Roman"/>
          <w:sz w:val="20"/>
          <w:szCs w:val="20"/>
          <w:color w:val="auto"/>
        </w:rPr>
        <w:t>Factors.</w:t>
      </w:r>
      <w:r>
        <w:rPr>
          <w:rFonts w:ascii="Arial" w:cs="Arial" w:eastAsia="Arial" w:hAnsi="Arial"/>
          <w:sz w:val="20"/>
          <w:szCs w:val="20"/>
          <w:color w:val="auto"/>
        </w:rPr>
        <w:t>”</w:t>
      </w:r>
    </w:p>
    <w:p>
      <w:pPr>
        <w:spacing w:after="0" w:line="1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Our A&amp;D segment purchases supplies from a wide array of vendors. In most instances, multiple vendors of raw materials are screened during a qualification process to ensure that there will not be an interruption of supply should one of them underperform or discontinue operations. Nonetheless, in some situations, there is a risk of shortages due to reliance on a limited number of suppliers or because of price fluctuations due to the nature of the raw materials. For example, aerospace-grade titanium and gaseous helium, important raw materials for our A&amp;D segment subsidiaries, may at times be in short supply.</w:t>
      </w:r>
    </w:p>
    <w:p>
      <w:pPr>
        <w:spacing w:after="0" w:line="13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0"/>
          <w:szCs w:val="20"/>
          <w:color w:val="auto"/>
        </w:rPr>
        <w:t>Our USG segment manufactures electronic instrumentation through a network of regional contract manufacturers under long-term contracts. In general, USG purchases the same kinds of component parts as do other electronic products manufacturers, and these electronic components can be subject to supply chain constraints. USG purchases only a limited amount of raw materials, although some USG products require helium, which may at times be in short supply.</w:t>
      </w:r>
    </w:p>
    <w:p>
      <w:pPr>
        <w:spacing w:after="0" w:line="13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Our Test segment is a vertically integrated supplier of electro-magnetic (EM) shielding and RF absorbing products, producing most of its critical RF components itself. This segment purchases significant quantities of raw materials such as polyurethane foam, polystyrene beads, steel, aluminum, copper, nickel and wood. Accordingly, it is subject to price fluctuations in the worldwide raw materials markets. While ETS-Lindgren has long-term contracts with a number of its suppliers, performance of these contracts is vulnerable to the risks described in Item 1A.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 xml:space="preserve">Competition in our major markets is broadly based and global in scope. This competition can be particularly intense during periods of economic slowdown, and we have experienced this in some of our markets. Although we are a leading supplier in several of the markets we serve, we maintain a relatively small share of the business in many of our other markets. Individual competitors range in size from annual revenues of less than $1 million to billion-dollar enterprises. Because of the specialized nature of our products, our competitive position with respect to our products cannot be precisely stated. In our major served markets, competition is driven primarily by quality, technology, price and delivery performance. See also Item 1A, </w:t>
      </w:r>
      <w:r>
        <w:rPr>
          <w:rFonts w:ascii="Arial" w:cs="Arial" w:eastAsia="Arial" w:hAnsi="Arial"/>
          <w:sz w:val="20"/>
          <w:szCs w:val="20"/>
          <w:color w:val="auto"/>
        </w:rPr>
        <w:t>“</w:t>
      </w:r>
      <w:r>
        <w:rPr>
          <w:rFonts w:ascii="Times New Roman" w:cs="Times New Roman" w:eastAsia="Times New Roman" w:hAnsi="Times New Roman"/>
          <w:sz w:val="20"/>
          <w:szCs w:val="20"/>
          <w:color w:val="auto"/>
        </w:rPr>
        <w:t>Risk Factors.</w:t>
      </w:r>
      <w:r>
        <w:rPr>
          <w:rFonts w:ascii="Arial" w:cs="Arial" w:eastAsia="Arial" w:hAnsi="Arial"/>
          <w:sz w:val="20"/>
          <w:szCs w:val="20"/>
          <w:color w:val="auto"/>
        </w:rPr>
        <w:t>”</w:t>
      </w:r>
    </w:p>
    <w:p>
      <w:pPr>
        <w:spacing w:after="0" w:line="129"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color w:val="auto"/>
        </w:rPr>
        <w:t>Primary competitors of our A&amp;D segment include Pall Corporation, Moog, Inc., Safran (Sofrance), CLARCOR Inc., TransDigm (PneuDraulics), Marotta Controls, Parker Hannifin, and Collins Aerospace.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9540"/>
          </w:cols>
          <w:pgMar w:left="1440" w:top="1439" w:right="1260" w:bottom="0" w:gutter="0" w:footer="0" w:header="0"/>
        </w:sectPr>
      </w:pPr>
    </w:p>
    <w:bookmarkStart w:id="14" w:name="page15"/>
    <w:bookmarkEnd w:id="14"/>
    <w:p>
      <w:pPr>
        <w:spacing w:after="0" w:line="8"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ignificant competitors of our USG segment include OMICRON Electronics Corp., Megger Group Limited, Vaisala,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Qualitrol Company LLC (a subsidiary of Fortive Corporation).</w:t>
      </w:r>
    </w:p>
    <w:p>
      <w:pPr>
        <w:spacing w:after="0" w:line="130"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Our Test segment is a global leader in EM shielding. Significant competitors in this market include Rohde &amp; Schwarz GMBH, Microwave Vision SA (MVG), TDK RF Solutions Inc., Albatross GmbH, IMEDCO AG, and Universal Shielding Corp.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29"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Research and development and our technological expertise are important factors in our business. Our research and development programs are designed to develop technology for new products or to extend or upgrade the capability of existing products, and to enhance their commercial potential. We perform research and development at our own expense, and also engage in research and development funded by our customers. See Note 1 to the Consolidated Financial Statements for financial information about our research and development expenditures.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 and Government Regulation</w:t>
      </w:r>
    </w:p>
    <w:p>
      <w:pPr>
        <w:spacing w:after="0" w:line="12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We are involved in various stages of investigation and cleanup relating to environmental matters. It is difficult to estimate the potential costs of these matters and the possible impact of these costs on the Company at this time due in part to: the uncertainty regarding the extent of pollution; the complexity and changing nature of Government laws and regulations and their interpretations; the varying costs and effectiveness of alternative cleanup technologies and methods; the uncertain level of insurance or other types of cost recovery; the uncertain level of our responsibility for any contamination; the possibility of joint and several liability with other contributors under applicable law; and the ability of other contributors to make required contributions toward cleanup costs. Based on information currently available, we do not believe that the aggregate costs involved in the resolution of environmental matters or compliance with Governmental regulations will have a material adverse effect on our financial condition or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29" w:lineRule="exact"/>
        <w:rPr>
          <w:sz w:val="20"/>
          <w:szCs w:val="20"/>
          <w:color w:val="auto"/>
        </w:rPr>
      </w:pPr>
    </w:p>
    <w:p>
      <w:pPr>
        <w:ind w:right="500"/>
        <w:spacing w:after="0" w:line="235" w:lineRule="auto"/>
        <w:rPr>
          <w:sz w:val="20"/>
          <w:szCs w:val="20"/>
          <w:color w:val="auto"/>
        </w:rPr>
      </w:pPr>
      <w:r>
        <w:rPr>
          <w:rFonts w:ascii="Times New Roman" w:cs="Times New Roman" w:eastAsia="Times New Roman" w:hAnsi="Times New Roman"/>
          <w:sz w:val="20"/>
          <w:szCs w:val="20"/>
          <w:color w:val="auto"/>
        </w:rPr>
        <w:t>As of September 30, 2023, we employed 3,195 persons, including 3,131 full time employees 16% of whom were located in 27 foreign countries.</w:t>
      </w:r>
    </w:p>
    <w:p>
      <w:pPr>
        <w:spacing w:after="0" w:line="13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We strive to be a responsible member of the communities in which we operate, and we are dedicated to preserving operational excellence and remaining an employer of choice. We provide and maintain a work environment that attracts, develops and retains top talent by offering our employees an engaging work experience that contributes to their career development. Through our charitable Foundation and wellness activities we provide opportunities for civic involvement that supports our communities and provides our employees with meaningful experiences that promote collaborative and rewarding work environments. We strive to maintain a culture that enables all employees to be treated with dignity and respect while performing their jobs to the best of their abilities. We operate in a supportive culture that incorporates strong ethical behavior and reinforces our human rights commitment through annual training on ethics, human rights, anti-human trafficking and anti-harassment.</w:t>
      </w:r>
    </w:p>
    <w:p>
      <w:pPr>
        <w:spacing w:after="0" w:line="1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Our subsidiaries enjoy moderate turnover compared to the national average for our industry. Fewer than 11% of our workforce are contingent workers. We invest in creating a diverse, inclusive and safe work environment which will inspire our employees to give their best efforts every day. In fact, nearly half of our employee base comes from diverse backgrounds.</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generally conduct formal compensation benchmarking reviews every 1-2 years to ensure wages are competitive in local markets and support our retention and recruiting efforts. Additionally, we invest time and resources in reviewing pay equity within our workforce. The majority of full-time domestic and international employees are eligible for bonus or commission plans, most of which are designed to incentivize and reward performance based on results such as EPS, EBIT, cash flow, quality and backlog reduction, or other measures.</w:t>
      </w:r>
    </w:p>
    <w:p>
      <w:pPr>
        <w:spacing w:after="0" w:line="13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We recognize that our success is based on the talents and dedication of those we employ, and we are invested in their success. Significant investments are made in the areas of talent development, technical skills and compliance training in areas such as supervisor training, professional coaching, ethics, safety, hazmat, ITAR, etc. For succession planning purposes, we focus on identifying high-potential future leaders and working with them on individual development plans and coaching.</w:t>
      </w:r>
    </w:p>
    <w:p>
      <w:pPr>
        <w:spacing w:after="0" w:line="13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Attracting and retaining a talented workforce is of utmost importance. Given the ever-changing talent market, we have looked to broaden the ways in which we can recognize and reward performance, including more frequent merit increases, market adjustments, spot bonuses and other creative ways to recognize and reward employees. By utilizing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9540"/>
          </w:cols>
          <w:pgMar w:left="1440" w:top="1440" w:right="1260" w:bottom="0" w:gutter="0" w:footer="0" w:header="0"/>
        </w:sectPr>
      </w:pPr>
    </w:p>
    <w:bookmarkStart w:id="15" w:name="page16"/>
    <w:bookmarkEnd w:id="15"/>
    <w:p>
      <w:pPr>
        <w:spacing w:after="0" w:line="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these and other measures, at the end of our fiscal year the average tenure of our workforce was 13 years. Nearly one third of our employees have been with us for 10 or more years and nearly 50% of our employees have been with us for five or more years.</w:t>
      </w:r>
    </w:p>
    <w:p>
      <w:pPr>
        <w:spacing w:after="0" w:line="13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We are committed to the health and wellbeing of our employees and their families by encouraging participation in wellness programs. Generally, all our full-time employees, both domestic and international, are offered health and welfare benefits. We remain committed to our communities through financial support from our employees and the ESCO Foundation, and through personal participation of our employees with a variety of local organizations, such as food banks, blood drives, the YMCA, Special Olympics, and Big Brothers Big Sisters. We believe strong human capital is a competitive differentiator, and we focus on ensuring we have the right domestic and international talent in place to drive our strategic initiatives not only today but well into the future.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Workforce Composition</w:t>
      </w:r>
    </w:p>
    <w:p>
      <w:pPr>
        <w:jc w:val="center"/>
        <w:ind w:right="-39"/>
        <w:spacing w:after="0" w:line="237" w:lineRule="auto"/>
        <w:rPr>
          <w:sz w:val="20"/>
          <w:szCs w:val="20"/>
          <w:color w:val="auto"/>
        </w:rPr>
      </w:pPr>
      <w:r>
        <w:rPr>
          <w:rFonts w:ascii="Arial" w:cs="Arial" w:eastAsia="Arial" w:hAnsi="Arial"/>
          <w:sz w:val="20"/>
          <w:szCs w:val="20"/>
          <w:color w:val="auto"/>
        </w:rPr>
        <w:t>(As of September 30, 2023)</w:t>
      </w:r>
    </w:p>
    <w:p>
      <w:pPr>
        <w:sectPr>
          <w:pgSz w:w="12240" w:h="15840" w:orient="portrait"/>
          <w:cols w:equalWidth="0" w:num="1">
            <w:col w:w="9500"/>
          </w:cols>
          <w:pgMar w:left="1440" w:top="1440" w:right="1300" w:bottom="0" w:gutter="0" w:footer="0" w:header="0"/>
        </w:sectPr>
      </w:pPr>
    </w:p>
    <w:p>
      <w:pPr>
        <w:spacing w:after="0" w:line="101" w:lineRule="exact"/>
        <w:rPr>
          <w:sz w:val="20"/>
          <w:szCs w:val="20"/>
          <w:color w:val="auto"/>
        </w:rPr>
      </w:pPr>
    </w:p>
    <w:tbl>
      <w:tblPr>
        <w:tblLayout w:type="fixed"/>
        <w:tblInd w:w="970" w:type="dxa"/>
        <w:tblCellMar>
          <w:top w:w="0" w:type="dxa"/>
          <w:left w:w="0" w:type="dxa"/>
          <w:bottom w:w="0" w:type="dxa"/>
          <w:right w:w="0" w:type="dxa"/>
        </w:tblCellMar>
      </w:tblPr>
      <w:tr>
        <w:trPr>
          <w:trHeight w:val="283"/>
        </w:trPr>
        <w:tc>
          <w:tcPr>
            <w:tcW w:w="1120" w:type="dxa"/>
            <w:vAlign w:val="bottom"/>
            <w:tcBorders>
              <w:top w:val="single" w:sz="8" w:color="auto"/>
              <w:left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b w:val="1"/>
                <w:bCs w:val="1"/>
                <w:color w:val="auto"/>
                <w:w w:val="98"/>
              </w:rPr>
              <w:t>By Gender</w:t>
            </w:r>
          </w:p>
        </w:tc>
        <w:tc>
          <w:tcPr>
            <w:tcW w:w="1120" w:type="dxa"/>
            <w:vAlign w:val="bottom"/>
            <w:tcBorders>
              <w:top w:val="single" w:sz="8" w:color="auto"/>
              <w:right w:val="single" w:sz="8" w:color="auto"/>
            </w:tcBorders>
          </w:tcPr>
          <w:p>
            <w:pPr>
              <w:spacing w:after="0"/>
              <w:rPr>
                <w:sz w:val="24"/>
                <w:szCs w:val="24"/>
                <w:color w:val="auto"/>
              </w:rPr>
            </w:pPr>
          </w:p>
        </w:tc>
      </w:tr>
      <w:tr>
        <w:trPr>
          <w:trHeight w:val="276"/>
        </w:trPr>
        <w:tc>
          <w:tcPr>
            <w:tcW w:w="112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Male</w:t>
            </w:r>
          </w:p>
        </w:tc>
        <w:tc>
          <w:tcPr>
            <w:tcW w:w="2140" w:type="dxa"/>
            <w:vAlign w:val="bottom"/>
            <w:tcBorders>
              <w:right w:val="single" w:sz="8" w:color="auto"/>
            </w:tcBorders>
            <w:gridSpan w:val="2"/>
          </w:tcPr>
          <w:p>
            <w:pPr>
              <w:jc w:val="center"/>
              <w:ind w:left="1399"/>
              <w:spacing w:after="0"/>
              <w:rPr>
                <w:sz w:val="20"/>
                <w:szCs w:val="20"/>
                <w:color w:val="auto"/>
              </w:rPr>
            </w:pPr>
            <w:r>
              <w:rPr>
                <w:rFonts w:ascii="Arial" w:cs="Arial" w:eastAsia="Arial" w:hAnsi="Arial"/>
                <w:sz w:val="20"/>
                <w:szCs w:val="20"/>
                <w:color w:val="auto"/>
                <w:w w:val="99"/>
              </w:rPr>
              <w:t>70%</w:t>
            </w:r>
          </w:p>
        </w:tc>
      </w:tr>
      <w:tr>
        <w:trPr>
          <w:trHeight w:val="293"/>
        </w:trPr>
        <w:tc>
          <w:tcPr>
            <w:tcW w:w="112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Female</w:t>
            </w:r>
          </w:p>
        </w:tc>
        <w:tc>
          <w:tcPr>
            <w:tcW w:w="2140" w:type="dxa"/>
            <w:vAlign w:val="bottom"/>
            <w:tcBorders>
              <w:right w:val="single" w:sz="8" w:color="auto"/>
            </w:tcBorders>
            <w:gridSpan w:val="2"/>
          </w:tcPr>
          <w:p>
            <w:pPr>
              <w:jc w:val="center"/>
              <w:ind w:left="1399"/>
              <w:spacing w:after="0"/>
              <w:rPr>
                <w:sz w:val="20"/>
                <w:szCs w:val="20"/>
                <w:color w:val="auto"/>
              </w:rPr>
            </w:pPr>
            <w:r>
              <w:rPr>
                <w:rFonts w:ascii="Arial" w:cs="Arial" w:eastAsia="Arial" w:hAnsi="Arial"/>
                <w:sz w:val="20"/>
                <w:szCs w:val="20"/>
                <w:color w:val="auto"/>
                <w:w w:val="99"/>
              </w:rPr>
              <w:t>25%</w:t>
            </w:r>
          </w:p>
        </w:tc>
      </w:tr>
      <w:tr>
        <w:trPr>
          <w:trHeight w:val="312"/>
        </w:trPr>
        <w:tc>
          <w:tcPr>
            <w:tcW w:w="112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Unknown*</w:t>
            </w:r>
          </w:p>
        </w:tc>
        <w:tc>
          <w:tcPr>
            <w:tcW w:w="2140" w:type="dxa"/>
            <w:vAlign w:val="bottom"/>
            <w:tcBorders>
              <w:right w:val="single" w:sz="8" w:color="auto"/>
            </w:tcBorders>
            <w:gridSpan w:val="2"/>
          </w:tcPr>
          <w:p>
            <w:pPr>
              <w:jc w:val="center"/>
              <w:ind w:left="1379"/>
              <w:spacing w:after="0"/>
              <w:rPr>
                <w:sz w:val="20"/>
                <w:szCs w:val="20"/>
                <w:color w:val="auto"/>
              </w:rPr>
            </w:pPr>
            <w:r>
              <w:rPr>
                <w:rFonts w:ascii="Arial" w:cs="Arial" w:eastAsia="Arial" w:hAnsi="Arial"/>
                <w:sz w:val="20"/>
                <w:szCs w:val="20"/>
                <w:color w:val="auto"/>
              </w:rPr>
              <w:t>5%</w:t>
            </w:r>
          </w:p>
        </w:tc>
      </w:tr>
      <w:tr>
        <w:trPr>
          <w:trHeight w:val="35"/>
        </w:trPr>
        <w:tc>
          <w:tcPr>
            <w:tcW w:w="1120" w:type="dxa"/>
            <w:vAlign w:val="bottom"/>
            <w:tcBorders>
              <w:left w:val="single" w:sz="8" w:color="auto"/>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3"/>
        </w:trPr>
        <w:tc>
          <w:tcPr>
            <w:tcW w:w="1260" w:type="dxa"/>
            <w:vAlign w:val="bottom"/>
            <w:tcBorders>
              <w:top w:val="single" w:sz="8" w:color="auto"/>
              <w:left w:val="single" w:sz="8" w:color="auto"/>
            </w:tcBorders>
          </w:tcPr>
          <w:p>
            <w:pPr>
              <w:spacing w:after="0"/>
              <w:rPr>
                <w:sz w:val="24"/>
                <w:szCs w:val="24"/>
                <w:color w:val="auto"/>
              </w:rPr>
            </w:pPr>
          </w:p>
        </w:tc>
        <w:tc>
          <w:tcPr>
            <w:tcW w:w="2020" w:type="dxa"/>
            <w:vAlign w:val="bottom"/>
            <w:tcBorders>
              <w:top w:val="single" w:sz="8" w:color="auto"/>
              <w:right w:val="single" w:sz="8" w:color="auto"/>
            </w:tcBorders>
            <w:gridSpan w:val="2"/>
          </w:tcPr>
          <w:p>
            <w:pPr>
              <w:jc w:val="right"/>
              <w:ind w:right="1139"/>
              <w:spacing w:after="0"/>
              <w:rPr>
                <w:sz w:val="20"/>
                <w:szCs w:val="20"/>
                <w:color w:val="auto"/>
              </w:rPr>
            </w:pPr>
            <w:r>
              <w:rPr>
                <w:rFonts w:ascii="Arial" w:cs="Arial" w:eastAsia="Arial" w:hAnsi="Arial"/>
                <w:sz w:val="20"/>
                <w:szCs w:val="20"/>
                <w:b w:val="1"/>
                <w:bCs w:val="1"/>
                <w:color w:val="auto"/>
                <w:w w:val="96"/>
              </w:rPr>
              <w:t>By Race</w:t>
            </w:r>
          </w:p>
        </w:tc>
      </w:tr>
      <w:tr>
        <w:trPr>
          <w:trHeight w:val="276"/>
        </w:trPr>
        <w:tc>
          <w:tcPr>
            <w:tcW w:w="126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Minorities</w:t>
            </w:r>
          </w:p>
        </w:tc>
        <w:tc>
          <w:tcPr>
            <w:tcW w:w="780" w:type="dxa"/>
            <w:vAlign w:val="bottom"/>
            <w:tcBorders>
              <w:top w:val="single" w:sz="8" w:color="auto"/>
            </w:tcBorders>
          </w:tcPr>
          <w:p>
            <w:pPr>
              <w:spacing w:after="0"/>
              <w:rPr>
                <w:sz w:val="24"/>
                <w:szCs w:val="24"/>
                <w:color w:val="auto"/>
              </w:rPr>
            </w:pPr>
          </w:p>
        </w:tc>
        <w:tc>
          <w:tcPr>
            <w:tcW w:w="124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48%</w:t>
            </w:r>
          </w:p>
        </w:tc>
      </w:tr>
      <w:tr>
        <w:trPr>
          <w:trHeight w:val="293"/>
        </w:trPr>
        <w:tc>
          <w:tcPr>
            <w:tcW w:w="126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White</w:t>
            </w:r>
          </w:p>
        </w:tc>
        <w:tc>
          <w:tcPr>
            <w:tcW w:w="2020" w:type="dxa"/>
            <w:vAlign w:val="bottom"/>
            <w:tcBorders>
              <w:right w:val="single" w:sz="8" w:color="auto"/>
            </w:tcBorders>
            <w:gridSpan w:val="2"/>
          </w:tcPr>
          <w:p>
            <w:pPr>
              <w:jc w:val="right"/>
              <w:ind w:right="19"/>
              <w:spacing w:after="0"/>
              <w:rPr>
                <w:sz w:val="20"/>
                <w:szCs w:val="20"/>
                <w:color w:val="auto"/>
              </w:rPr>
            </w:pPr>
            <w:r>
              <w:rPr>
                <w:rFonts w:ascii="Arial" w:cs="Arial" w:eastAsia="Arial" w:hAnsi="Arial"/>
                <w:sz w:val="20"/>
                <w:szCs w:val="20"/>
                <w:color w:val="auto"/>
              </w:rPr>
              <w:t>42%</w:t>
            </w:r>
          </w:p>
        </w:tc>
      </w:tr>
      <w:tr>
        <w:trPr>
          <w:trHeight w:val="312"/>
        </w:trPr>
        <w:tc>
          <w:tcPr>
            <w:tcW w:w="126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Unknown*</w:t>
            </w:r>
          </w:p>
        </w:tc>
        <w:tc>
          <w:tcPr>
            <w:tcW w:w="2020" w:type="dxa"/>
            <w:vAlign w:val="bottom"/>
            <w:tcBorders>
              <w:right w:val="single" w:sz="8" w:color="auto"/>
            </w:tcBorders>
            <w:gridSpan w:val="2"/>
          </w:tcPr>
          <w:p>
            <w:pPr>
              <w:jc w:val="right"/>
              <w:ind w:right="19"/>
              <w:spacing w:after="0"/>
              <w:rPr>
                <w:sz w:val="20"/>
                <w:szCs w:val="20"/>
                <w:color w:val="auto"/>
              </w:rPr>
            </w:pPr>
            <w:r>
              <w:rPr>
                <w:rFonts w:ascii="Arial" w:cs="Arial" w:eastAsia="Arial" w:hAnsi="Arial"/>
                <w:sz w:val="20"/>
                <w:szCs w:val="20"/>
                <w:color w:val="auto"/>
              </w:rPr>
              <w:t>10%</w:t>
            </w:r>
          </w:p>
        </w:tc>
      </w:tr>
      <w:tr>
        <w:trPr>
          <w:trHeight w:val="35"/>
        </w:trPr>
        <w:tc>
          <w:tcPr>
            <w:tcW w:w="126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2240" w:h="15840" w:orient="portrait"/>
          <w:cols w:equalWidth="0" w:num="2">
            <w:col w:w="4400" w:space="720"/>
            <w:col w:w="4380"/>
          </w:cols>
          <w:pgMar w:left="1440" w:top="1440" w:right="1300" w:bottom="0" w:gutter="0" w:footer="0" w:header="0"/>
          <w:type w:val="continuous"/>
        </w:sectPr>
      </w:pPr>
    </w:p>
    <w:p>
      <w:pPr>
        <w:spacing w:after="0" w:line="10" w:lineRule="exact"/>
        <w:rPr>
          <w:sz w:val="20"/>
          <w:szCs w:val="20"/>
          <w:color w:val="auto"/>
        </w:rPr>
      </w:pPr>
    </w:p>
    <w:tbl>
      <w:tblPr>
        <w:tblLayout w:type="fixed"/>
        <w:tblInd w:w="3010" w:type="dxa"/>
        <w:tblCellMar>
          <w:top w:w="0" w:type="dxa"/>
          <w:left w:w="0" w:type="dxa"/>
          <w:bottom w:w="0" w:type="dxa"/>
          <w:right w:w="0" w:type="dxa"/>
        </w:tblCellMar>
      </w:tblPr>
      <w:tr>
        <w:trPr>
          <w:trHeight w:val="283"/>
        </w:trPr>
        <w:tc>
          <w:tcPr>
            <w:tcW w:w="1100" w:type="dxa"/>
            <w:vAlign w:val="bottom"/>
            <w:tcBorders>
              <w:top w:val="single" w:sz="8" w:color="auto"/>
              <w:left w:val="single" w:sz="8" w:color="auto"/>
            </w:tcBorders>
          </w:tcPr>
          <w:p>
            <w:pPr>
              <w:spacing w:after="0"/>
              <w:rPr>
                <w:sz w:val="24"/>
                <w:szCs w:val="24"/>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By Generation</w:t>
            </w:r>
          </w:p>
        </w:tc>
        <w:tc>
          <w:tcPr>
            <w:tcW w:w="920" w:type="dxa"/>
            <w:vAlign w:val="bottom"/>
            <w:tcBorders>
              <w:top w:val="single" w:sz="8" w:color="auto"/>
              <w:right w:val="single" w:sz="8" w:color="auto"/>
            </w:tcBorders>
          </w:tcPr>
          <w:p>
            <w:pPr>
              <w:spacing w:after="0"/>
              <w:rPr>
                <w:sz w:val="24"/>
                <w:szCs w:val="24"/>
                <w:color w:val="auto"/>
              </w:rPr>
            </w:pP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r>
      <w:tr>
        <w:trPr>
          <w:trHeight w:val="281"/>
        </w:trPr>
        <w:tc>
          <w:tcPr>
            <w:tcW w:w="2660" w:type="dxa"/>
            <w:vAlign w:val="bottom"/>
            <w:tcBorders>
              <w:left w:val="single" w:sz="8" w:color="auto"/>
            </w:tcBorders>
            <w:gridSpan w:val="3"/>
          </w:tcPr>
          <w:p>
            <w:pPr>
              <w:ind w:left="120"/>
              <w:spacing w:after="0"/>
              <w:rPr>
                <w:sz w:val="20"/>
                <w:szCs w:val="20"/>
                <w:color w:val="auto"/>
              </w:rPr>
            </w:pPr>
            <w:r>
              <w:rPr>
                <w:rFonts w:ascii="Arial" w:cs="Arial" w:eastAsia="Arial" w:hAnsi="Arial"/>
                <w:sz w:val="20"/>
                <w:szCs w:val="20"/>
                <w:color w:val="auto"/>
              </w:rPr>
              <w:t>Gen Z  (1996-2015)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11%</w:t>
            </w:r>
          </w:p>
        </w:tc>
      </w:tr>
      <w:tr>
        <w:trPr>
          <w:trHeight w:val="308"/>
        </w:trPr>
        <w:tc>
          <w:tcPr>
            <w:tcW w:w="2660" w:type="dxa"/>
            <w:vAlign w:val="bottom"/>
            <w:tcBorders>
              <w:left w:val="single" w:sz="8" w:color="auto"/>
            </w:tcBorders>
            <w:gridSpan w:val="3"/>
          </w:tcPr>
          <w:p>
            <w:pPr>
              <w:ind w:left="120"/>
              <w:spacing w:after="0"/>
              <w:rPr>
                <w:sz w:val="20"/>
                <w:szCs w:val="20"/>
                <w:color w:val="auto"/>
              </w:rPr>
            </w:pPr>
            <w:r>
              <w:rPr>
                <w:rFonts w:ascii="Arial" w:cs="Arial" w:eastAsia="Arial" w:hAnsi="Arial"/>
                <w:sz w:val="20"/>
                <w:szCs w:val="20"/>
                <w:color w:val="auto"/>
              </w:rPr>
              <w:t>Millennials  (1977-1995)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40%</w:t>
            </w:r>
          </w:p>
        </w:tc>
      </w:tr>
      <w:tr>
        <w:trPr>
          <w:trHeight w:val="312"/>
        </w:trPr>
        <w:tc>
          <w:tcPr>
            <w:tcW w:w="2660" w:type="dxa"/>
            <w:vAlign w:val="bottom"/>
            <w:tcBorders>
              <w:left w:val="single" w:sz="8" w:color="auto"/>
            </w:tcBorders>
            <w:gridSpan w:val="3"/>
          </w:tcPr>
          <w:p>
            <w:pPr>
              <w:ind w:left="120"/>
              <w:spacing w:after="0"/>
              <w:rPr>
                <w:sz w:val="20"/>
                <w:szCs w:val="20"/>
                <w:color w:val="auto"/>
              </w:rPr>
            </w:pPr>
            <w:r>
              <w:rPr>
                <w:rFonts w:ascii="Arial" w:cs="Arial" w:eastAsia="Arial" w:hAnsi="Arial"/>
                <w:sz w:val="20"/>
                <w:szCs w:val="20"/>
                <w:color w:val="auto"/>
              </w:rPr>
              <w:t>Gen X (1965-1976)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27%</w:t>
            </w:r>
          </w:p>
        </w:tc>
      </w:tr>
      <w:tr>
        <w:trPr>
          <w:trHeight w:val="312"/>
        </w:trPr>
        <w:tc>
          <w:tcPr>
            <w:tcW w:w="2660" w:type="dxa"/>
            <w:vAlign w:val="bottom"/>
            <w:tcBorders>
              <w:left w:val="single" w:sz="8" w:color="auto"/>
            </w:tcBorders>
            <w:gridSpan w:val="3"/>
          </w:tcPr>
          <w:p>
            <w:pPr>
              <w:ind w:left="120"/>
              <w:spacing w:after="0"/>
              <w:rPr>
                <w:sz w:val="20"/>
                <w:szCs w:val="20"/>
                <w:color w:val="auto"/>
              </w:rPr>
            </w:pPr>
            <w:r>
              <w:rPr>
                <w:rFonts w:ascii="Arial" w:cs="Arial" w:eastAsia="Arial" w:hAnsi="Arial"/>
                <w:sz w:val="20"/>
                <w:szCs w:val="20"/>
                <w:color w:val="auto"/>
              </w:rPr>
              <w:t>Boomers  (1946-1964)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22%</w:t>
            </w:r>
          </w:p>
        </w:tc>
      </w:tr>
      <w:tr>
        <w:trPr>
          <w:trHeight w:val="307"/>
        </w:trPr>
        <w:tc>
          <w:tcPr>
            <w:tcW w:w="2660" w:type="dxa"/>
            <w:vAlign w:val="bottom"/>
            <w:tcBorders>
              <w:left w:val="single" w:sz="8" w:color="auto"/>
            </w:tcBorders>
            <w:gridSpan w:val="3"/>
          </w:tcPr>
          <w:p>
            <w:pPr>
              <w:ind w:left="120"/>
              <w:spacing w:after="0"/>
              <w:rPr>
                <w:sz w:val="20"/>
                <w:szCs w:val="20"/>
                <w:color w:val="auto"/>
              </w:rPr>
            </w:pPr>
            <w:r>
              <w:rPr>
                <w:rFonts w:ascii="Arial" w:cs="Arial" w:eastAsia="Arial" w:hAnsi="Arial"/>
                <w:sz w:val="20"/>
                <w:szCs w:val="20"/>
                <w:color w:val="auto"/>
              </w:rPr>
              <w:t>Silent  (1945 &amp; before)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&lt;0.2%</w:t>
            </w:r>
          </w:p>
        </w:tc>
      </w:tr>
      <w:tr>
        <w:trPr>
          <w:trHeight w:val="40"/>
        </w:trPr>
        <w:tc>
          <w:tcPr>
            <w:tcW w:w="1100" w:type="dxa"/>
            <w:vAlign w:val="bottom"/>
            <w:tcBorders>
              <w:left w:val="single" w:sz="8" w:color="auto"/>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r>
    </w:tbl>
    <w:p>
      <w:pPr>
        <w:spacing w:after="0" w:line="359" w:lineRule="exact"/>
        <w:rPr>
          <w:sz w:val="20"/>
          <w:szCs w:val="20"/>
          <w:color w:val="auto"/>
        </w:rPr>
      </w:pPr>
    </w:p>
    <w:p>
      <w:pPr>
        <w:jc w:val="center"/>
        <w:ind w:left="1500" w:right="420"/>
        <w:spacing w:after="0" w:line="256" w:lineRule="auto"/>
        <w:rPr>
          <w:sz w:val="20"/>
          <w:szCs w:val="20"/>
          <w:color w:val="auto"/>
        </w:rPr>
      </w:pPr>
      <w:r>
        <w:rPr>
          <w:rFonts w:ascii="Times New Roman" w:cs="Times New Roman" w:eastAsia="Times New Roman" w:hAnsi="Times New Roman"/>
          <w:sz w:val="19"/>
          <w:szCs w:val="19"/>
          <w:color w:val="auto"/>
        </w:rPr>
        <w:t>Minorities are defined to include individuals of Native American or Alaskan Native, Asian, Black or African American, Hispanic or Latino, Native Hawaiian or Other Pacific Islander, and Two or More Races.</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xml:space="preserve">The above is </w:t>
      </w:r>
      <w:r>
        <w:rPr>
          <w:rFonts w:ascii="Arial" w:cs="Arial" w:eastAsia="Arial" w:hAnsi="Arial"/>
          <w:sz w:val="20"/>
          <w:szCs w:val="20"/>
          <w:color w:val="auto"/>
        </w:rPr>
        <w:t>based on employees’ self</w:t>
      </w:r>
      <w:r>
        <w:rPr>
          <w:rFonts w:ascii="Times New Roman" w:cs="Times New Roman" w:eastAsia="Times New Roman" w:hAnsi="Times New Roman"/>
          <w:sz w:val="20"/>
          <w:szCs w:val="20"/>
          <w:color w:val="auto"/>
        </w:rPr>
        <w:t>-identification or other information believed by the Company to be reliable.</w:t>
      </w:r>
    </w:p>
    <w:p>
      <w:pPr>
        <w:jc w:val="center"/>
        <w:ind w:right="-59"/>
        <w:spacing w:after="0" w:line="235" w:lineRule="auto"/>
        <w:rPr>
          <w:sz w:val="20"/>
          <w:szCs w:val="20"/>
          <w:color w:val="auto"/>
        </w:rPr>
      </w:pPr>
      <w:r>
        <w:rPr>
          <w:rFonts w:ascii="Times New Roman" w:cs="Times New Roman" w:eastAsia="Times New Roman" w:hAnsi="Times New Roman"/>
          <w:sz w:val="20"/>
          <w:szCs w:val="20"/>
          <w:color w:val="auto"/>
        </w:rPr>
        <w:t>*Some countries do not permit the collection or reporting of some or all of the above types of data.</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w:t>
      </w:r>
    </w:p>
    <w:p>
      <w:pPr>
        <w:spacing w:after="0" w:line="129"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color w:val="auto"/>
        </w:rPr>
        <w:t>For information about our credit facility, see Note 6 to the Consolidated Financial Statements, which is incorporated into this Item by reference.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set forth in Item 1A, “Risk Factors,” is incorporated in this Item by reference.</w:t>
      </w:r>
    </w:p>
    <w:p>
      <w:pPr>
        <w:spacing w:after="0" w:line="1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 xml:space="preserve">We make available free of charge on or through our website, </w:t>
      </w:r>
      <w:r>
        <w:rPr>
          <w:rFonts w:ascii="Times New Roman" w:cs="Times New Roman" w:eastAsia="Times New Roman" w:hAnsi="Times New Roman"/>
          <w:sz w:val="20"/>
          <w:szCs w:val="20"/>
          <w:i w:val="1"/>
          <w:iCs w:val="1"/>
          <w:color w:val="auto"/>
        </w:rPr>
        <w:t>www.escotechnologies.com</w:t>
      </w:r>
      <w:r>
        <w:rPr>
          <w:rFonts w:ascii="Times New Roman" w:cs="Times New Roman" w:eastAsia="Times New Roman" w:hAnsi="Times New Roman"/>
          <w:sz w:val="20"/>
          <w:szCs w:val="20"/>
          <w:color w:val="auto"/>
        </w:rPr>
        <w:t>, our annual report on Form 10-K, quarterly reports on Form 10-Q, current reports on Form 8-K, and amendments to those reports filed or furnished pursuant to Section 13(a) or 15(d) of the Securities Exchange Act of 1934, as amended, as well as our recent Proxy Statements for meetings of our shareholders, as soon as reasonably practicable after we file or furnish this material to the Securities and Exchange Commission. Information contained on our website is not incorporated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9500"/>
          </w:cols>
          <w:pgMar w:left="1440" w:top="1440" w:right="130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The following sets forth certain information as of the date of this report with respect to the persons who are, or who have been selected to become, our executive officers. These officers are elected annually to terms which expire at the first meeting of the Board of Directors held after the Annual Meeting of Stockholders.</w:t>
      </w:r>
    </w:p>
    <w:p>
      <w:pPr>
        <w:spacing w:after="0" w:line="94"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20"/>
                <w:szCs w:val="20"/>
                <w:b w:val="1"/>
                <w:bCs w:val="1"/>
                <w:color w:val="auto"/>
                <w:w w:val="80"/>
              </w:rPr>
              <w:t>Name</w:t>
            </w:r>
          </w:p>
        </w:tc>
        <w:tc>
          <w:tcPr>
            <w:tcW w:w="1480" w:type="dxa"/>
            <w:vAlign w:val="bottom"/>
          </w:tcPr>
          <w:p>
            <w:pPr>
              <w:spacing w:after="0"/>
              <w:rPr>
                <w:sz w:val="19"/>
                <w:szCs w:val="19"/>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4"/>
              </w:rPr>
              <w:t>Age</w:t>
            </w:r>
          </w:p>
        </w:tc>
        <w:tc>
          <w:tcPr>
            <w:tcW w:w="6320" w:type="dxa"/>
            <w:vAlign w:val="bottom"/>
            <w:gridSpan w:val="2"/>
          </w:tcPr>
          <w:p>
            <w:pPr>
              <w:spacing w:after="0"/>
              <w:rPr>
                <w:sz w:val="20"/>
                <w:szCs w:val="20"/>
                <w:color w:val="auto"/>
              </w:rPr>
            </w:pPr>
            <w:r>
              <w:rPr>
                <w:rFonts w:ascii="Arial" w:cs="Arial" w:eastAsia="Arial" w:hAnsi="Arial"/>
                <w:sz w:val="20"/>
                <w:szCs w:val="20"/>
                <w:b w:val="1"/>
                <w:bCs w:val="1"/>
                <w:color w:val="auto"/>
              </w:rPr>
              <w:t>Position(s) and Business Experience</w:t>
            </w:r>
          </w:p>
        </w:tc>
      </w:tr>
      <w:tr>
        <w:trPr>
          <w:trHeight w:val="20"/>
        </w:trPr>
        <w:tc>
          <w:tcPr>
            <w:tcW w:w="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10"/>
        </w:trPr>
        <w:tc>
          <w:tcPr>
            <w:tcW w:w="1940" w:type="dxa"/>
            <w:vAlign w:val="bottom"/>
            <w:gridSpan w:val="2"/>
          </w:tcPr>
          <w:p>
            <w:pPr>
              <w:spacing w:after="0"/>
              <w:rPr>
                <w:sz w:val="20"/>
                <w:szCs w:val="20"/>
                <w:color w:val="auto"/>
              </w:rPr>
            </w:pPr>
            <w:r>
              <w:rPr>
                <w:rFonts w:ascii="Arial" w:cs="Arial" w:eastAsia="Arial" w:hAnsi="Arial"/>
                <w:sz w:val="20"/>
                <w:szCs w:val="20"/>
                <w:color w:val="auto"/>
              </w:rPr>
              <w:t>Bryan H. Sayler</w:t>
            </w:r>
          </w:p>
        </w:tc>
        <w:tc>
          <w:tcPr>
            <w:tcW w:w="320" w:type="dxa"/>
            <w:vAlign w:val="bottom"/>
          </w:tcPr>
          <w:p>
            <w:pPr>
              <w:jc w:val="center"/>
              <w:spacing w:after="0"/>
              <w:rPr>
                <w:sz w:val="20"/>
                <w:szCs w:val="20"/>
                <w:color w:val="auto"/>
              </w:rPr>
            </w:pPr>
            <w:r>
              <w:rPr>
                <w:rFonts w:ascii="Arial" w:cs="Arial" w:eastAsia="Arial" w:hAnsi="Arial"/>
                <w:sz w:val="20"/>
                <w:szCs w:val="20"/>
                <w:color w:val="auto"/>
                <w:w w:val="80"/>
              </w:rPr>
              <w:t>57</w:t>
            </w:r>
          </w:p>
        </w:tc>
        <w:tc>
          <w:tcPr>
            <w:tcW w:w="3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8"/>
              </w:rPr>
              <w:t>Mr. Sayler has been the Company’s President and Chief Executive Officer since</w:t>
            </w:r>
          </w:p>
        </w:tc>
      </w:tr>
      <w:tr>
        <w:trPr>
          <w:trHeight w:val="235"/>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5"/>
              </w:rPr>
              <w:t>January 1, 2023. Mr. Sayler led our Utility Solutions Group from 2016 through 2022,</w:t>
            </w:r>
          </w:p>
        </w:tc>
      </w:tr>
      <w:tr>
        <w:trPr>
          <w:trHeight w:val="226"/>
        </w:trPr>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20" w:type="dxa"/>
            <w:vAlign w:val="bottom"/>
            <w:gridSpan w:val="2"/>
          </w:tcPr>
          <w:p>
            <w:pPr>
              <w:spacing w:after="0" w:line="227" w:lineRule="exact"/>
              <w:rPr>
                <w:sz w:val="20"/>
                <w:szCs w:val="20"/>
                <w:color w:val="auto"/>
              </w:rPr>
            </w:pPr>
            <w:r>
              <w:rPr>
                <w:rFonts w:ascii="Arial" w:cs="Arial" w:eastAsia="Arial" w:hAnsi="Arial"/>
                <w:sz w:val="20"/>
                <w:szCs w:val="20"/>
                <w:color w:val="auto"/>
                <w:w w:val="82"/>
              </w:rPr>
              <w:t>where he played a key role in strategically building out the group, including leading our</w:t>
            </w:r>
          </w:p>
        </w:tc>
      </w:tr>
      <w:tr>
        <w:trPr>
          <w:trHeight w:val="230"/>
        </w:trPr>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6"/>
              </w:rPr>
              <w:t>entry into the renewables business and overseeing six successful acquisitions that</w:t>
            </w:r>
          </w:p>
        </w:tc>
      </w:tr>
      <w:tr>
        <w:trPr>
          <w:trHeight w:val="231"/>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90"/>
              </w:rPr>
              <w:t>more than doubled the size of the segment. From 1995 to 2016, he held senior</w:t>
            </w:r>
          </w:p>
        </w:tc>
      </w:tr>
      <w:tr>
        <w:trPr>
          <w:trHeight w:val="230"/>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rPr>
              <w:t>positions with ETS-Lindgren.</w:t>
            </w:r>
          </w:p>
        </w:tc>
      </w:tr>
      <w:tr>
        <w:trPr>
          <w:trHeight w:val="307"/>
        </w:trPr>
        <w:tc>
          <w:tcPr>
            <w:tcW w:w="1940" w:type="dxa"/>
            <w:vAlign w:val="bottom"/>
            <w:gridSpan w:val="2"/>
          </w:tcPr>
          <w:p>
            <w:pPr>
              <w:spacing w:after="0"/>
              <w:rPr>
                <w:sz w:val="20"/>
                <w:szCs w:val="20"/>
                <w:color w:val="auto"/>
              </w:rPr>
            </w:pPr>
            <w:r>
              <w:rPr>
                <w:rFonts w:ascii="Arial" w:cs="Arial" w:eastAsia="Arial" w:hAnsi="Arial"/>
                <w:sz w:val="20"/>
                <w:szCs w:val="20"/>
                <w:color w:val="auto"/>
                <w:w w:val="99"/>
              </w:rPr>
              <w:t>Christopher L. Tucker</w:t>
            </w:r>
          </w:p>
        </w:tc>
        <w:tc>
          <w:tcPr>
            <w:tcW w:w="320" w:type="dxa"/>
            <w:vAlign w:val="bottom"/>
          </w:tcPr>
          <w:p>
            <w:pPr>
              <w:jc w:val="center"/>
              <w:spacing w:after="0"/>
              <w:rPr>
                <w:sz w:val="20"/>
                <w:szCs w:val="20"/>
                <w:color w:val="auto"/>
              </w:rPr>
            </w:pPr>
            <w:r>
              <w:rPr>
                <w:rFonts w:ascii="Arial" w:cs="Arial" w:eastAsia="Arial" w:hAnsi="Arial"/>
                <w:sz w:val="20"/>
                <w:szCs w:val="20"/>
                <w:color w:val="auto"/>
                <w:w w:val="80"/>
              </w:rPr>
              <w:t>52</w:t>
            </w:r>
          </w:p>
        </w:tc>
        <w:tc>
          <w:tcPr>
            <w:tcW w:w="3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7"/>
              </w:rPr>
              <w:t>Mr. Tucker has been Senior Vice President and Chief Financial Officer since April</w:t>
            </w:r>
          </w:p>
        </w:tc>
      </w:tr>
      <w:tr>
        <w:trPr>
          <w:trHeight w:val="230"/>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3"/>
              </w:rPr>
              <w:t>2021. Prior to joining ESCO, Mr. Tucker worked at Emerson Electric Co (NYSE:EMR)</w:t>
            </w:r>
          </w:p>
        </w:tc>
      </w:tr>
      <w:tr>
        <w:trPr>
          <w:trHeight w:val="230"/>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6"/>
              </w:rPr>
              <w:t>for 24 years, where he held a series of financial and administrative positions, most</w:t>
            </w:r>
          </w:p>
        </w:tc>
      </w:tr>
      <w:tr>
        <w:trPr>
          <w:trHeight w:val="230"/>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4"/>
              </w:rPr>
              <w:t>recently as Vice President and Chief Financial Officer of Emerson’s Commercial and</w:t>
            </w:r>
          </w:p>
        </w:tc>
      </w:tr>
      <w:tr>
        <w:trPr>
          <w:trHeight w:val="231"/>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96"/>
              </w:rPr>
              <w:t>Residential Solutions business, consisting of 11 business units generating</w:t>
            </w:r>
          </w:p>
        </w:tc>
      </w:tr>
      <w:tr>
        <w:trPr>
          <w:trHeight w:val="230"/>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rPr>
              <w:t>approximately $6 billion in annual revenue.</w:t>
            </w:r>
          </w:p>
        </w:tc>
      </w:tr>
      <w:tr>
        <w:trPr>
          <w:trHeight w:val="307"/>
        </w:trPr>
        <w:tc>
          <w:tcPr>
            <w:tcW w:w="1940" w:type="dxa"/>
            <w:vAlign w:val="bottom"/>
            <w:gridSpan w:val="2"/>
          </w:tcPr>
          <w:p>
            <w:pPr>
              <w:spacing w:after="0"/>
              <w:rPr>
                <w:sz w:val="20"/>
                <w:szCs w:val="20"/>
                <w:color w:val="auto"/>
              </w:rPr>
            </w:pPr>
            <w:r>
              <w:rPr>
                <w:rFonts w:ascii="Arial" w:cs="Arial" w:eastAsia="Arial" w:hAnsi="Arial"/>
                <w:sz w:val="20"/>
                <w:szCs w:val="20"/>
                <w:color w:val="auto"/>
              </w:rPr>
              <w:t>David M. Schatz</w:t>
            </w:r>
          </w:p>
        </w:tc>
        <w:tc>
          <w:tcPr>
            <w:tcW w:w="320" w:type="dxa"/>
            <w:vAlign w:val="bottom"/>
          </w:tcPr>
          <w:p>
            <w:pPr>
              <w:jc w:val="center"/>
              <w:spacing w:after="0"/>
              <w:rPr>
                <w:sz w:val="20"/>
                <w:szCs w:val="20"/>
                <w:color w:val="auto"/>
              </w:rPr>
            </w:pPr>
            <w:r>
              <w:rPr>
                <w:rFonts w:ascii="Arial" w:cs="Arial" w:eastAsia="Arial" w:hAnsi="Arial"/>
                <w:sz w:val="20"/>
                <w:szCs w:val="20"/>
                <w:color w:val="auto"/>
                <w:w w:val="80"/>
              </w:rPr>
              <w:t>60</w:t>
            </w:r>
          </w:p>
        </w:tc>
        <w:tc>
          <w:tcPr>
            <w:tcW w:w="3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81"/>
              </w:rPr>
              <w:t>Mr. Schatz has been Senior Vice President, General Counsel and Secretary since April</w:t>
            </w:r>
          </w:p>
        </w:tc>
      </w:tr>
      <w:tr>
        <w:trPr>
          <w:trHeight w:val="230"/>
        </w:trPr>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20"/>
                <w:szCs w:val="20"/>
                <w:color w:val="auto"/>
                <w:w w:val="91"/>
              </w:rPr>
              <w:t>2021. He has worked at ESCO since 1998 in various positions with increasing</w:t>
            </w:r>
          </w:p>
        </w:tc>
      </w:tr>
    </w:tbl>
    <w:p>
      <w:pPr>
        <w:spacing w:after="0" w:line="1" w:lineRule="exact"/>
        <w:rPr>
          <w:sz w:val="20"/>
          <w:szCs w:val="20"/>
          <w:color w:val="auto"/>
        </w:rPr>
      </w:pPr>
    </w:p>
    <w:p>
      <w:pPr>
        <w:ind w:left="2900" w:right="220"/>
        <w:spacing w:after="0" w:line="239" w:lineRule="auto"/>
        <w:rPr>
          <w:sz w:val="20"/>
          <w:szCs w:val="20"/>
          <w:color w:val="auto"/>
        </w:rPr>
      </w:pPr>
      <w:r>
        <w:rPr>
          <w:rFonts w:ascii="Arial" w:cs="Arial" w:eastAsia="Arial" w:hAnsi="Arial"/>
          <w:sz w:val="20"/>
          <w:szCs w:val="20"/>
          <w:color w:val="auto"/>
        </w:rPr>
        <w:t>responsibility, including serving as Vice President, IP Counsel and Assistant Secretary from 2015 until April 2021. He has extensive knowledge of ESCO’s operations, technologies, intellectual property, regulatory matters, M&amp;A and other complex legal matters.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____________</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family relationships among any of our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9380"/>
          </w:cols>
          <w:pgMar w:left="1440" w:top="1439" w:right="1420" w:bottom="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Item 1A. Risk Factors</w:t>
      </w:r>
    </w:p>
    <w:p>
      <w:pPr>
        <w:spacing w:after="0" w:line="13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 xml:space="preserve">This Form 10-K, including </w:t>
      </w:r>
      <w:r>
        <w:rPr>
          <w:rFonts w:ascii="Arial" w:cs="Arial" w:eastAsia="Arial" w:hAnsi="Arial"/>
          <w:sz w:val="20"/>
          <w:szCs w:val="20"/>
          <w:color w:val="auto"/>
        </w:rPr>
        <w:t>Item 1, “Business,” Item 2, “Properties,” Item 3, “Legal Proceedings,” Item 7,</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“Management’s Discussion and Analysis of Financial Condition and Results of Operations,” and Item 7A, “Quantitative and Qualitative Disclosures About Market Risk,” contains “forward</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looking statements” within the </w:t>
      </w:r>
      <w:r>
        <w:rPr>
          <w:rFonts w:ascii="Times New Roman" w:cs="Times New Roman" w:eastAsia="Times New Roman" w:hAnsi="Times New Roman"/>
          <w:sz w:val="20"/>
          <w:szCs w:val="20"/>
          <w:color w:val="auto"/>
        </w:rPr>
        <w:t>meaning of the safe harbor provisions of the federal securities laws</w:t>
      </w:r>
      <w:r>
        <w:rPr>
          <w:rFonts w:ascii="Arial" w:cs="Arial" w:eastAsia="Arial" w:hAnsi="Arial"/>
          <w:sz w:val="20"/>
          <w:szCs w:val="20"/>
          <w:color w:val="auto"/>
        </w:rPr>
        <w:t>, as described under “Forward</w:t>
      </w:r>
      <w:r>
        <w:rPr>
          <w:rFonts w:ascii="Times New Roman" w:cs="Times New Roman" w:eastAsia="Times New Roman" w:hAnsi="Times New Roman"/>
          <w:sz w:val="20"/>
          <w:szCs w:val="20"/>
          <w:color w:val="auto"/>
        </w:rPr>
        <w:t>-</w:t>
      </w:r>
      <w:r>
        <w:rPr>
          <w:rFonts w:ascii="Arial" w:cs="Arial" w:eastAsia="Arial" w:hAnsi="Arial"/>
          <w:sz w:val="20"/>
          <w:szCs w:val="20"/>
          <w:color w:val="auto"/>
        </w:rPr>
        <w:t>Looking Statements”</w:t>
      </w:r>
      <w:r>
        <w:rPr>
          <w:rFonts w:ascii="Times New Roman" w:cs="Times New Roman" w:eastAsia="Times New Roman" w:hAnsi="Times New Roman"/>
          <w:sz w:val="20"/>
          <w:szCs w:val="20"/>
          <w:color w:val="auto"/>
        </w:rPr>
        <w:t xml:space="preserve"> above.</w:t>
      </w:r>
    </w:p>
    <w:p>
      <w:pPr>
        <w:spacing w:after="0" w:line="1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In addition to the risks and uncertainties discussed in those Items and elsewhere in this Form 10-K, and risks and uncertainties that apply to businesses or public companies generally, the following important risk factors which are particularly applicable to our business could cause actual results and events to differ materially from those contained in any forward-looking statements, or could otherwise materially adversely affect our business, operating results or financial condition:</w:t>
      </w: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Risks Related to the Nature of our Business</w:t>
      </w:r>
    </w:p>
    <w:p>
      <w:pPr>
        <w:spacing w:after="0" w:line="24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i w:val="1"/>
          <w:iCs w:val="1"/>
          <w:color w:val="auto"/>
        </w:rPr>
        <w:t>Restrictions in authorized U.S. Government defense spending or acquisition priorities could negatively impact our financial position and result of operations.</w:t>
      </w:r>
    </w:p>
    <w:p>
      <w:pPr>
        <w:spacing w:after="0" w:line="130"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0"/>
          <w:szCs w:val="20"/>
          <w:color w:val="auto"/>
        </w:rPr>
        <w:t>Sales to the U.S. Government and its prime contractors and subcontractors represent a significant portion of our business. Over the past three fiscal years, approximately 26% of our revenues have been generated from sales to the U.S. Government or its contractors, primarily within our A&amp;D segment. These sales are dependent on government funding of the underlying programs, which is generally subject to annual Congressional appropriations and periodic authorization of increases in the Government debt ceiling, and they may therefore be adversely affected not only by failure to obtain timely and adequate appropriations but also by extended Government shutdowns.</w:t>
      </w:r>
    </w:p>
    <w:p>
      <w:pPr>
        <w:spacing w:after="0" w:line="13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The lack of certainty about long-term Government defense spending priorities and Congressional willingness to continue short-term Governmental funding in a timely manner creates a continuing risk of reductions or terminations of, or delays in, the government funding of programs applicable to us or our customers, which we cannot anticipate. These funding effects could adversely affect our financial condition or results of operations. A significant portion of VACCO</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w:t>
      </w:r>
      <w:r>
        <w:rPr>
          <w:rFonts w:ascii="Arial" w:cs="Arial" w:eastAsia="Arial" w:hAnsi="Arial"/>
          <w:sz w:val="20"/>
          <w:szCs w:val="20"/>
          <w:color w:val="auto"/>
        </w:rPr>
        <w:t>Globe’s and Westland’s</w:t>
      </w:r>
      <w:r>
        <w:rPr>
          <w:rFonts w:ascii="Times New Roman" w:cs="Times New Roman" w:eastAsia="Times New Roman" w:hAnsi="Times New Roman"/>
          <w:sz w:val="20"/>
          <w:szCs w:val="20"/>
          <w:color w:val="auto"/>
        </w:rPr>
        <w:t xml:space="preserve"> sales involve major U.S. Government programs </w:t>
      </w:r>
      <w:r>
        <w:rPr>
          <w:rFonts w:ascii="Arial" w:cs="Arial" w:eastAsia="Arial" w:hAnsi="Arial"/>
          <w:sz w:val="20"/>
          <w:szCs w:val="20"/>
          <w:color w:val="auto"/>
        </w:rPr>
        <w:t>such as NASA’s Space Launch</w:t>
      </w:r>
      <w:r>
        <w:rPr>
          <w:rFonts w:ascii="Times New Roman" w:cs="Times New Roman" w:eastAsia="Times New Roman" w:hAnsi="Times New Roman"/>
          <w:sz w:val="20"/>
          <w:szCs w:val="20"/>
          <w:color w:val="auto"/>
        </w:rPr>
        <w:t xml:space="preserve"> System (SLS) and U.S. Navy submarines. A reduction or delay in Government spending on these programs could have a significant adverse impact on our financial results which could extend for more than a single year.</w:t>
      </w:r>
    </w:p>
    <w:p>
      <w:pPr>
        <w:spacing w:after="0" w:line="13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 xml:space="preserve">As of September 30, 2023, our twelve-month backlog was approximately $540.7 million, which represents confirmed orders we believe will be recognized as revenue within the next twelve months. There can be no assurance that our customers will purchase all the orders represented in our backlog, particularly as to contracts which are subject to the </w:t>
      </w:r>
      <w:r>
        <w:rPr>
          <w:rFonts w:ascii="Arial" w:cs="Arial" w:eastAsia="Arial" w:hAnsi="Arial"/>
          <w:sz w:val="20"/>
          <w:szCs w:val="20"/>
          <w:color w:val="auto"/>
        </w:rPr>
        <w:t xml:space="preserve">U.S. Government’s and its subcontractors’ </w:t>
      </w:r>
      <w:r>
        <w:rPr>
          <w:rFonts w:ascii="Times New Roman" w:cs="Times New Roman" w:eastAsia="Times New Roman" w:hAnsi="Times New Roman"/>
          <w:sz w:val="20"/>
          <w:szCs w:val="20"/>
          <w:color w:val="auto"/>
        </w:rPr>
        <w:t>ability to modify or terminate major programs or contracts, and if and to the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extent that this occurs, our future revenues could be materially reduced.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enter into fixed-price contracts which could subject us to losses if we have cost overruns.</w:t>
      </w:r>
    </w:p>
    <w:p>
      <w:pPr>
        <w:spacing w:after="0" w:line="12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We derive some of our revenues from fixed-price contracts. While fixed-price contracts enable us to benefit from performance improvements, cost reductions and efficiencies, they also subject us to the risk of reduced margins or incurring losses if we are unable to achieve estimated costs and revenues. If our costs exceed our estimated price, we recognize losses which can significantly affect our reported results. The long term nature of many of our contracts makes the process of estimating costs and revenues on fixed-price contracts inherently risky. Fixed-price contracts often contain price incentives and penalties tied to performance, which can be difficult to estimate and have significant impacts on margins.</w:t>
      </w:r>
    </w:p>
    <w:p>
      <w:pPr>
        <w:spacing w:after="0" w:line="130"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0"/>
          <w:szCs w:val="20"/>
          <w:color w:val="auto"/>
        </w:rPr>
        <w:t>Estimating costs to complete fixed-price development contracts is generally subject to more uncertainty than fixed-price production contracts, especially in times of higher inflation. Many of these development programs have highly complex designs. In addition, technical or quality issues that arise during development could lead to schedule delays and higher costs to complete, which could result in a material charge or otherwise adversely affect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9540"/>
          </w:cols>
          <w:pgMar w:left="1440" w:top="1439" w:right="1260" w:bottom="0" w:gutter="0" w:footer="0" w:header="0"/>
        </w:sectPr>
      </w:pPr>
    </w:p>
    <w:bookmarkStart w:id="18" w:name="page19"/>
    <w:bookmarkEnd w:id="18"/>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Risks Related to our International Business</w:t>
      </w:r>
    </w:p>
    <w:p>
      <w:pPr>
        <w:spacing w:after="0" w:line="24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We derive a significant part of our revenues from non-U.S. sales and are subject to the risks of doing business in other countries.</w:t>
      </w:r>
    </w:p>
    <w:p>
      <w:pPr>
        <w:spacing w:after="0" w:line="130" w:lineRule="exact"/>
        <w:rPr>
          <w:sz w:val="20"/>
          <w:szCs w:val="20"/>
          <w:color w:val="auto"/>
        </w:rPr>
      </w:pPr>
    </w:p>
    <w:p>
      <w:pPr>
        <w:jc w:val="both"/>
        <w:ind w:right="280"/>
        <w:spacing w:after="0" w:line="237" w:lineRule="auto"/>
        <w:rPr>
          <w:sz w:val="20"/>
          <w:szCs w:val="20"/>
          <w:color w:val="auto"/>
        </w:rPr>
      </w:pPr>
      <w:r>
        <w:rPr>
          <w:rFonts w:ascii="Times New Roman" w:cs="Times New Roman" w:eastAsia="Times New Roman" w:hAnsi="Times New Roman"/>
          <w:sz w:val="20"/>
          <w:szCs w:val="20"/>
          <w:color w:val="auto"/>
        </w:rPr>
        <w:t>In 2023, approximately 30% of our net sales were to customers outside the United States. We expect that non-U.S. sales will continue to account for a significant portion of our revenues for the foreseeable future. As a result, we are subject to the risks of doing business internationally, including:</w:t>
      </w:r>
    </w:p>
    <w:p>
      <w:pPr>
        <w:spacing w:after="0" w:line="120" w:lineRule="exact"/>
        <w:rPr>
          <w:sz w:val="20"/>
          <w:szCs w:val="20"/>
          <w:color w:val="auto"/>
        </w:rPr>
      </w:pPr>
    </w:p>
    <w:p>
      <w:pPr>
        <w:ind w:left="720" w:hanging="359"/>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requirements or other executive branch actions, such as Executive Orders;</w:t>
      </w:r>
    </w:p>
    <w:p>
      <w:pPr>
        <w:spacing w:after="0" w:line="129" w:lineRule="exact"/>
        <w:rPr>
          <w:rFonts w:ascii="Arial" w:cs="Arial" w:eastAsia="Arial" w:hAnsi="Arial"/>
          <w:sz w:val="20"/>
          <w:szCs w:val="20"/>
          <w:color w:val="auto"/>
        </w:rPr>
      </w:pPr>
    </w:p>
    <w:p>
      <w:pPr>
        <w:ind w:left="720" w:right="60" w:hanging="359"/>
        <w:spacing w:after="0" w:line="236"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global trade environment, including disputes with authorities in non-U.S. jurisdictions, including international trade authorities, that could impact sales and/or delivery of products and services outside the U.S. and/or impose costs on our customers in the form of tariffs, duties or penalties attributable to the importation of our products;</w:t>
      </w:r>
    </w:p>
    <w:p>
      <w:pPr>
        <w:spacing w:after="0" w:line="131" w:lineRule="exact"/>
        <w:rPr>
          <w:rFonts w:ascii="Arial" w:cs="Arial" w:eastAsia="Arial" w:hAnsi="Arial"/>
          <w:sz w:val="20"/>
          <w:szCs w:val="20"/>
          <w:color w:val="auto"/>
        </w:rPr>
      </w:pPr>
    </w:p>
    <w:p>
      <w:pPr>
        <w:ind w:left="720" w:right="60" w:hanging="359"/>
        <w:spacing w:after="0" w:line="235"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Trade restrictions against certain foreign-made products or entities may adversely affect our business and our ability to compete in certain markets;</w:t>
      </w:r>
    </w:p>
    <w:p>
      <w:pPr>
        <w:spacing w:after="0" w:line="130" w:lineRule="exact"/>
        <w:rPr>
          <w:rFonts w:ascii="Arial" w:cs="Arial" w:eastAsia="Arial" w:hAnsi="Arial"/>
          <w:sz w:val="20"/>
          <w:szCs w:val="20"/>
          <w:color w:val="auto"/>
        </w:rPr>
      </w:pPr>
    </w:p>
    <w:p>
      <w:pPr>
        <w:ind w:left="720" w:right="460" w:hanging="359"/>
        <w:spacing w:after="0" w:line="235"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may also be impacted by the ongoing trade tensions between the U.S. and China which are causing U.S. goods to be viewed in a less favorable light by Chinese customers;</w:t>
      </w:r>
    </w:p>
    <w:p>
      <w:pPr>
        <w:spacing w:after="0" w:line="129" w:lineRule="exact"/>
        <w:rPr>
          <w:rFonts w:ascii="Arial" w:cs="Arial" w:eastAsia="Arial" w:hAnsi="Arial"/>
          <w:sz w:val="20"/>
          <w:szCs w:val="20"/>
          <w:color w:val="auto"/>
        </w:rPr>
      </w:pPr>
    </w:p>
    <w:p>
      <w:pPr>
        <w:ind w:left="720" w:right="60" w:hanging="359"/>
        <w:spacing w:after="0" w:line="235"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U.S. and non-U.S. government policies, including sourcing restrictions, requirements to expend a portion of program funds locally and governmental industrial cooperation or participation requirements;</w:t>
      </w:r>
    </w:p>
    <w:p>
      <w:pPr>
        <w:spacing w:after="0" w:line="119" w:lineRule="exact"/>
        <w:rPr>
          <w:rFonts w:ascii="Arial" w:cs="Arial" w:eastAsia="Arial" w:hAnsi="Arial"/>
          <w:sz w:val="20"/>
          <w:szCs w:val="20"/>
          <w:color w:val="auto"/>
        </w:rPr>
      </w:pPr>
    </w:p>
    <w:p>
      <w:pPr>
        <w:ind w:left="720" w:hanging="359"/>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international currency exchange rates;</w:t>
      </w:r>
    </w:p>
    <w:p>
      <w:pPr>
        <w:spacing w:after="0" w:line="129" w:lineRule="exact"/>
        <w:rPr>
          <w:rFonts w:ascii="Arial" w:cs="Arial" w:eastAsia="Arial" w:hAnsi="Arial"/>
          <w:sz w:val="20"/>
          <w:szCs w:val="20"/>
          <w:color w:val="auto"/>
        </w:rPr>
      </w:pPr>
    </w:p>
    <w:p>
      <w:pPr>
        <w:ind w:left="720" w:right="280" w:hanging="359"/>
        <w:spacing w:after="0" w:line="232"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Volatility in international political and economic environments and changes in non-U.S. national priorities and budgets, which can lead to delays or fluctuations in orders;</w:t>
      </w:r>
    </w:p>
    <w:p>
      <w:pPr>
        <w:spacing w:after="0" w:line="130" w:lineRule="exact"/>
        <w:rPr>
          <w:rFonts w:ascii="Arial" w:cs="Arial" w:eastAsia="Arial" w:hAnsi="Arial"/>
          <w:sz w:val="20"/>
          <w:szCs w:val="20"/>
          <w:color w:val="auto"/>
        </w:rPr>
      </w:pPr>
    </w:p>
    <w:p>
      <w:pPr>
        <w:ind w:left="720" w:right="220" w:hanging="359"/>
        <w:spacing w:after="0" w:line="235"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domestic and international taxes, export controls, tariffs, embargoes, sanctions (such as those imposed on Russia) and other trade restrictions;</w:t>
      </w:r>
    </w:p>
    <w:p>
      <w:pPr>
        <w:spacing w:after="0" w:line="129" w:lineRule="exact"/>
        <w:rPr>
          <w:rFonts w:ascii="Arial" w:cs="Arial" w:eastAsia="Arial" w:hAnsi="Arial"/>
          <w:sz w:val="20"/>
          <w:szCs w:val="20"/>
          <w:color w:val="auto"/>
        </w:rPr>
      </w:pPr>
    </w:p>
    <w:p>
      <w:pPr>
        <w:ind w:left="720" w:right="220" w:hanging="359"/>
        <w:spacing w:after="0" w:line="235"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 variety of non-U.S. laws, as well as U.S. laws affecting the activities of U.S. companies abroad; and</w:t>
      </w:r>
    </w:p>
    <w:p>
      <w:pPr>
        <w:spacing w:after="0" w:line="129" w:lineRule="exact"/>
        <w:rPr>
          <w:rFonts w:ascii="Arial" w:cs="Arial" w:eastAsia="Arial" w:hAnsi="Arial"/>
          <w:sz w:val="20"/>
          <w:szCs w:val="20"/>
          <w:color w:val="auto"/>
        </w:rPr>
      </w:pPr>
    </w:p>
    <w:p>
      <w:pPr>
        <w:ind w:left="720" w:right="100" w:hanging="359"/>
        <w:spacing w:after="0" w:line="235"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developments and conditions, including terrorism, war, epidemics and international tensions and conflicts.</w:t>
      </w:r>
    </w:p>
    <w:p>
      <w:pPr>
        <w:spacing w:after="0" w:line="130"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20"/>
          <w:szCs w:val="20"/>
          <w:color w:val="auto"/>
        </w:rPr>
        <w:t>While the impact of these factors is difficult to predict, any one or more of these factors could adversely affect our future operations, revenues and financial condition.</w:t>
      </w:r>
    </w:p>
    <w:p>
      <w:pPr>
        <w:spacing w:after="0" w:line="245"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b w:val="1"/>
          <w:bCs w:val="1"/>
          <w:i w:val="1"/>
          <w:iCs w:val="1"/>
          <w:color w:val="auto"/>
        </w:rPr>
        <w:t>Economic, political and other risks of our international operations, including unforeseen developments such as terrorist activities, international tensions. war or other armed conflict, and international pandemics, could adversely affect our business.</w:t>
      </w:r>
    </w:p>
    <w:p>
      <w:pPr>
        <w:spacing w:after="0" w:line="12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auto"/>
        </w:rPr>
        <w:t>Adverse changes in the political situation in certain foreign countries in which we do business could cause a decline in revenues and adversely affect our financial condition. For example:</w:t>
      </w:r>
    </w:p>
    <w:p>
      <w:pPr>
        <w:spacing w:after="0" w:line="130" w:lineRule="exact"/>
        <w:rPr>
          <w:sz w:val="20"/>
          <w:szCs w:val="20"/>
          <w:color w:val="auto"/>
        </w:rPr>
      </w:pPr>
    </w:p>
    <w:p>
      <w:pPr>
        <w:ind w:left="720" w:hanging="359"/>
        <w:spacing w:after="0" w:line="237"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Test segment does significant business in Asia, and changes in the Chinese political climate, or economic or territorial aggression by China against Taiwan or other nearby countries, could significantly and negatively affect our business; also, cash generated by our business in China may not be available to fund our operations or other uses outside China due to possible imposition of restrictions or limitations on our ability to repatriate the cash, and although we attempt to repatriate cash on a regular basis to mitigate this risk, we may not be able to continue to do this in the future;</w:t>
      </w:r>
    </w:p>
    <w:p>
      <w:pPr>
        <w:spacing w:after="0" w:line="134" w:lineRule="exact"/>
        <w:rPr>
          <w:rFonts w:ascii="Arial" w:cs="Arial" w:eastAsia="Arial" w:hAnsi="Arial"/>
          <w:sz w:val="20"/>
          <w:szCs w:val="20"/>
          <w:color w:val="auto"/>
        </w:rPr>
      </w:pPr>
    </w:p>
    <w:p>
      <w:pPr>
        <w:ind w:left="720" w:right="300" w:hanging="359"/>
        <w:spacing w:after="0" w:line="237"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Several of our subsidiaries are based in Europe and could be negatively impacted by the ongoing conflicts between Russia and Ukraine, and between Israel and Hamas in Gaza; if either of these conflicts were to spread beyond these countries, or if other conflicts were to develop, we would expect an increasingly unfavorable impact on our global business environment; and</w:t>
      </w:r>
    </w:p>
    <w:p>
      <w:pPr>
        <w:spacing w:after="0" w:line="132" w:lineRule="exact"/>
        <w:rPr>
          <w:rFonts w:ascii="Arial" w:cs="Arial" w:eastAsia="Arial" w:hAnsi="Arial"/>
          <w:sz w:val="20"/>
          <w:szCs w:val="20"/>
          <w:color w:val="auto"/>
        </w:rPr>
      </w:pPr>
    </w:p>
    <w:p>
      <w:pPr>
        <w:ind w:left="720" w:right="120" w:hanging="359"/>
        <w:spacing w:after="0" w:line="254" w:lineRule="auto"/>
        <w:tabs>
          <w:tab w:leader="none" w:pos="72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Our international sales are also subject to other risks inherent in foreign commerce, including currency fluctuations and devaluations, differences in foreign laws, uncertainties as to enforcement of contract or intellectual property rights, and difficulties in negotiating and resolving disputes with our foreign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9520"/>
          </w:cols>
          <w:pgMar w:left="1440" w:top="1439" w:right="1280" w:bottom="0" w:gutter="0" w:footer="0" w:header="0"/>
        </w:sectPr>
      </w:pPr>
    </w:p>
    <w:bookmarkStart w:id="19" w:name="page20"/>
    <w:bookmarkEnd w:id="19"/>
    <w:p>
      <w:pPr>
        <w:spacing w:after="0" w:line="3"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b w:val="1"/>
          <w:bCs w:val="1"/>
          <w:i w:val="1"/>
          <w:iCs w:val="1"/>
          <w:color w:val="auto"/>
        </w:rPr>
        <w:t>Our governmental sales and our international and export operations are subject to special U.S. and foreign government laws and regulations which may impose significant compliance costs, create reputational and legal risk, and impair our ability to compete in international markets.</w:t>
      </w:r>
    </w:p>
    <w:p>
      <w:pPr>
        <w:spacing w:after="0" w:line="12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The international scope of our operations subjects us to a complex system of commercial and trade regulations around the world, and our foreign operations are governed by laws and business practices that often differ from those of the U.S. In addition, laws such as the U.S. Foreign Corrupt Practices Act and similar laws in other countries increase the need for us to manage the risks of improper conduct not only by our own employees but by distributors and contractors who may not be within our direct control. Many of our exports are of products which are subject to U.S. Government regulations and controls such as the International Traffic in Arms Regulations (ITAR), which impose certain restrictions on the U.S. export of defense articles and services, and these restrictions are subject to change from time to time, including changes in the countries into which our products may lawfully be sold.</w:t>
      </w:r>
    </w:p>
    <w:p>
      <w:pPr>
        <w:spacing w:after="0" w:line="13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If we were to fail to comply with these laws and regulations, we could be subject to significant fines, penalties and other sanctions including the inability to continue to export our products or to sell our products to the U.S. Government or to certain other customers. In addition, some of these regulations may be viewed as too restrictive by our international customers, who may elect to develop their own domestic products or procure products from other international suppliers which are not subject to comparable export restrictions; and the laws, regulations or policies of certain other countries may also favor their own domestic suppliers over foreign suppliers such as the Company.</w:t>
      </w: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Risks Related to our Manufacturing and Sales Operations and Technology</w:t>
      </w:r>
    </w:p>
    <w:p>
      <w:pPr>
        <w:spacing w:after="0" w:line="245"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i w:val="1"/>
          <w:iCs w:val="1"/>
          <w:color w:val="auto"/>
        </w:rPr>
        <w:t>Disruptions of Our Information Technology Systems, or Information Security and/or Data Privacy Breaches, Could Adversely Affect Our Business.</w:t>
      </w:r>
    </w:p>
    <w:p>
      <w:pPr>
        <w:spacing w:after="0" w:line="1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Global information technology security threats and targeted computer crime are increasing in frequency and sophistication and pose a risk to the security of our systems and networks and the confidentiality, availability and integrity of our data and communications. While we attempt to mitigate these risks through numerous measures, including implementation of standard cybersecurity controls, employee training and testing, comprehensive monitoring of our networks and systems, and maintenance of backup and protective systems, we cannot guarantee that these efforts will always be successful. Further, although we do not believe we have experienced a material information security breach in the last three years, and we have incurred no material fines, settlement costs or other material expenses related to information security breaches, if we were to experience such a breach it could adversely affect our reputation and result in litigation, regulatory action, liability for fines, penalties and related expenses, and costs of implementing additional data protection procedures. In addition, even though we generally do not conduct business directly with retail or individual customers or consumers we must comply with increasingly complex and rigorous regulatory standards enacted to protect business and personal data in the U.S. and elsewhere. Compliance with data privacy laws and regulations increases operational complexity, and failure to comply with legal or regulatory standards could subject us to fines and penalties, as well as legal and reputational risks, including proceedings against us by governmental entities or others. Although we maintain insurance coverage for data privacy risks, we cannot guarantee that our coverage will be adequate for all costs or losses incurred.</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We have many information technology systems that are important to the operation of our businesses, some of which are managed by third parties. These systems are used to obtain, process, transmit and store electronic information and to manage or support a variety of integral business processes and activities. Our primary and backup computer systems are vulnerable to damage, disruptions or shutdowns during the process of upgrading or replacing software, databases or components and from power outages, computer and telecommunication failures, security breaches, natural disasters and errors by employees. Any failure in the operation of our information technology systems could adversely affect our businesses or operating results. Although losses arising from some of these issues may be covered by information security insurance, we cannot guarantee that our coverage will be adequate for all costs or losses incurred.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part of our manufacturing operations depends on a small number of third-party suppliers.</w:t>
      </w:r>
    </w:p>
    <w:p>
      <w:pPr>
        <w:spacing w:after="0" w:line="1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 xml:space="preserve">A significant part of our manufacturing operations relies on a small number of third-party manufacturers to supply component parts or products. For example, Doble has arrangements with six manufacturers which produce and supply a substantial portion of its end-products, and one of these suppliers produces approximately 23% </w:t>
      </w:r>
      <w:r>
        <w:rPr>
          <w:rFonts w:ascii="Arial" w:cs="Arial" w:eastAsia="Arial" w:hAnsi="Arial"/>
          <w:sz w:val="19"/>
          <w:szCs w:val="19"/>
          <w:color w:val="auto"/>
        </w:rPr>
        <w:t>of Doble’s products</w:t>
      </w:r>
      <w:r>
        <w:rPr>
          <w:rFonts w:ascii="Times New Roman" w:cs="Times New Roman" w:eastAsia="Times New Roman" w:hAnsi="Times New Roman"/>
          <w:sz w:val="19"/>
          <w:szCs w:val="19"/>
          <w:color w:val="auto"/>
        </w:rPr>
        <w:t xml:space="preserve"> from a single location within the United States. As another example, Globe has a single supplier of critical materials for a significant military production program, and if this supplier were to discontinue producing these components in a timely manner the need to secure another source could pose a risk to the production program. A significant disruption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9520"/>
          </w:cols>
          <w:pgMar w:left="1440" w:top="1440" w:right="1280" w:bottom="0" w:gutter="0" w:footer="0" w:header="0"/>
        </w:sectPr>
      </w:pPr>
    </w:p>
    <w:bookmarkStart w:id="20" w:name="page21"/>
    <w:bookmarkEnd w:id="20"/>
    <w:p>
      <w:pPr>
        <w:spacing w:after="0" w:line="8"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20"/>
          <w:szCs w:val="20"/>
          <w:color w:val="auto"/>
        </w:rPr>
        <w:t>in the supply of those products or others provided by a small number of suppliers could negatively affect the timely delivery of products to customers as well as future sales, which could increase costs and reduce margins.</w:t>
      </w:r>
    </w:p>
    <w:p>
      <w:pPr>
        <w:spacing w:after="0" w:line="13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Certain of our other businesses are dependent upon sole source or a limited number of third-party manufacturers of parts and components. Many of these suppliers are small businesses. Since alternative supply sources are limited, there is an increased risk of adverse impacts on our production schedules and profits if our suppliers were to default in fulfilling their price, quality or delivery obligations. In addition, some of our customers or potential customers may prefer to purchase from a supplier which does not have such a limited number of sources of supply.</w:t>
      </w:r>
    </w:p>
    <w:p>
      <w:pPr>
        <w:spacing w:after="0" w:line="247"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Increases in prices of raw material and components, and decreased availability of such items, could adversely affect our business.</w:t>
      </w:r>
    </w:p>
    <w:p>
      <w:pPr>
        <w:spacing w:after="0" w:line="1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cost of raw materials and product components is a major element of the total cost of many of our products. For example, our Test segment</w:t>
      </w:r>
      <w:r>
        <w:rPr>
          <w:rFonts w:ascii="Arial" w:cs="Arial" w:eastAsia="Arial" w:hAnsi="Arial"/>
          <w:sz w:val="20"/>
          <w:szCs w:val="20"/>
          <w:color w:val="auto"/>
        </w:rPr>
        <w:t>’</w:t>
      </w:r>
      <w:r>
        <w:rPr>
          <w:rFonts w:ascii="Times New Roman" w:cs="Times New Roman" w:eastAsia="Times New Roman" w:hAnsi="Times New Roman"/>
          <w:sz w:val="20"/>
          <w:szCs w:val="20"/>
          <w:color w:val="auto"/>
        </w:rPr>
        <w:t>s critical components rely on purchases of raw materials from third parties. Increases in the prices of raw materials (such as steel, copper, nickel, zinc, wood and petrochemical products) could have an adverse impact on our business by, among other things, increasing costs and reducing margins. Aerospace-grade titanium and gaseous helium, important raw materials for our A&amp;D segment, may at times be in short supply; in addition, although we try to tie our supplier pricing to long-term contracts this is not always possible, and we are experiencing price inflation on a number of products. Further, some of Doble</w:t>
      </w:r>
      <w:r>
        <w:rPr>
          <w:rFonts w:ascii="Arial" w:cs="Arial" w:eastAsia="Arial" w:hAnsi="Arial"/>
          <w:sz w:val="20"/>
          <w:szCs w:val="20"/>
          <w:color w:val="auto"/>
        </w:rPr>
        <w:t>’</w:t>
      </w:r>
      <w:r>
        <w:rPr>
          <w:rFonts w:ascii="Times New Roman" w:cs="Times New Roman" w:eastAsia="Times New Roman" w:hAnsi="Times New Roman"/>
          <w:sz w:val="20"/>
          <w:szCs w:val="20"/>
          <w:color w:val="auto"/>
        </w:rPr>
        <w:t>s items of equipment which are provided to its customers for their use are in the maturity of their life cycles, which creates the risk that replacement components may be unavailable or available only at increased costs. We have experienced COVID-related short-term disruptions in the supply chain which have periodically resulted in extended lead times and cost increases, and the long term impacts of these disruptions are uncertain. In addition, our reliance on sole or limited sources of supply of raw materials and components in each of our segments could adversely affect our business, as described in the preceding Risk Factor.</w:t>
      </w:r>
    </w:p>
    <w:p>
      <w:pPr>
        <w:spacing w:after="0" w:line="246"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b w:val="1"/>
          <w:bCs w:val="1"/>
          <w:i w:val="1"/>
          <w:iCs w:val="1"/>
          <w:color w:val="auto"/>
        </w:rPr>
        <w:t>The end of customer product life cycles, or our inability to timely develop new products, could reduce our future sales.</w:t>
      </w:r>
    </w:p>
    <w:p>
      <w:pPr>
        <w:spacing w:after="0" w:line="129"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0"/>
          <w:szCs w:val="20"/>
          <w:color w:val="auto"/>
        </w:rPr>
        <w:t>Many of our A&amp;D segment products are sold to be components in our customers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end products. If a customer discontinues a certain end-product line and we are unable to develop and successfully market replacement products there could be a significant decrease in our sales and an adverse effect on our operating results. For example, a substantial portion of PTI</w:t>
      </w:r>
      <w:r>
        <w:rPr>
          <w:rFonts w:ascii="Arial" w:cs="Arial" w:eastAsia="Arial" w:hAnsi="Arial"/>
          <w:sz w:val="20"/>
          <w:szCs w:val="20"/>
          <w:color w:val="auto"/>
        </w:rPr>
        <w:t>’</w:t>
      </w:r>
      <w:r>
        <w:rPr>
          <w:rFonts w:ascii="Times New Roman" w:cs="Times New Roman" w:eastAsia="Times New Roman" w:hAnsi="Times New Roman"/>
          <w:sz w:val="20"/>
          <w:szCs w:val="20"/>
          <w:color w:val="auto"/>
        </w:rPr>
        <w:t>s revenue is generated from commercial aviation aftermarket sales. As certain aircraft are retired and replaced by newer aircraft, if we were unable to offer suitable aftermarket products for the newer aircraft there could be a corresponding decrease in sales associated with our products which could adversely affect our operating results.</w:t>
      </w:r>
    </w:p>
    <w:p>
      <w:pPr>
        <w:spacing w:after="0" w:line="13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Much of our business is dependent on the continuous development of new products and technologies to meet the changing needs of our markets on a cost-effective basis. Many of these markets are highly technical from an engineering standpoint, and the relevant technologies are subject to rapid change. If we fail to timely enhance existing products or develop new products as needed to meet market or competitive demands, we could lose sales opportunities, which would adversely affect our business. In addition, in some existing contracts with customers, we have made commitments to develop and deliver new products. If we fail to meet these commitments, the default could result in the imposition on us of contractual penalties including termination. Our inability to enhance existing products in a timely manner could make our products less competitive, while our inability to successfully develop new products may limit our growth opportunities. Development of new products and product enhancements may also require us to make greater investments in research and development than we now do, and the increased costs associated with new product development and product enhancements could adversely affect our operating results. In addition, our costs of new product development may not be recoverable if demand for our products is not as great as we anticipate it to be.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defects or customer claims could result in costly fixes, litigation and damages.</w:t>
      </w:r>
    </w:p>
    <w:p>
      <w:pPr>
        <w:spacing w:after="0" w:line="12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Our business exposes us to potential product liability risks that are inherent in the design, manufacture and sale of our products and the products of third-party vendors which we use or resell, many of which are mission-critical to our customers. If there are claims related to defective products (under warranty or otherwise), particularly in a product recall situation, we could be faced with significant expenses in replacing or repairing the product. For example, the A&amp;D segment obtains raw materials, machined parts and other product components from suppliers who provide certifications of quality which we rely on. Should these product components be defective and pass undetected into finished products, or should a finished product contain a defect, we could incur significant costs for repairs, re-work and/or removal and replacement of the defective product. In addition, if a dispute over product claims cannot be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9520"/>
          </w:cols>
          <w:pgMar w:left="1440" w:top="1440" w:right="1280" w:bottom="0" w:gutter="0" w:footer="0" w:header="0"/>
        </w:sectPr>
      </w:pPr>
    </w:p>
    <w:bookmarkStart w:id="21" w:name="page22"/>
    <w:bookmarkEnd w:id="21"/>
    <w:p>
      <w:pPr>
        <w:spacing w:after="0" w:line="8" w:lineRule="exact"/>
        <w:rPr>
          <w:sz w:val="20"/>
          <w:szCs w:val="20"/>
          <w:color w:val="auto"/>
        </w:rPr>
      </w:pPr>
    </w:p>
    <w:p>
      <w:pPr>
        <w:ind w:right="440"/>
        <w:spacing w:after="0" w:line="235" w:lineRule="auto"/>
        <w:rPr>
          <w:sz w:val="20"/>
          <w:szCs w:val="20"/>
          <w:color w:val="auto"/>
        </w:rPr>
      </w:pPr>
      <w:r>
        <w:rPr>
          <w:rFonts w:ascii="Times New Roman" w:cs="Times New Roman" w:eastAsia="Times New Roman" w:hAnsi="Times New Roman"/>
          <w:sz w:val="20"/>
          <w:szCs w:val="20"/>
          <w:color w:val="auto"/>
        </w:rPr>
        <w:t>settled, arbitration or litigation may result, requiring us to incur attorneys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fees and exposing us to the potential of damage awards against us.</w:t>
      </w:r>
    </w:p>
    <w:p>
      <w:pPr>
        <w:spacing w:after="0" w:line="1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A major portion of our Test segment</w:t>
      </w:r>
      <w:r>
        <w:rPr>
          <w:rFonts w:ascii="Arial" w:cs="Arial" w:eastAsia="Arial" w:hAnsi="Arial"/>
          <w:sz w:val="19"/>
          <w:szCs w:val="19"/>
          <w:color w:val="auto"/>
        </w:rPr>
        <w:t>’</w:t>
      </w:r>
      <w:r>
        <w:rPr>
          <w:rFonts w:ascii="Times New Roman" w:cs="Times New Roman" w:eastAsia="Times New Roman" w:hAnsi="Times New Roman"/>
          <w:sz w:val="19"/>
          <w:szCs w:val="19"/>
          <w:color w:val="auto"/>
        </w:rPr>
        <w:t>s business involves working in conjunction with general contractors to produce complex building components constructed on-site, such as electronic test chambers, secure communication rooms and MRI facilities. If there are performance problems caused by either us or a contractor, they could result in cost overruns and may lead to a dispute as to which party is responsible. The resolution of such disputes can involve arbitration or litigation and can cause us to incur significant expense including attorneys</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fees. In addition, these disputes could result in a reduction in revenue, a loss on a particular project, or even a significant damages award against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efforts, we may be unable to adequately protect our intellectual property.</w:t>
      </w:r>
    </w:p>
    <w:p>
      <w:pPr>
        <w:spacing w:after="0" w:line="12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Much of our business success depends on our ability to protect and freely utilize our various intellectual properties, including both patents and trade secrets. Despite our efforts to protect our intellectual property, unauthorized parties or competitors may copy or otherwise obtain and use our products and technology, particularly in foreign countries such as China where the laws may not protect our proprietary rights as fully as in the United States. Our current and future actions to enforce our proprietary rights may ultimately not be successful; or in some cases we may not elect to pursue an unauthorized user due to the high costs and uncertainties associated with litigation. We may also face exposure to claims by others challenging our intellectual property rights. Any or all of these actions may divert our resources and cause us to incur substantial costs.</w:t>
      </w:r>
    </w:p>
    <w:p>
      <w:pPr>
        <w:spacing w:after="0" w:line="247"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b w:val="1"/>
          <w:bCs w:val="1"/>
          <w:i w:val="1"/>
          <w:iCs w:val="1"/>
          <w:color w:val="auto"/>
        </w:rPr>
        <w:t>Environmental laws and regulations or environmental contamination could increase our expenses and adversely affect our profitability.</w:t>
      </w:r>
    </w:p>
    <w:p>
      <w:pPr>
        <w:spacing w:after="0" w:line="12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Our operations and properties are subject to U.S. and foreign environmental laws and regulations governing, among other things, the generation, storage, emission, discharge, transportation, treatment and disposal of hazardous materials and the clean-up of contaminated properties. In addition, governments around the world are increasingly focused on enacting laws and regulations regarding climate change and regulation of greenhouse gases. These regulations, and changes to them, could increase our cost of compliance, and our failure to comply could result in the imposition of significant fines, suspension of production, alteration of product processes, cessation of operations or other actions which could materially and adversely affect our business, financial condition and results of operations.</w:t>
      </w:r>
    </w:p>
    <w:p>
      <w:pPr>
        <w:spacing w:after="0" w:line="13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We are currently involved as a responsible party in several ongoing investigations and remediations of contaminated third-party owned properties. In addition, environmental contamination may be discovered in the future on properties which we formerly owned or operated and for which we could be legally responsible. Future costs associated with these situations, including ones which may be currently unknown to us, are difficult to quantify but could have a significant effect on our financial condition.</w:t>
      </w:r>
    </w:p>
    <w:p>
      <w:pPr>
        <w:spacing w:after="0" w:line="247"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b w:val="1"/>
          <w:bCs w:val="1"/>
          <w:i w:val="1"/>
          <w:iCs w:val="1"/>
          <w:color w:val="auto"/>
        </w:rPr>
        <w:t>The effects of climate change, or significant natural disasters or weather events, could adversely affect our sales.</w:t>
      </w:r>
    </w:p>
    <w:p>
      <w:pPr>
        <w:spacing w:after="0" w:line="13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The potential physical impacts of climate change, such as increased frequency and severity of storms, floods and other climatic events, could disrupt our supply chain, and cause our suppliers to incur significant costs in preparing for or responding to these effects. These and other weather-created disruptions in supply, in addition to affecting costs, could impact our ability to procure an adequate supply of these raw materials and components, and delay or prevent deliveries of products to our customers. In addition, significant natural disasters or weather events such as major earthquakes or hurricanes could disrupt our operations. For example, m</w:t>
      </w:r>
      <w:r>
        <w:rPr>
          <w:rFonts w:ascii="Arial" w:cs="Arial" w:eastAsia="Arial" w:hAnsi="Arial"/>
          <w:sz w:val="20"/>
          <w:szCs w:val="20"/>
          <w:color w:val="auto"/>
        </w:rPr>
        <w:t>any of our A&amp;D segment’s opera</w:t>
      </w:r>
      <w:r>
        <w:rPr>
          <w:rFonts w:ascii="Times New Roman" w:cs="Times New Roman" w:eastAsia="Times New Roman" w:hAnsi="Times New Roman"/>
          <w:sz w:val="20"/>
          <w:szCs w:val="20"/>
          <w:color w:val="auto"/>
        </w:rPr>
        <w:t>tions are located near major fault lines in California, where a major earthquake could result in significant physical damage to or closure of one or more of these facilities, and Doble has a significant supplier in coastal Florida, where a major hurricane could have similar effects. Any prolonged disruption in one or more of these manufacturing operations could significantly delay our ability to make timely deliveries of products to our customers.</w:t>
      </w:r>
    </w:p>
    <w:p>
      <w:pPr>
        <w:spacing w:after="0" w:line="2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Risks Related to Our Business Strategy and Corporate Structure</w:t>
      </w:r>
    </w:p>
    <w:p>
      <w:pPr>
        <w:spacing w:after="0" w:line="246"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b w:val="1"/>
          <w:bCs w:val="1"/>
          <w:i w:val="1"/>
          <w:iCs w:val="1"/>
          <w:color w:val="auto"/>
        </w:rPr>
        <w:t>We may not be able to identify suitable acquisition candidates or complete acquisitions successfully, which may inhibit our rate of growth.</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As part of our growth strategy, we plan to continue to pursue acquisitions of other companies, assets and product lines that either complement or expand our existing business. However, we may be unable to implement this strategy if we are unable to identify suitable acquisition candidates or consummate future acquisitions at acceptable prices and terms. We expect to face competition for acquisition candidates which may limit the number of acquisition opportunities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9520"/>
          </w:cols>
          <w:pgMar w:left="1440" w:top="1440" w:right="1280" w:bottom="0" w:gutter="0" w:footer="0" w:header="0"/>
        </w:sectPr>
      </w:pPr>
    </w:p>
    <w:bookmarkStart w:id="22" w:name="page23"/>
    <w:bookmarkEnd w:id="22"/>
    <w:p>
      <w:pPr>
        <w:spacing w:after="0" w:line="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available to us and may result in higher acquisition prices. As a result, we may be limited in the number of acquisitions which we are able to complete, and we may face difficulties in achieving the profitability or cash flows needed to justify our investment in them.</w:t>
      </w:r>
    </w:p>
    <w:p>
      <w:pPr>
        <w:spacing w:after="0" w:line="13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 xml:space="preserve">In addition, acquisitions of other companies involve numerous risks, including difficulties in the integration of the operations, technologies and products of the acquired companies, the potential exposure to unanticipated and undisclosed liabilities, the potential that expected benefits or synergies are not realized and that operating costs increase, the potential loss of key personnel, suppliers or customers of acquired businesses and the diversion of </w:t>
      </w:r>
      <w:r>
        <w:rPr>
          <w:rFonts w:ascii="Arial" w:cs="Arial" w:eastAsia="Arial" w:hAnsi="Arial"/>
          <w:sz w:val="20"/>
          <w:szCs w:val="20"/>
          <w:color w:val="auto"/>
        </w:rPr>
        <w:t>Management’</w:t>
      </w:r>
      <w:r>
        <w:rPr>
          <w:rFonts w:ascii="Times New Roman" w:cs="Times New Roman" w:eastAsia="Times New Roman" w:hAnsi="Times New Roman"/>
          <w:sz w:val="20"/>
          <w:szCs w:val="20"/>
          <w:color w:val="auto"/>
        </w:rPr>
        <w:t>s time and attention from other business concerns. Although we attempt to identify and evaluate the risks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inherent in any acquisition, we may not properly ascertain or mitigate all such risks, and our failure to do so could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hire or retain qualified key employees could affect our performance and revenues.</w:t>
      </w:r>
    </w:p>
    <w:p>
      <w:pPr>
        <w:spacing w:after="0" w:line="12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There is a risk of our losing key employees who have engineering and technical expertise. For example, our USG segment relies heavily on engineers with significant experience and reputation in the utility industry to furnish expert consulting services and support to customers, and our other segments similarly rely on qualified and experienced employees to carry on their businesses. Despite our active recruitment efforts, there remains a shortage of these qualified engineers and other employees because of hiring competition from other companies in the industry and a generally tight labor market, possibly exacerbated by COVID-related retirements or career changes. Losing current employees or qualified candidates to other employers or for other reasons could reduce our ability to provide services and negatively affect our revenues.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decentralized organizational structure presents certain risks.</w:t>
      </w:r>
    </w:p>
    <w:p>
      <w:pPr>
        <w:spacing w:after="0" w:line="12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We are a relatively decentralized company in comparison with some of our peers. This decentralization necessarily places significant control and decision-making powers in the hands of local management, which present various risks, including the risk that we may be slower or less able to identify or react to problems affecting a key business than we would in a more centralized management environment. We may also be slower to detect or react to compliance related problems (such as an employee undertaking activities prohibited by applicable law or by our internal policies), and Company-wide business initiatives may be more challenging and costly to implement, and the risks of noncompliance or failures higher, than they would be under a more centralized management structure. Depending on the nature of the problem or initiative in question, such noncompliance or failure could have a material adverse effect on our business, financial condition or result of operations.</w:t>
      </w:r>
    </w:p>
    <w:p>
      <w:pPr>
        <w:spacing w:after="0" w:line="25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i w:val="1"/>
          <w:iCs w:val="1"/>
          <w:color w:val="auto"/>
        </w:rPr>
        <w:t>Provisions in our articles of incorporation, bylaws and Missouri law could make it more difficult for a third party to acquire us and could discourage acquisition bids or a change of control, and could adversely affect the market price of our common stock.</w:t>
      </w:r>
    </w:p>
    <w:p>
      <w:pPr>
        <w:spacing w:after="0" w:line="1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Our articles of incorporation and bylaws contain certain provisions which could discourage potential hostile takeover </w:t>
      </w:r>
      <w:r>
        <w:rPr>
          <w:rFonts w:ascii="Arial" w:cs="Arial" w:eastAsia="Arial" w:hAnsi="Arial"/>
          <w:sz w:val="20"/>
          <w:szCs w:val="20"/>
          <w:color w:val="auto"/>
        </w:rPr>
        <w:t xml:space="preserve">attempts, including: a limitation on the shareholders’ ability to call special meetings of shareholders; advance notice </w:t>
      </w:r>
      <w:r>
        <w:rPr>
          <w:rFonts w:ascii="Times New Roman" w:cs="Times New Roman" w:eastAsia="Times New Roman" w:hAnsi="Times New Roman"/>
          <w:sz w:val="20"/>
          <w:szCs w:val="20"/>
          <w:color w:val="auto"/>
        </w:rPr>
        <w:t>requirements to nominate candidates for election as directors or to propose matters for action at a meeting of shareholders; a classified board of directors, which means that approximately one-third of our directors are elected each year; and the authority of our board of directors to issue, without shareholder approval, preferred stock with such terms as the board may determine. In addition, the laws of Missouri, in which we are incorporated, require a two-thirds vote of outstanding shares to approve mergers or certain other major corporate transactions, rather than a simple majority as in some other states such as Delaware. These provisions could impede a merger or other change of control not approved by our board of directors, which could discourage takeover attempts and in some circumstances reduce the market price of our common stock.</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9540"/>
          </w:cols>
          <w:pgMar w:left="1440" w:top="1440" w:right="1260" w:bottom="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20"/>
          <w:szCs w:val="20"/>
          <w:color w:val="auto"/>
        </w:rPr>
        <w:t>We believe our buildings, machinery and equipment have been generally well maintained, are in good operating condition and are adequate for our current production requirements and other needs.</w:t>
      </w:r>
    </w:p>
    <w:p>
      <w:pPr>
        <w:spacing w:after="0" w:line="12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At September 30, 2023, our physical properties, including those described in the table below, comprised approximately 2,253,700 square feet, of which approximately 757,500 square feet were owned and approximately 1,496,200 square feet were leased. The table below includes our principal physical properties. We do not believe any of the omitted properties, consisting primarily of office space, warehouse space and land held for possible future use, are individually or collectively material to our operations or business. See also Note 11 to the Consolidated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8"/>
                <w:szCs w:val="18"/>
                <w:b w:val="1"/>
                <w:bCs w:val="1"/>
                <w:color w:val="auto"/>
              </w:rPr>
              <w:t>Principal Use(s)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8"/>
                <w:szCs w:val="18"/>
                <w:b w:val="1"/>
                <w:bCs w:val="1"/>
                <w:color w:val="auto"/>
              </w:rPr>
              <w:t>(M=Manufacturing,</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8"/>
                <w:szCs w:val="18"/>
                <w:b w:val="1"/>
                <w:bCs w:val="1"/>
                <w:color w:val="auto"/>
              </w:rPr>
              <w:t>E=Engineering,</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Approx.</w:t>
            </w:r>
          </w:p>
        </w:tc>
        <w:tc>
          <w:tcPr>
            <w:tcW w:w="240" w:type="dxa"/>
            <w:vAlign w:val="bottom"/>
          </w:tcPr>
          <w:p>
            <w:pPr>
              <w:spacing w:after="0"/>
              <w:rPr>
                <w:sz w:val="17"/>
                <w:szCs w:val="17"/>
                <w:color w:val="auto"/>
              </w:rPr>
            </w:pPr>
          </w:p>
        </w:tc>
        <w:tc>
          <w:tcPr>
            <w:tcW w:w="2460" w:type="dxa"/>
            <w:vAlign w:val="bottom"/>
          </w:tcPr>
          <w:p>
            <w:pPr>
              <w:ind w:left="300"/>
              <w:spacing w:after="0"/>
              <w:rPr>
                <w:sz w:val="20"/>
                <w:szCs w:val="20"/>
                <w:color w:val="auto"/>
              </w:rPr>
            </w:pPr>
            <w:r>
              <w:rPr>
                <w:rFonts w:ascii="Arial" w:cs="Arial" w:eastAsia="Arial" w:hAnsi="Arial"/>
                <w:sz w:val="18"/>
                <w:szCs w:val="18"/>
                <w:b w:val="1"/>
                <w:bCs w:val="1"/>
                <w:color w:val="auto"/>
              </w:rPr>
              <w:t>Owned / Leased (with</w:t>
            </w:r>
          </w:p>
        </w:tc>
        <w:tc>
          <w:tcPr>
            <w:tcW w:w="24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8"/>
                <w:szCs w:val="18"/>
                <w:b w:val="1"/>
                <w:bCs w:val="1"/>
                <w:color w:val="auto"/>
              </w:rPr>
              <w:t>O=Office,</w:t>
            </w:r>
          </w:p>
        </w:tc>
        <w:tc>
          <w:tcPr>
            <w:tcW w:w="2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8"/>
              </w:rPr>
              <w:t>Operating</w:t>
            </w:r>
          </w:p>
        </w:tc>
      </w:tr>
      <w:tr>
        <w:trPr>
          <w:trHeight w:val="209"/>
        </w:trPr>
        <w:tc>
          <w:tcPr>
            <w:tcW w:w="1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Location</w:t>
            </w:r>
          </w:p>
        </w:tc>
        <w:tc>
          <w:tcPr>
            <w:tcW w:w="240" w:type="dxa"/>
            <w:vAlign w:val="bottom"/>
          </w:tcPr>
          <w:p>
            <w:pPr>
              <w:spacing w:after="0"/>
              <w:rPr>
                <w:sz w:val="18"/>
                <w:szCs w:val="18"/>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8"/>
                <w:szCs w:val="18"/>
                <w:b w:val="1"/>
                <w:bCs w:val="1"/>
                <w:color w:val="auto"/>
              </w:rPr>
              <w:t>Sq. Ft.</w:t>
            </w:r>
          </w:p>
        </w:tc>
        <w:tc>
          <w:tcPr>
            <w:tcW w:w="240" w:type="dxa"/>
            <w:vAlign w:val="bottom"/>
          </w:tcPr>
          <w:p>
            <w:pPr>
              <w:spacing w:after="0"/>
              <w:rPr>
                <w:sz w:val="18"/>
                <w:szCs w:val="18"/>
                <w:color w:val="auto"/>
              </w:rPr>
            </w:pPr>
          </w:p>
        </w:tc>
        <w:tc>
          <w:tcPr>
            <w:tcW w:w="24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Expiration Date)</w:t>
            </w:r>
          </w:p>
        </w:tc>
        <w:tc>
          <w:tcPr>
            <w:tcW w:w="240" w:type="dxa"/>
            <w:vAlign w:val="bottom"/>
          </w:tcPr>
          <w:p>
            <w:pPr>
              <w:spacing w:after="0"/>
              <w:rPr>
                <w:sz w:val="18"/>
                <w:szCs w:val="18"/>
                <w:color w:val="auto"/>
              </w:rPr>
            </w:pP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W=Warehouse)</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r>
      <w:tr>
        <w:trPr>
          <w:trHeight w:val="260"/>
        </w:trPr>
        <w:tc>
          <w:tcPr>
            <w:tcW w:w="1980" w:type="dxa"/>
            <w:vAlign w:val="bottom"/>
          </w:tcPr>
          <w:p>
            <w:pPr>
              <w:ind w:left="20"/>
              <w:spacing w:after="0"/>
              <w:rPr>
                <w:sz w:val="20"/>
                <w:szCs w:val="20"/>
                <w:color w:val="auto"/>
              </w:rPr>
            </w:pPr>
            <w:r>
              <w:rPr>
                <w:rFonts w:ascii="Arial" w:cs="Arial" w:eastAsia="Arial" w:hAnsi="Arial"/>
                <w:sz w:val="20"/>
                <w:szCs w:val="20"/>
                <w:color w:val="auto"/>
              </w:rPr>
              <w:t>Modesto, CA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181,500</w:t>
            </w:r>
          </w:p>
        </w:tc>
        <w:tc>
          <w:tcPr>
            <w:tcW w:w="240" w:type="dxa"/>
            <w:vAlign w:val="bottom"/>
          </w:tcPr>
          <w:p>
            <w:pPr>
              <w:spacing w:after="0"/>
              <w:rPr>
                <w:sz w:val="22"/>
                <w:szCs w:val="22"/>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(9/30/2033)</w:t>
            </w:r>
          </w:p>
        </w:tc>
        <w:tc>
          <w:tcPr>
            <w:tcW w:w="240" w:type="dxa"/>
            <w:vAlign w:val="bottom"/>
          </w:tcPr>
          <w:p>
            <w:pPr>
              <w:spacing w:after="0"/>
              <w:rPr>
                <w:sz w:val="22"/>
                <w:szCs w:val="22"/>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O,W</w:t>
            </w:r>
          </w:p>
        </w:tc>
        <w:tc>
          <w:tcPr>
            <w:tcW w:w="2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Stoughton, MA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151,100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(1/31/2037)</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Denton, TX</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145,000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w w:val="82"/>
              </w:rPr>
              <w:t>Leased (9/30/2029, plus options)</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88"/>
        </w:trPr>
        <w:tc>
          <w:tcPr>
            <w:tcW w:w="1980" w:type="dxa"/>
            <w:vAlign w:val="bottom"/>
          </w:tcPr>
          <w:p>
            <w:pPr>
              <w:ind w:left="20"/>
              <w:spacing w:after="0"/>
              <w:rPr>
                <w:sz w:val="20"/>
                <w:szCs w:val="20"/>
                <w:color w:val="auto"/>
              </w:rPr>
            </w:pPr>
            <w:r>
              <w:rPr>
                <w:rFonts w:ascii="Arial" w:cs="Arial" w:eastAsia="Arial" w:hAnsi="Arial"/>
                <w:sz w:val="20"/>
                <w:szCs w:val="20"/>
                <w:color w:val="auto"/>
              </w:rPr>
              <w:t>Cedar Park, TX</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130,000</w:t>
            </w:r>
          </w:p>
        </w:tc>
        <w:tc>
          <w:tcPr>
            <w:tcW w:w="2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Test</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Oxnard, CA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127,400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South El Monte, CA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100,100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Durant, OK</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100,000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Test</w:t>
            </w:r>
          </w:p>
        </w:tc>
      </w:tr>
      <w:tr>
        <w:trPr>
          <w:trHeight w:val="274"/>
        </w:trPr>
        <w:tc>
          <w:tcPr>
            <w:tcW w:w="1980" w:type="dxa"/>
            <w:vAlign w:val="bottom"/>
          </w:tcPr>
          <w:p>
            <w:pPr>
              <w:ind w:left="20"/>
              <w:spacing w:after="0"/>
              <w:rPr>
                <w:sz w:val="20"/>
                <w:szCs w:val="20"/>
                <w:color w:val="auto"/>
              </w:rPr>
            </w:pPr>
            <w:r>
              <w:rPr>
                <w:rFonts w:ascii="Arial" w:cs="Arial" w:eastAsia="Arial" w:hAnsi="Arial"/>
                <w:sz w:val="20"/>
                <w:szCs w:val="20"/>
                <w:color w:val="auto"/>
              </w:rPr>
              <w:t>Valencia, CA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79,300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Marlborough, MA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79,100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(2/28/2037)</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Hinesburg, VT</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77,000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Accident, MD</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66,800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South El Monte, CA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52,700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(6/30/2024)</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Brockton, MA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47,300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(3/31/2024)</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Eura, Finland</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41,500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Test</w:t>
            </w:r>
          </w:p>
        </w:tc>
      </w:tr>
      <w:tr>
        <w:trPr>
          <w:trHeight w:val="274"/>
        </w:trPr>
        <w:tc>
          <w:tcPr>
            <w:tcW w:w="1980" w:type="dxa"/>
            <w:vAlign w:val="bottom"/>
          </w:tcPr>
          <w:p>
            <w:pPr>
              <w:ind w:left="20"/>
              <w:spacing w:after="0"/>
              <w:rPr>
                <w:sz w:val="20"/>
                <w:szCs w:val="20"/>
                <w:color w:val="auto"/>
              </w:rPr>
            </w:pPr>
            <w:r>
              <w:rPr>
                <w:rFonts w:ascii="Arial" w:cs="Arial" w:eastAsia="Arial" w:hAnsi="Arial"/>
                <w:sz w:val="20"/>
                <w:szCs w:val="20"/>
                <w:color w:val="auto"/>
              </w:rPr>
              <w:t>Montreal, Québec</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38,400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(8/31/2041)</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Tianjin, China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38,100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(11/19/2027)</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Test</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Minocqua, WI</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35,400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Owned</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Test</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Bologna, Italy</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28,200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(8/13/2028)</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Ontario, CA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26,900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(8/31/2025)</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Chatsworth, CA</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24,800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(12/31/2025)</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A&amp;D</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St. Louis, MO</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21,500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(8/31/2025)</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ESCO Corporate Office</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0"/>
              </w:rPr>
              <w:t>Corporate</w:t>
            </w:r>
          </w:p>
        </w:tc>
      </w:tr>
      <w:tr>
        <w:trPr>
          <w:trHeight w:val="274"/>
        </w:trPr>
        <w:tc>
          <w:tcPr>
            <w:tcW w:w="1980" w:type="dxa"/>
            <w:vAlign w:val="bottom"/>
          </w:tcPr>
          <w:p>
            <w:pPr>
              <w:ind w:left="20"/>
              <w:spacing w:after="0"/>
              <w:rPr>
                <w:sz w:val="20"/>
                <w:szCs w:val="20"/>
                <w:color w:val="auto"/>
              </w:rPr>
            </w:pPr>
            <w:r>
              <w:rPr>
                <w:rFonts w:ascii="Arial" w:cs="Arial" w:eastAsia="Arial" w:hAnsi="Arial"/>
                <w:sz w:val="20"/>
                <w:szCs w:val="20"/>
                <w:color w:val="auto"/>
              </w:rPr>
              <w:t>Taino, Italy</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18,000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w w:val="98"/>
              </w:rPr>
              <w:t>Leased (various term ends)</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Zola Predosa, Italy</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12,900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(1/31/2029)</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M, E, O, W</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Morrisville, NC</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11,600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w w:val="82"/>
              </w:rPr>
              <w:t>Leased (1/31/2027), plus options</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O</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USG</w:t>
            </w:r>
          </w:p>
        </w:tc>
      </w:tr>
      <w:tr>
        <w:trPr>
          <w:trHeight w:val="269"/>
        </w:trPr>
        <w:tc>
          <w:tcPr>
            <w:tcW w:w="1980" w:type="dxa"/>
            <w:vAlign w:val="bottom"/>
          </w:tcPr>
          <w:p>
            <w:pPr>
              <w:ind w:left="20"/>
              <w:spacing w:after="0"/>
              <w:rPr>
                <w:sz w:val="20"/>
                <w:szCs w:val="20"/>
                <w:color w:val="auto"/>
              </w:rPr>
            </w:pPr>
            <w:r>
              <w:rPr>
                <w:rFonts w:ascii="Arial" w:cs="Arial" w:eastAsia="Arial" w:hAnsi="Arial"/>
                <w:sz w:val="20"/>
                <w:szCs w:val="20"/>
                <w:color w:val="auto"/>
              </w:rPr>
              <w:t>Wood Dale, IL</w:t>
            </w:r>
          </w:p>
        </w:tc>
        <w:tc>
          <w:tcPr>
            <w:tcW w:w="1080" w:type="dxa"/>
            <w:vAlign w:val="bottom"/>
            <w:gridSpan w:val="2"/>
          </w:tcPr>
          <w:p>
            <w:pPr>
              <w:jc w:val="right"/>
              <w:ind w:right="9"/>
              <w:spacing w:after="0"/>
              <w:rPr>
                <w:sz w:val="20"/>
                <w:szCs w:val="20"/>
                <w:color w:val="auto"/>
              </w:rPr>
            </w:pPr>
            <w:r>
              <w:rPr>
                <w:rFonts w:ascii="Arial" w:cs="Arial" w:eastAsia="Arial" w:hAnsi="Arial"/>
                <w:sz w:val="20"/>
                <w:szCs w:val="20"/>
                <w:color w:val="auto"/>
              </w:rPr>
              <w:t>10,700</w:t>
            </w:r>
          </w:p>
        </w:tc>
        <w:tc>
          <w:tcPr>
            <w:tcW w:w="240" w:type="dxa"/>
            <w:vAlign w:val="bottom"/>
          </w:tcPr>
          <w:p>
            <w:pPr>
              <w:spacing w:after="0"/>
              <w:rPr>
                <w:sz w:val="23"/>
                <w:szCs w:val="23"/>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Leased (6/30/2024)</w:t>
            </w:r>
          </w:p>
        </w:tc>
        <w:tc>
          <w:tcPr>
            <w:tcW w:w="240" w:type="dxa"/>
            <w:vAlign w:val="bottom"/>
          </w:tcPr>
          <w:p>
            <w:pPr>
              <w:spacing w:after="0"/>
              <w:rPr>
                <w:sz w:val="23"/>
                <w:szCs w:val="23"/>
                <w:color w:val="auto"/>
              </w:rPr>
            </w:pPr>
          </w:p>
        </w:tc>
        <w:tc>
          <w:tcPr>
            <w:tcW w:w="2200" w:type="dxa"/>
            <w:vAlign w:val="bottom"/>
          </w:tcPr>
          <w:p>
            <w:pPr>
              <w:ind w:left="40"/>
              <w:spacing w:after="0"/>
              <w:rPr>
                <w:sz w:val="20"/>
                <w:szCs w:val="20"/>
                <w:color w:val="auto"/>
              </w:rPr>
            </w:pPr>
            <w:r>
              <w:rPr>
                <w:rFonts w:ascii="Arial" w:cs="Arial" w:eastAsia="Arial" w:hAnsi="Arial"/>
                <w:sz w:val="20"/>
                <w:szCs w:val="20"/>
                <w:color w:val="auto"/>
              </w:rPr>
              <w:t>E, O</w:t>
            </w:r>
          </w:p>
        </w:tc>
        <w:tc>
          <w:tcPr>
            <w:tcW w:w="2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2"/>
              </w:rPr>
              <w:t>Test</w:t>
            </w:r>
          </w:p>
        </w:tc>
      </w:tr>
      <w:tr>
        <w:trPr>
          <w:trHeight w:val="231"/>
        </w:trPr>
        <w:tc>
          <w:tcPr>
            <w:tcW w:w="1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____________</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9380"/>
          </w:cols>
          <w:pgMar w:left="1440" w:top="1439" w:right="1420" w:bottom="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As a normal incident of the businesses in which we are engaged, various claims, charges and litigation are asserted or commenced from time to time against us. With respect to claims and litigation currently asserted or commenced against us, it is the opinion of our Management that final judgments, if any, which might be rendered against us are adequately reserved for, are covered by insurance, or are not likely to have a material adverse effect on our financial condition or results of operations. Nevertheless, given the uncertainties of litigation, it is possible that certain types of claims, charges and litigation could have a material adverse impact on us</w:t>
      </w:r>
      <w:r>
        <w:rPr>
          <w:rFonts w:ascii="Arial" w:cs="Arial" w:eastAsia="Arial" w:hAnsi="Arial"/>
          <w:sz w:val="20"/>
          <w:szCs w:val="20"/>
          <w:color w:val="auto"/>
        </w:rPr>
        <w:t>; see Item 1A, “Risk Factors.”</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9420"/>
          </w:cols>
          <w:pgMar w:left="1440" w:top="1439" w:right="1380" w:bottom="0" w:gutter="0" w:footer="0" w:header="0"/>
        </w:sectPr>
      </w:pPr>
    </w:p>
    <w:bookmarkStart w:id="25" w:name="page26"/>
    <w:bookmarkEnd w:id="25"/>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609854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extLst>
                    </a:blip>
                    <a:srcRect/>
                    <a:stretch>
                      <a:fillRect/>
                    </a:stretch>
                  </pic:blipFill>
                  <pic:spPr bwMode="auto">
                    <a:xfrm>
                      <a:off x="0" y="0"/>
                      <a:ext cx="6098540" cy="6350"/>
                    </a:xfrm>
                    <a:prstGeom prst="rect">
                      <a:avLst/>
                    </a:prstGeom>
                    <a:noFill/>
                  </pic:spPr>
                </pic:pic>
              </a:graphicData>
            </a:graphic>
          </wp:anchor>
        </w:drawing>
      </w:r>
    </w:p>
    <w:p>
      <w:pPr>
        <w:sectPr>
          <w:pgSz w:w="12240" w:h="15840" w:orient="portrait"/>
          <w:cols w:equalWidth="0" w:num="1">
            <w:col w:w="9520"/>
          </w:cols>
          <w:pgMar w:left="1440" w:top="1440" w:right="1280"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b w:val="1"/>
          <w:bCs w:val="1"/>
          <w:i w:val="1"/>
          <w:iCs w:val="1"/>
          <w:color w:val="auto"/>
        </w:rPr>
        <w:t>Holders of Record</w:t>
      </w:r>
      <w:r>
        <w:rPr>
          <w:rFonts w:ascii="Times New Roman" w:cs="Times New Roman" w:eastAsia="Times New Roman" w:hAnsi="Times New Roman"/>
          <w:sz w:val="20"/>
          <w:szCs w:val="20"/>
          <w:i w:val="1"/>
          <w:iCs w:val="1"/>
          <w:color w:val="auto"/>
        </w:rPr>
        <w: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As of November 10, 2023, there were approximately 1,814 holders of record of our common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stock.</w:t>
      </w:r>
    </w:p>
    <w:p>
      <w:pPr>
        <w:spacing w:after="0" w:line="13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 xml:space="preserve">Price Range of Common Stock and Dividends. </w:t>
      </w:r>
      <w:r>
        <w:rPr>
          <w:rFonts w:ascii="Times New Roman" w:cs="Times New Roman" w:eastAsia="Times New Roman" w:hAnsi="Times New Roman"/>
          <w:sz w:val="20"/>
          <w:szCs w:val="20"/>
          <w:color w:val="auto"/>
        </w:rPr>
        <w:t>Our common stock is listed on the New York Stock Exchange; its</w:t>
      </w:r>
      <w:r>
        <w:rPr>
          <w:rFonts w:ascii="Arial" w:cs="Arial" w:eastAsia="Arial" w:hAnsi="Arial"/>
          <w:sz w:val="18"/>
          <w:szCs w:val="18"/>
          <w:b w:val="1"/>
          <w:bCs w:val="1"/>
          <w:i w:val="1"/>
          <w:iCs w:val="1"/>
          <w:color w:val="auto"/>
        </w:rPr>
        <w:t xml:space="preserve"> </w:t>
      </w:r>
      <w:r>
        <w:rPr>
          <w:rFonts w:ascii="Arial" w:cs="Arial" w:eastAsia="Arial" w:hAnsi="Arial"/>
          <w:sz w:val="20"/>
          <w:szCs w:val="20"/>
          <w:color w:val="auto"/>
        </w:rPr>
        <w:t>trading symbol is “ESE”.</w:t>
      </w:r>
    </w:p>
    <w:p>
      <w:pPr>
        <w:spacing w:after="0" w:line="130"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b w:val="1"/>
          <w:bCs w:val="1"/>
          <w:i w:val="1"/>
          <w:iCs w:val="1"/>
          <w:color w:val="auto"/>
        </w:rPr>
        <w:t xml:space="preserve">Company Purchases of Equity Securities. </w:t>
      </w:r>
      <w:r>
        <w:rPr>
          <w:rFonts w:ascii="Times New Roman" w:cs="Times New Roman" w:eastAsia="Times New Roman" w:hAnsi="Times New Roman"/>
          <w:sz w:val="18"/>
          <w:szCs w:val="18"/>
          <w:color w:val="auto"/>
        </w:rPr>
        <w:t>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w:t>
      </w:r>
      <w:r>
        <w:rPr>
          <w:rFonts w:ascii="Times New Roman" w:cs="Times New Roman" w:eastAsia="Times New Roman" w:hAnsi="Times New Roman"/>
          <w:sz w:val="20"/>
          <w:szCs w:val="20"/>
          <w:color w:val="auto"/>
        </w:rPr>
        <w:t>nformation about our common stock repurchase programs, please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refer to Note 7 to the Consolidated Financial Statements. The Company did not repurchase any shares during the fourth quarter of 2023.</w:t>
      </w:r>
    </w:p>
    <w:p>
      <w:pPr>
        <w:spacing w:after="0" w:line="12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b w:val="1"/>
          <w:bCs w:val="1"/>
          <w:i w:val="1"/>
          <w:iCs w:val="1"/>
          <w:color w:val="auto"/>
        </w:rPr>
        <w:t xml:space="preserve">Securities Authorized for Issuance Under Equity Compensation Plans. </w:t>
      </w:r>
      <w:r>
        <w:rPr>
          <w:rFonts w:ascii="Times New Roman" w:cs="Times New Roman" w:eastAsia="Times New Roman" w:hAnsi="Times New Roman"/>
          <w:sz w:val="20"/>
          <w:szCs w:val="20"/>
          <w:color w:val="auto"/>
        </w:rPr>
        <w:t>For information about securities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authorized for issuance under our equity compensation plans, please refer to Item 12 of this Form 10-K and to Note 8 to the Consolidated Financial Statements.</w:t>
      </w: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Performance Graph. </w:t>
      </w:r>
      <w:r>
        <w:rPr>
          <w:rFonts w:ascii="Times New Roman" w:cs="Times New Roman" w:eastAsia="Times New Roman" w:hAnsi="Times New Roman"/>
          <w:sz w:val="20"/>
          <w:szCs w:val="20"/>
          <w:color w:val="auto"/>
        </w:rPr>
        <w:t>The graph and table on the following page present a comparison of the cumulative total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shareholder return on our common stock as measured against the cumulative total returns of the Russell 2000 index, which is a broad equity market index, and the S&amp;P SmallCap 600 Industrials index, which is a published industry index designed to measure the performance of small-cap companies that are classified as members of the GICS Industrials sector. The Company is a component of both the Russell 2000 index and the S&amp;P SmallCap 600 Industrials index.</w:t>
      </w:r>
    </w:p>
    <w:p>
      <w:pPr>
        <w:spacing w:after="0" w:line="13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9"/>
          <w:szCs w:val="19"/>
          <w:color w:val="auto"/>
        </w:rPr>
        <w:t>The measurement period begins on September 30, 2018 and measures at each September 30 thereafter. These figures assume that all dividends, if any, paid over the measurement period were reinvested, and that the starting values of each index and the investments in our common stock were $100 at the close of trading on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9520"/>
          </w:cols>
          <w:pgMar w:left="1440" w:top="1440" w:right="1280" w:bottom="0" w:gutter="0" w:footer="0" w:header="0"/>
          <w:type w:val="continuous"/>
        </w:sectPr>
      </w:pPr>
    </w:p>
    <w:bookmarkStart w:id="26" w:name="page27"/>
    <w:bookmarkEnd w:id="26"/>
    <w:p>
      <w:pPr>
        <w:spacing w:after="0" w:line="6" w:lineRule="exact"/>
        <w:rPr>
          <w:sz w:val="20"/>
          <w:szCs w:val="20"/>
          <w:color w:val="auto"/>
        </w:rPr>
      </w:pPr>
    </w:p>
    <w:p>
      <w:pPr>
        <w:jc w:val="center"/>
        <w:ind w:right="440"/>
        <w:spacing w:after="0" w:line="238" w:lineRule="auto"/>
        <w:rPr>
          <w:sz w:val="20"/>
          <w:szCs w:val="20"/>
          <w:color w:val="auto"/>
        </w:rPr>
      </w:pPr>
      <w:r>
        <w:rPr>
          <w:rFonts w:ascii="Arial" w:cs="Arial" w:eastAsia="Arial" w:hAnsi="Arial"/>
          <w:sz w:val="20"/>
          <w:szCs w:val="20"/>
          <w:b w:val="1"/>
          <w:bCs w:val="1"/>
          <w:color w:val="auto"/>
        </w:rPr>
        <w:t xml:space="preserve">COMPARISON OF 5 YEAR CUMULATIVE TOTAL RETURN </w:t>
      </w:r>
      <w:r>
        <w:rPr>
          <w:rFonts w:ascii="Arial" w:cs="Arial" w:eastAsia="Arial" w:hAnsi="Arial"/>
          <w:sz w:val="20"/>
          <w:szCs w:val="20"/>
          <w:color w:val="auto"/>
        </w:rPr>
        <w:t>Among ESCO Technologies Inc., the Russell 2000 Index, and the S&amp;P SmallCap 600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290195</wp:posOffset>
            </wp:positionV>
            <wp:extent cx="6563995" cy="3622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6563995" cy="362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$180</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$160</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$140</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$120</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$100</w:t>
      </w:r>
    </w:p>
    <w:p>
      <w:pPr>
        <w:spacing w:after="0" w:line="221" w:lineRule="exact"/>
        <w:rPr>
          <w:sz w:val="20"/>
          <w:szCs w:val="20"/>
          <w:color w:val="auto"/>
        </w:rPr>
      </w:pPr>
    </w:p>
    <w:p>
      <w:pPr>
        <w:jc w:val="center"/>
        <w:ind w:right="9340"/>
        <w:spacing w:after="0"/>
        <w:rPr>
          <w:sz w:val="20"/>
          <w:szCs w:val="20"/>
          <w:color w:val="auto"/>
        </w:rPr>
      </w:pPr>
      <w:r>
        <w:rPr>
          <w:rFonts w:ascii="Arial" w:cs="Arial" w:eastAsia="Arial" w:hAnsi="Arial"/>
          <w:sz w:val="20"/>
          <w:szCs w:val="20"/>
          <w:color w:val="auto"/>
        </w:rPr>
        <w:t>$80</w:t>
      </w:r>
    </w:p>
    <w:p>
      <w:pPr>
        <w:spacing w:after="0" w:line="221" w:lineRule="exact"/>
        <w:rPr>
          <w:sz w:val="20"/>
          <w:szCs w:val="20"/>
          <w:color w:val="auto"/>
        </w:rPr>
      </w:pPr>
    </w:p>
    <w:p>
      <w:pPr>
        <w:jc w:val="center"/>
        <w:ind w:right="9340"/>
        <w:spacing w:after="0"/>
        <w:rPr>
          <w:sz w:val="20"/>
          <w:szCs w:val="20"/>
          <w:color w:val="auto"/>
        </w:rPr>
      </w:pPr>
      <w:r>
        <w:rPr>
          <w:rFonts w:ascii="Arial" w:cs="Arial" w:eastAsia="Arial" w:hAnsi="Arial"/>
          <w:sz w:val="20"/>
          <w:szCs w:val="20"/>
          <w:color w:val="auto"/>
        </w:rPr>
        <w:t>$60</w:t>
      </w:r>
    </w:p>
    <w:p>
      <w:pPr>
        <w:spacing w:after="0" w:line="221" w:lineRule="exact"/>
        <w:rPr>
          <w:sz w:val="20"/>
          <w:szCs w:val="20"/>
          <w:color w:val="auto"/>
        </w:rPr>
      </w:pPr>
    </w:p>
    <w:p>
      <w:pPr>
        <w:jc w:val="center"/>
        <w:ind w:right="9340"/>
        <w:spacing w:after="0"/>
        <w:rPr>
          <w:sz w:val="20"/>
          <w:szCs w:val="20"/>
          <w:color w:val="auto"/>
        </w:rPr>
      </w:pPr>
      <w:r>
        <w:rPr>
          <w:rFonts w:ascii="Arial" w:cs="Arial" w:eastAsia="Arial" w:hAnsi="Arial"/>
          <w:sz w:val="20"/>
          <w:szCs w:val="20"/>
          <w:color w:val="auto"/>
        </w:rPr>
        <w:t>$40</w:t>
      </w:r>
    </w:p>
    <w:p>
      <w:pPr>
        <w:spacing w:after="0" w:line="221" w:lineRule="exact"/>
        <w:rPr>
          <w:sz w:val="20"/>
          <w:szCs w:val="20"/>
          <w:color w:val="auto"/>
        </w:rPr>
      </w:pPr>
    </w:p>
    <w:p>
      <w:pPr>
        <w:jc w:val="center"/>
        <w:ind w:right="9340"/>
        <w:spacing w:after="0"/>
        <w:rPr>
          <w:sz w:val="20"/>
          <w:szCs w:val="20"/>
          <w:color w:val="auto"/>
        </w:rPr>
      </w:pPr>
      <w:r>
        <w:rPr>
          <w:rFonts w:ascii="Arial" w:cs="Arial" w:eastAsia="Arial" w:hAnsi="Arial"/>
          <w:sz w:val="20"/>
          <w:szCs w:val="20"/>
          <w:color w:val="auto"/>
        </w:rPr>
        <w:t>$20</w:t>
      </w:r>
    </w:p>
    <w:p>
      <w:pPr>
        <w:spacing w:after="0" w:line="221" w:lineRule="exact"/>
        <w:rPr>
          <w:sz w:val="20"/>
          <w:szCs w:val="20"/>
          <w:color w:val="auto"/>
        </w:rPr>
      </w:pPr>
    </w:p>
    <w:p>
      <w:pPr>
        <w:jc w:val="center"/>
        <w:ind w:right="9340"/>
        <w:spacing w:after="0"/>
        <w:rPr>
          <w:sz w:val="20"/>
          <w:szCs w:val="20"/>
          <w:color w:val="auto"/>
        </w:rPr>
      </w:pPr>
      <w:r>
        <w:rPr>
          <w:rFonts w:ascii="Arial" w:cs="Arial" w:eastAsia="Arial" w:hAnsi="Arial"/>
          <w:sz w:val="20"/>
          <w:szCs w:val="20"/>
          <w:color w:val="auto"/>
        </w:rPr>
        <w:t>$0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2440" w:type="dxa"/>
            <w:vAlign w:val="bottom"/>
            <w:gridSpan w:val="3"/>
          </w:tcPr>
          <w:p>
            <w:pPr>
              <w:jc w:val="right"/>
              <w:ind w:right="599"/>
              <w:spacing w:after="0"/>
              <w:rPr>
                <w:sz w:val="20"/>
                <w:szCs w:val="20"/>
                <w:color w:val="auto"/>
              </w:rPr>
            </w:pPr>
            <w:r>
              <w:rPr>
                <w:rFonts w:ascii="Arial" w:cs="Arial" w:eastAsia="Arial" w:hAnsi="Arial"/>
                <w:sz w:val="20"/>
                <w:szCs w:val="20"/>
                <w:color w:val="auto"/>
              </w:rPr>
              <w:t>2018</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20"/>
                <w:szCs w:val="20"/>
                <w:color w:val="auto"/>
              </w:rPr>
              <w:t>2020</w:t>
            </w:r>
          </w:p>
        </w:tc>
        <w:tc>
          <w:tcPr>
            <w:tcW w:w="240" w:type="dxa"/>
            <w:vAlign w:val="bottom"/>
          </w:tcPr>
          <w:p>
            <w:pPr>
              <w:spacing w:after="0"/>
              <w:rPr>
                <w:sz w:val="19"/>
                <w:szCs w:val="19"/>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0"/>
                <w:szCs w:val="20"/>
                <w:color w:val="auto"/>
              </w:rPr>
              <w:t>2022</w:t>
            </w:r>
          </w:p>
        </w:tc>
        <w:tc>
          <w:tcPr>
            <w:tcW w:w="240" w:type="dxa"/>
            <w:vAlign w:val="bottom"/>
          </w:tcPr>
          <w:p>
            <w:pPr>
              <w:spacing w:after="0"/>
              <w:rPr>
                <w:sz w:val="19"/>
                <w:szCs w:val="19"/>
                <w:color w:val="auto"/>
              </w:rPr>
            </w:pPr>
          </w:p>
        </w:tc>
        <w:tc>
          <w:tcPr>
            <w:tcW w:w="1720" w:type="dxa"/>
            <w:vAlign w:val="bottom"/>
            <w:gridSpan w:val="3"/>
          </w:tcPr>
          <w:p>
            <w:pPr>
              <w:jc w:val="right"/>
              <w:ind w:right="780"/>
              <w:spacing w:after="0"/>
              <w:rPr>
                <w:sz w:val="20"/>
                <w:szCs w:val="20"/>
                <w:color w:val="auto"/>
              </w:rPr>
            </w:pPr>
            <w:r>
              <w:rPr>
                <w:rFonts w:ascii="Arial" w:cs="Arial" w:eastAsia="Arial" w:hAnsi="Arial"/>
                <w:sz w:val="20"/>
                <w:szCs w:val="20"/>
                <w:color w:val="auto"/>
              </w:rPr>
              <w:t>2023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7"/>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40" w:type="dxa"/>
            <w:vAlign w:val="bottom"/>
            <w:gridSpan w:val="2"/>
            <w:vMerge w:val="restart"/>
          </w:tcPr>
          <w:p>
            <w:pPr>
              <w:ind w:left="40"/>
              <w:spacing w:after="0"/>
              <w:rPr>
                <w:sz w:val="20"/>
                <w:szCs w:val="20"/>
                <w:color w:val="auto"/>
              </w:rPr>
            </w:pPr>
            <w:r>
              <w:rPr>
                <w:rFonts w:ascii="Arial" w:cs="Arial" w:eastAsia="Arial" w:hAnsi="Arial"/>
                <w:sz w:val="20"/>
                <w:szCs w:val="20"/>
                <w:color w:val="auto"/>
              </w:rPr>
              <w:t>ESCO Technologies Inc.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gridSpan w:val="7"/>
            <w:vMerge w:val="restart"/>
          </w:tcPr>
          <w:p>
            <w:pPr>
              <w:spacing w:after="0"/>
              <w:rPr>
                <w:sz w:val="20"/>
                <w:szCs w:val="20"/>
                <w:color w:val="auto"/>
              </w:rPr>
            </w:pPr>
            <w:r>
              <w:rPr>
                <w:rFonts w:ascii="Arial" w:cs="Arial" w:eastAsia="Arial" w:hAnsi="Arial"/>
                <w:sz w:val="20"/>
                <w:szCs w:val="20"/>
                <w:color w:val="auto"/>
              </w:rPr>
              <w:t>Russell 2000 Index</w:t>
            </w:r>
          </w:p>
        </w:tc>
        <w:tc>
          <w:tcPr>
            <w:tcW w:w="380" w:type="dxa"/>
            <w:vAlign w:val="bottom"/>
            <w:tcBorders>
              <w:bottom w:val="single" w:sz="8" w:color="auto"/>
            </w:tcBorders>
          </w:tcPr>
          <w:p>
            <w:pPr>
              <w:spacing w:after="0"/>
              <w:rPr>
                <w:sz w:val="18"/>
                <w:szCs w:val="18"/>
                <w:color w:val="auto"/>
              </w:rPr>
            </w:pPr>
          </w:p>
        </w:tc>
        <w:tc>
          <w:tcPr>
            <w:tcW w:w="3620" w:type="dxa"/>
            <w:vAlign w:val="bottom"/>
            <w:tcBorders>
              <w:right w:val="single" w:sz="8" w:color="auto"/>
            </w:tcBorders>
            <w:gridSpan w:val="9"/>
            <w:vMerge w:val="restart"/>
          </w:tcPr>
          <w:p>
            <w:pPr>
              <w:jc w:val="right"/>
              <w:ind w:right="340"/>
              <w:spacing w:after="0"/>
              <w:rPr>
                <w:sz w:val="20"/>
                <w:szCs w:val="20"/>
                <w:color w:val="auto"/>
              </w:rPr>
            </w:pPr>
            <w:r>
              <w:rPr>
                <w:rFonts w:ascii="Arial" w:cs="Arial" w:eastAsia="Arial" w:hAnsi="Arial"/>
                <w:sz w:val="20"/>
                <w:szCs w:val="20"/>
                <w:color w:val="auto"/>
              </w:rPr>
              <w:t>S&amp;P SmallCap 600 Industrials Index</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4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4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620" w:type="dxa"/>
            <w:vAlign w:val="bottom"/>
            <w:tcBorders>
              <w:right w:val="single" w:sz="8" w:color="auto"/>
            </w:tcBorders>
            <w:gridSpan w:val="9"/>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0" w:type="dxa"/>
            <w:vAlign w:val="bottom"/>
            <w:tcBorders>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spacing w:after="0"/>
              <w:rPr>
                <w:sz w:val="10"/>
                <w:szCs w:val="10"/>
                <w:color w:val="auto"/>
              </w:rPr>
            </w:pPr>
          </w:p>
        </w:tc>
        <w:tc>
          <w:tcPr>
            <w:tcW w:w="880" w:type="dxa"/>
            <w:vAlign w:val="bottom"/>
            <w:tcBorders>
              <w:bottom w:val="single" w:sz="8" w:color="auto"/>
            </w:tcBorders>
            <w:gridSpan w:val="3"/>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spacing w:after="0"/>
              <w:rPr>
                <w:sz w:val="10"/>
                <w:szCs w:val="10"/>
                <w:color w:val="auto"/>
              </w:rPr>
            </w:pPr>
          </w:p>
        </w:tc>
        <w:tc>
          <w:tcPr>
            <w:tcW w:w="1140" w:type="dxa"/>
            <w:vAlign w:val="bottom"/>
            <w:tcBorders>
              <w:bottom w:val="single" w:sz="8" w:color="auto"/>
            </w:tcBorders>
            <w:gridSpan w:val="3"/>
          </w:tcPr>
          <w:p>
            <w:pPr>
              <w:spacing w:after="0"/>
              <w:rPr>
                <w:sz w:val="10"/>
                <w:szCs w:val="10"/>
                <w:color w:val="auto"/>
              </w:rPr>
            </w:pPr>
          </w:p>
        </w:tc>
        <w:tc>
          <w:tcPr>
            <w:tcW w:w="1720" w:type="dxa"/>
            <w:vAlign w:val="bottom"/>
            <w:tcBorders>
              <w:bottom w:val="single" w:sz="8" w:color="auto"/>
              <w:right w:val="single" w:sz="8" w:color="auto"/>
            </w:tcBorders>
            <w:gridSpan w:val="3"/>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6"/>
          </w:tcPr>
          <w:p>
            <w:pPr>
              <w:spacing w:after="0"/>
              <w:rPr>
                <w:sz w:val="22"/>
                <w:szCs w:val="22"/>
                <w:color w:val="auto"/>
              </w:rPr>
            </w:pPr>
          </w:p>
        </w:tc>
        <w:tc>
          <w:tcPr>
            <w:tcW w:w="1040" w:type="dxa"/>
            <w:vAlign w:val="bottom"/>
            <w:tcBorders>
              <w:bottom w:val="single" w:sz="8" w:color="auto"/>
            </w:tcBorders>
            <w:gridSpan w:val="3"/>
          </w:tcPr>
          <w:p>
            <w:pPr>
              <w:spacing w:after="0"/>
              <w:rPr>
                <w:sz w:val="22"/>
                <w:szCs w:val="22"/>
                <w:color w:val="auto"/>
              </w:rPr>
            </w:pPr>
          </w:p>
        </w:tc>
        <w:tc>
          <w:tcPr>
            <w:tcW w:w="880" w:type="dxa"/>
            <w:vAlign w:val="bottom"/>
            <w:tcBorders>
              <w:bottom w:val="single" w:sz="8" w:color="auto"/>
            </w:tcBorders>
            <w:gridSpan w:val="3"/>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spacing w:after="0"/>
              <w:rPr>
                <w:sz w:val="22"/>
                <w:szCs w:val="22"/>
                <w:color w:val="auto"/>
              </w:rPr>
            </w:pPr>
          </w:p>
        </w:tc>
        <w:tc>
          <w:tcPr>
            <w:tcW w:w="1140" w:type="dxa"/>
            <w:vAlign w:val="bottom"/>
            <w:tcBorders>
              <w:bottom w:val="single" w:sz="8" w:color="auto"/>
            </w:tcBorders>
            <w:gridSpan w:val="3"/>
          </w:tcPr>
          <w:p>
            <w:pPr>
              <w:spacing w:after="0"/>
              <w:rPr>
                <w:sz w:val="22"/>
                <w:szCs w:val="22"/>
                <w:color w:val="auto"/>
              </w:rPr>
            </w:pPr>
          </w:p>
        </w:tc>
        <w:tc>
          <w:tcPr>
            <w:tcW w:w="1720" w:type="dxa"/>
            <w:vAlign w:val="bottom"/>
            <w:tcBorders>
              <w:bottom w:val="single" w:sz="8" w:color="auto"/>
            </w:tcBorders>
            <w:gridSpan w:val="3"/>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2"/>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6"/>
          </w:tcPr>
          <w:p>
            <w:pPr>
              <w:jc w:val="right"/>
              <w:ind w:right="119"/>
              <w:spacing w:after="0"/>
              <w:rPr>
                <w:sz w:val="20"/>
                <w:szCs w:val="20"/>
                <w:color w:val="auto"/>
              </w:rPr>
            </w:pPr>
            <w:r>
              <w:rPr>
                <w:rFonts w:ascii="Arial" w:cs="Arial" w:eastAsia="Arial" w:hAnsi="Arial"/>
                <w:sz w:val="20"/>
                <w:szCs w:val="20"/>
                <w:color w:val="auto"/>
              </w:rPr>
              <w:t>9/30/18</w:t>
            </w:r>
          </w:p>
        </w:tc>
        <w:tc>
          <w:tcPr>
            <w:tcW w:w="1040" w:type="dxa"/>
            <w:vAlign w:val="bottom"/>
            <w:gridSpan w:val="3"/>
          </w:tcPr>
          <w:p>
            <w:pPr>
              <w:jc w:val="right"/>
              <w:ind w:right="240"/>
              <w:spacing w:after="0"/>
              <w:rPr>
                <w:sz w:val="20"/>
                <w:szCs w:val="20"/>
                <w:color w:val="auto"/>
              </w:rPr>
            </w:pPr>
            <w:r>
              <w:rPr>
                <w:rFonts w:ascii="Arial" w:cs="Arial" w:eastAsia="Arial" w:hAnsi="Arial"/>
                <w:sz w:val="20"/>
                <w:szCs w:val="20"/>
                <w:color w:val="auto"/>
              </w:rPr>
              <w:t>9/30/19</w:t>
            </w:r>
          </w:p>
        </w:tc>
        <w:tc>
          <w:tcPr>
            <w:tcW w:w="880" w:type="dxa"/>
            <w:vAlign w:val="bottom"/>
            <w:gridSpan w:val="3"/>
          </w:tcPr>
          <w:p>
            <w:pPr>
              <w:jc w:val="right"/>
              <w:ind w:right="60"/>
              <w:spacing w:after="0"/>
              <w:rPr>
                <w:sz w:val="20"/>
                <w:szCs w:val="20"/>
                <w:color w:val="auto"/>
              </w:rPr>
            </w:pPr>
            <w:r>
              <w:rPr>
                <w:rFonts w:ascii="Arial" w:cs="Arial" w:eastAsia="Arial" w:hAnsi="Arial"/>
                <w:sz w:val="20"/>
                <w:szCs w:val="20"/>
                <w:color w:val="auto"/>
              </w:rPr>
              <w:t>9/30/20</w:t>
            </w:r>
          </w:p>
        </w:tc>
        <w:tc>
          <w:tcPr>
            <w:tcW w:w="38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20"/>
                <w:szCs w:val="20"/>
                <w:color w:val="auto"/>
                <w:w w:val="89"/>
              </w:rPr>
              <w:t>9/30/21</w:t>
            </w:r>
          </w:p>
        </w:tc>
        <w:tc>
          <w:tcPr>
            <w:tcW w:w="1140" w:type="dxa"/>
            <w:vAlign w:val="bottom"/>
            <w:gridSpan w:val="3"/>
          </w:tcPr>
          <w:p>
            <w:pPr>
              <w:jc w:val="right"/>
              <w:ind w:right="240"/>
              <w:spacing w:after="0"/>
              <w:rPr>
                <w:sz w:val="20"/>
                <w:szCs w:val="20"/>
                <w:color w:val="auto"/>
              </w:rPr>
            </w:pPr>
            <w:r>
              <w:rPr>
                <w:rFonts w:ascii="Arial" w:cs="Arial" w:eastAsia="Arial" w:hAnsi="Arial"/>
                <w:sz w:val="20"/>
                <w:szCs w:val="20"/>
                <w:color w:val="auto"/>
              </w:rPr>
              <w:t>9/30/22</w:t>
            </w:r>
          </w:p>
        </w:tc>
        <w:tc>
          <w:tcPr>
            <w:tcW w:w="1720" w:type="dxa"/>
            <w:vAlign w:val="bottom"/>
            <w:gridSpan w:val="3"/>
          </w:tcPr>
          <w:p>
            <w:pPr>
              <w:jc w:val="right"/>
              <w:ind w:right="900"/>
              <w:spacing w:after="0"/>
              <w:rPr>
                <w:sz w:val="20"/>
                <w:szCs w:val="20"/>
                <w:color w:val="auto"/>
              </w:rPr>
            </w:pPr>
            <w:r>
              <w:rPr>
                <w:rFonts w:ascii="Arial" w:cs="Arial" w:eastAsia="Arial" w:hAnsi="Arial"/>
                <w:sz w:val="20"/>
                <w:szCs w:val="20"/>
                <w:color w:val="auto"/>
              </w:rPr>
              <w:t>9/30/23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40" w:type="dxa"/>
            <w:vAlign w:val="bottom"/>
          </w:tcPr>
          <w:p>
            <w:pPr>
              <w:spacing w:after="0"/>
              <w:rPr>
                <w:sz w:val="22"/>
                <w:szCs w:val="22"/>
                <w:color w:val="auto"/>
              </w:rPr>
            </w:pPr>
          </w:p>
        </w:tc>
        <w:tc>
          <w:tcPr>
            <w:tcW w:w="2440" w:type="dxa"/>
            <w:vAlign w:val="bottom"/>
            <w:gridSpan w:val="3"/>
          </w:tcPr>
          <w:p>
            <w:pPr>
              <w:ind w:left="280"/>
              <w:spacing w:after="0"/>
              <w:rPr>
                <w:sz w:val="20"/>
                <w:szCs w:val="20"/>
                <w:color w:val="auto"/>
              </w:rPr>
            </w:pPr>
            <w:r>
              <w:rPr>
                <w:rFonts w:ascii="Arial" w:cs="Arial" w:eastAsia="Arial" w:hAnsi="Arial"/>
                <w:sz w:val="20"/>
                <w:szCs w:val="20"/>
                <w:color w:val="auto"/>
                <w:w w:val="97"/>
              </w:rPr>
              <w:t>ESCO Technologies Inc.</w:t>
            </w:r>
          </w:p>
        </w:tc>
        <w:tc>
          <w:tcPr>
            <w:tcW w:w="680" w:type="dxa"/>
            <w:vAlign w:val="bottom"/>
          </w:tcPr>
          <w:p>
            <w:pPr>
              <w:spacing w:after="0"/>
              <w:rPr>
                <w:sz w:val="22"/>
                <w:szCs w:val="22"/>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20"/>
                <w:szCs w:val="20"/>
                <w:color w:val="auto"/>
                <w:w w:val="94"/>
              </w:rPr>
              <w:t>$100.00</w:t>
            </w:r>
          </w:p>
        </w:tc>
        <w:tc>
          <w:tcPr>
            <w:tcW w:w="22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20"/>
                <w:szCs w:val="20"/>
                <w:color w:val="auto"/>
              </w:rPr>
              <w:t>$117.45</w:t>
            </w:r>
          </w:p>
        </w:tc>
        <w:tc>
          <w:tcPr>
            <w:tcW w:w="880" w:type="dxa"/>
            <w:vAlign w:val="bottom"/>
            <w:gridSpan w:val="3"/>
          </w:tcPr>
          <w:p>
            <w:pPr>
              <w:jc w:val="right"/>
              <w:ind w:right="60"/>
              <w:spacing w:after="0"/>
              <w:rPr>
                <w:sz w:val="20"/>
                <w:szCs w:val="20"/>
                <w:color w:val="auto"/>
              </w:rPr>
            </w:pPr>
            <w:r>
              <w:rPr>
                <w:rFonts w:ascii="Arial" w:cs="Arial" w:eastAsia="Arial" w:hAnsi="Arial"/>
                <w:sz w:val="20"/>
                <w:szCs w:val="20"/>
                <w:color w:val="auto"/>
              </w:rPr>
              <w:t>$119.53</w:t>
            </w:r>
          </w:p>
        </w:tc>
        <w:tc>
          <w:tcPr>
            <w:tcW w:w="380" w:type="dxa"/>
            <w:vAlign w:val="bottom"/>
          </w:tcPr>
          <w:p>
            <w:pPr>
              <w:spacing w:after="0"/>
              <w:rPr>
                <w:sz w:val="22"/>
                <w:szCs w:val="22"/>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20"/>
                <w:szCs w:val="20"/>
                <w:color w:val="auto"/>
                <w:w w:val="82"/>
              </w:rPr>
              <w:t>$114.64</w:t>
            </w:r>
          </w:p>
        </w:tc>
        <w:tc>
          <w:tcPr>
            <w:tcW w:w="1140" w:type="dxa"/>
            <w:vAlign w:val="bottom"/>
            <w:gridSpan w:val="3"/>
          </w:tcPr>
          <w:p>
            <w:pPr>
              <w:jc w:val="right"/>
              <w:ind w:right="240"/>
              <w:spacing w:after="0"/>
              <w:rPr>
                <w:sz w:val="20"/>
                <w:szCs w:val="20"/>
                <w:color w:val="auto"/>
              </w:rPr>
            </w:pPr>
            <w:r>
              <w:rPr>
                <w:rFonts w:ascii="Arial" w:cs="Arial" w:eastAsia="Arial" w:hAnsi="Arial"/>
                <w:sz w:val="20"/>
                <w:szCs w:val="20"/>
                <w:color w:val="auto"/>
              </w:rPr>
              <w:t>$109.69</w:t>
            </w:r>
          </w:p>
        </w:tc>
        <w:tc>
          <w:tcPr>
            <w:tcW w:w="1720" w:type="dxa"/>
            <w:vAlign w:val="bottom"/>
            <w:gridSpan w:val="3"/>
          </w:tcPr>
          <w:p>
            <w:pPr>
              <w:jc w:val="right"/>
              <w:ind w:right="900"/>
              <w:spacing w:after="0"/>
              <w:rPr>
                <w:sz w:val="20"/>
                <w:szCs w:val="20"/>
                <w:color w:val="auto"/>
              </w:rPr>
            </w:pPr>
            <w:r>
              <w:rPr>
                <w:rFonts w:ascii="Arial" w:cs="Arial" w:eastAsia="Arial" w:hAnsi="Arial"/>
                <w:sz w:val="20"/>
                <w:szCs w:val="20"/>
                <w:color w:val="auto"/>
              </w:rPr>
              <w:t>$156.55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40" w:type="dxa"/>
            <w:vAlign w:val="bottom"/>
          </w:tcPr>
          <w:p>
            <w:pPr>
              <w:spacing w:after="0"/>
              <w:rPr>
                <w:sz w:val="22"/>
                <w:szCs w:val="22"/>
                <w:color w:val="auto"/>
              </w:rPr>
            </w:pPr>
          </w:p>
        </w:tc>
        <w:tc>
          <w:tcPr>
            <w:tcW w:w="2440" w:type="dxa"/>
            <w:vAlign w:val="bottom"/>
            <w:gridSpan w:val="3"/>
          </w:tcPr>
          <w:p>
            <w:pPr>
              <w:ind w:left="280"/>
              <w:spacing w:after="0"/>
              <w:rPr>
                <w:sz w:val="20"/>
                <w:szCs w:val="20"/>
                <w:color w:val="auto"/>
              </w:rPr>
            </w:pPr>
            <w:r>
              <w:rPr>
                <w:rFonts w:ascii="Arial" w:cs="Arial" w:eastAsia="Arial" w:hAnsi="Arial"/>
                <w:sz w:val="20"/>
                <w:szCs w:val="20"/>
                <w:color w:val="auto"/>
              </w:rPr>
              <w:t>Russell 2000 Index</w:t>
            </w:r>
          </w:p>
        </w:tc>
        <w:tc>
          <w:tcPr>
            <w:tcW w:w="680" w:type="dxa"/>
            <w:vAlign w:val="bottom"/>
          </w:tcPr>
          <w:p>
            <w:pPr>
              <w:spacing w:after="0"/>
              <w:rPr>
                <w:sz w:val="22"/>
                <w:szCs w:val="22"/>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20"/>
                <w:szCs w:val="20"/>
                <w:color w:val="auto"/>
              </w:rPr>
              <w:t>100.00</w:t>
            </w:r>
          </w:p>
        </w:tc>
        <w:tc>
          <w:tcPr>
            <w:tcW w:w="22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20"/>
                <w:szCs w:val="20"/>
                <w:color w:val="auto"/>
              </w:rPr>
              <w:t>91.11</w:t>
            </w:r>
          </w:p>
        </w:tc>
        <w:tc>
          <w:tcPr>
            <w:tcW w:w="880" w:type="dxa"/>
            <w:vAlign w:val="bottom"/>
            <w:gridSpan w:val="3"/>
          </w:tcPr>
          <w:p>
            <w:pPr>
              <w:jc w:val="right"/>
              <w:ind w:right="60"/>
              <w:spacing w:after="0"/>
              <w:rPr>
                <w:sz w:val="20"/>
                <w:szCs w:val="20"/>
                <w:color w:val="auto"/>
              </w:rPr>
            </w:pPr>
            <w:r>
              <w:rPr>
                <w:rFonts w:ascii="Arial" w:cs="Arial" w:eastAsia="Arial" w:hAnsi="Arial"/>
                <w:sz w:val="20"/>
                <w:szCs w:val="20"/>
                <w:color w:val="auto"/>
              </w:rPr>
              <w:t>91.47</w:t>
            </w:r>
          </w:p>
        </w:tc>
        <w:tc>
          <w:tcPr>
            <w:tcW w:w="380" w:type="dxa"/>
            <w:vAlign w:val="bottom"/>
          </w:tcPr>
          <w:p>
            <w:pPr>
              <w:spacing w:after="0"/>
              <w:rPr>
                <w:sz w:val="22"/>
                <w:szCs w:val="22"/>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20"/>
                <w:szCs w:val="20"/>
                <w:color w:val="auto"/>
                <w:w w:val="98"/>
              </w:rPr>
              <w:t>135.08</w:t>
            </w:r>
          </w:p>
        </w:tc>
        <w:tc>
          <w:tcPr>
            <w:tcW w:w="1140" w:type="dxa"/>
            <w:vAlign w:val="bottom"/>
            <w:gridSpan w:val="3"/>
          </w:tcPr>
          <w:p>
            <w:pPr>
              <w:jc w:val="right"/>
              <w:ind w:right="240"/>
              <w:spacing w:after="0"/>
              <w:rPr>
                <w:sz w:val="20"/>
                <w:szCs w:val="20"/>
                <w:color w:val="auto"/>
              </w:rPr>
            </w:pPr>
            <w:r>
              <w:rPr>
                <w:rFonts w:ascii="Arial" w:cs="Arial" w:eastAsia="Arial" w:hAnsi="Arial"/>
                <w:sz w:val="20"/>
                <w:szCs w:val="20"/>
                <w:color w:val="auto"/>
              </w:rPr>
              <w:t>103.34</w:t>
            </w:r>
          </w:p>
        </w:tc>
        <w:tc>
          <w:tcPr>
            <w:tcW w:w="1720" w:type="dxa"/>
            <w:vAlign w:val="bottom"/>
            <w:gridSpan w:val="3"/>
          </w:tcPr>
          <w:p>
            <w:pPr>
              <w:jc w:val="right"/>
              <w:ind w:right="900"/>
              <w:spacing w:after="0"/>
              <w:rPr>
                <w:sz w:val="20"/>
                <w:szCs w:val="20"/>
                <w:color w:val="auto"/>
              </w:rPr>
            </w:pPr>
            <w:r>
              <w:rPr>
                <w:rFonts w:ascii="Arial" w:cs="Arial" w:eastAsia="Arial" w:hAnsi="Arial"/>
                <w:sz w:val="20"/>
                <w:szCs w:val="20"/>
                <w:color w:val="auto"/>
              </w:rPr>
              <w:t>112.56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40" w:type="dxa"/>
            <w:vAlign w:val="bottom"/>
          </w:tcPr>
          <w:p>
            <w:pPr>
              <w:spacing w:after="0"/>
              <w:rPr>
                <w:sz w:val="22"/>
                <w:szCs w:val="22"/>
                <w:color w:val="auto"/>
              </w:rPr>
            </w:pPr>
          </w:p>
        </w:tc>
        <w:tc>
          <w:tcPr>
            <w:tcW w:w="3120" w:type="dxa"/>
            <w:vAlign w:val="bottom"/>
            <w:gridSpan w:val="4"/>
          </w:tcPr>
          <w:p>
            <w:pPr>
              <w:ind w:left="280"/>
              <w:spacing w:after="0"/>
              <w:rPr>
                <w:sz w:val="20"/>
                <w:szCs w:val="20"/>
                <w:color w:val="auto"/>
              </w:rPr>
            </w:pPr>
            <w:r>
              <w:rPr>
                <w:rFonts w:ascii="Arial" w:cs="Arial" w:eastAsia="Arial" w:hAnsi="Arial"/>
                <w:sz w:val="20"/>
                <w:szCs w:val="20"/>
                <w:color w:val="auto"/>
                <w:w w:val="87"/>
              </w:rPr>
              <w:t>S&amp;P SmallCap 600 Industrials Index</w:t>
            </w:r>
          </w:p>
        </w:tc>
        <w:tc>
          <w:tcPr>
            <w:tcW w:w="720" w:type="dxa"/>
            <w:vAlign w:val="bottom"/>
            <w:gridSpan w:val="5"/>
          </w:tcPr>
          <w:p>
            <w:pPr>
              <w:jc w:val="right"/>
              <w:ind w:right="20"/>
              <w:spacing w:after="0"/>
              <w:rPr>
                <w:sz w:val="20"/>
                <w:szCs w:val="20"/>
                <w:color w:val="auto"/>
              </w:rPr>
            </w:pPr>
            <w:r>
              <w:rPr>
                <w:rFonts w:ascii="Arial" w:cs="Arial" w:eastAsia="Arial" w:hAnsi="Arial"/>
                <w:sz w:val="20"/>
                <w:szCs w:val="20"/>
                <w:color w:val="auto"/>
              </w:rPr>
              <w:t>100.00</w:t>
            </w:r>
          </w:p>
        </w:tc>
        <w:tc>
          <w:tcPr>
            <w:tcW w:w="22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20"/>
                <w:szCs w:val="20"/>
                <w:color w:val="auto"/>
              </w:rPr>
              <w:t>92.67</w:t>
            </w:r>
          </w:p>
        </w:tc>
        <w:tc>
          <w:tcPr>
            <w:tcW w:w="880" w:type="dxa"/>
            <w:vAlign w:val="bottom"/>
            <w:gridSpan w:val="3"/>
          </w:tcPr>
          <w:p>
            <w:pPr>
              <w:jc w:val="right"/>
              <w:ind w:right="60"/>
              <w:spacing w:after="0"/>
              <w:rPr>
                <w:sz w:val="20"/>
                <w:szCs w:val="20"/>
                <w:color w:val="auto"/>
              </w:rPr>
            </w:pPr>
            <w:r>
              <w:rPr>
                <w:rFonts w:ascii="Arial" w:cs="Arial" w:eastAsia="Arial" w:hAnsi="Arial"/>
                <w:sz w:val="20"/>
                <w:szCs w:val="20"/>
                <w:color w:val="auto"/>
              </w:rPr>
              <w:t>87.20</w:t>
            </w:r>
          </w:p>
        </w:tc>
        <w:tc>
          <w:tcPr>
            <w:tcW w:w="380" w:type="dxa"/>
            <w:vAlign w:val="bottom"/>
          </w:tcPr>
          <w:p>
            <w:pPr>
              <w:spacing w:after="0"/>
              <w:rPr>
                <w:sz w:val="22"/>
                <w:szCs w:val="22"/>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20"/>
                <w:szCs w:val="20"/>
                <w:color w:val="auto"/>
                <w:w w:val="98"/>
              </w:rPr>
              <w:t>127.07</w:t>
            </w:r>
          </w:p>
        </w:tc>
        <w:tc>
          <w:tcPr>
            <w:tcW w:w="1140" w:type="dxa"/>
            <w:vAlign w:val="bottom"/>
            <w:gridSpan w:val="3"/>
          </w:tcPr>
          <w:p>
            <w:pPr>
              <w:jc w:val="right"/>
              <w:ind w:right="240"/>
              <w:spacing w:after="0"/>
              <w:rPr>
                <w:sz w:val="20"/>
                <w:szCs w:val="20"/>
                <w:color w:val="auto"/>
              </w:rPr>
            </w:pPr>
            <w:r>
              <w:rPr>
                <w:rFonts w:ascii="Arial" w:cs="Arial" w:eastAsia="Arial" w:hAnsi="Arial"/>
                <w:sz w:val="20"/>
                <w:szCs w:val="20"/>
                <w:color w:val="auto"/>
              </w:rPr>
              <w:t>110.73</w:t>
            </w:r>
          </w:p>
        </w:tc>
        <w:tc>
          <w:tcPr>
            <w:tcW w:w="1720" w:type="dxa"/>
            <w:vAlign w:val="bottom"/>
            <w:gridSpan w:val="3"/>
          </w:tcPr>
          <w:p>
            <w:pPr>
              <w:jc w:val="right"/>
              <w:ind w:right="900"/>
              <w:spacing w:after="0"/>
              <w:rPr>
                <w:sz w:val="20"/>
                <w:szCs w:val="20"/>
                <w:color w:val="auto"/>
              </w:rPr>
            </w:pPr>
            <w:r>
              <w:rPr>
                <w:rFonts w:ascii="Arial" w:cs="Arial" w:eastAsia="Arial" w:hAnsi="Arial"/>
                <w:sz w:val="20"/>
                <w:szCs w:val="20"/>
                <w:color w:val="auto"/>
              </w:rPr>
              <w:t>143.28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Item 6. [Reserved]</w:t>
      </w:r>
    </w:p>
    <w:p>
      <w:pPr>
        <w:spacing w:after="0" w:line="370" w:lineRule="exact"/>
        <w:rPr>
          <w:sz w:val="20"/>
          <w:szCs w:val="20"/>
          <w:color w:val="auto"/>
        </w:rPr>
      </w:pPr>
    </w:p>
    <w:p>
      <w:pPr>
        <w:ind w:left="180" w:right="1220"/>
        <w:spacing w:after="0" w:line="234"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31" w:lineRule="exact"/>
        <w:rPr>
          <w:sz w:val="20"/>
          <w:szCs w:val="20"/>
          <w:color w:val="auto"/>
        </w:rPr>
      </w:pPr>
    </w:p>
    <w:p>
      <w:pPr>
        <w:ind w:left="180" w:right="740"/>
        <w:spacing w:after="0" w:line="235"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Consolidated Financial Statements and Notes thereto and refers to our results from continuing operations except where noted.</w:t>
      </w:r>
    </w:p>
    <w:p>
      <w:pPr>
        <w:spacing w:after="0" w:line="131" w:lineRule="exact"/>
        <w:rPr>
          <w:sz w:val="20"/>
          <w:szCs w:val="20"/>
          <w:color w:val="auto"/>
        </w:rPr>
      </w:pPr>
    </w:p>
    <w:p>
      <w:pPr>
        <w:ind w:left="180" w:right="780"/>
        <w:spacing w:after="0" w:line="235" w:lineRule="auto"/>
        <w:rPr>
          <w:sz w:val="20"/>
          <w:szCs w:val="20"/>
          <w:color w:val="auto"/>
        </w:rPr>
      </w:pPr>
      <w:r>
        <w:rPr>
          <w:rFonts w:ascii="Times New Roman" w:cs="Times New Roman" w:eastAsia="Times New Roman" w:hAnsi="Times New Roman"/>
          <w:sz w:val="20"/>
          <w:szCs w:val="20"/>
          <w:color w:val="auto"/>
        </w:rPr>
        <w:t xml:space="preserve">Selected financial information for each of our business segments is provided in the discussion below and in Note 9 to </w:t>
      </w:r>
      <w:r>
        <w:rPr>
          <w:rFonts w:ascii="Arial" w:cs="Arial" w:eastAsia="Arial" w:hAnsi="Arial"/>
          <w:sz w:val="20"/>
          <w:szCs w:val="20"/>
          <w:color w:val="auto"/>
        </w:rPr>
        <w:t>the Company’s Consolidated Financial Statements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ind w:left="180" w:right="660"/>
        <w:spacing w:after="0" w:line="237" w:lineRule="auto"/>
        <w:rPr>
          <w:sz w:val="20"/>
          <w:szCs w:val="20"/>
          <w:color w:val="auto"/>
        </w:rPr>
      </w:pPr>
      <w:r>
        <w:rPr>
          <w:rFonts w:ascii="Times New Roman" w:cs="Times New Roman" w:eastAsia="Times New Roman" w:hAnsi="Times New Roman"/>
          <w:sz w:val="20"/>
          <w:szCs w:val="20"/>
          <w:color w:val="auto"/>
        </w:rPr>
        <w:t xml:space="preserve">This section includes comparisons of certain 2023 financial information to the same information for 2022. Year-to-year comparisons of the 2022 financial information to the same information for 2021 are contained in Item 7 of our Form 10-K for 2022 filed with the Securities and Exchange Commission on November 29, 2022 and available through </w:t>
      </w:r>
      <w:r>
        <w:rPr>
          <w:rFonts w:ascii="Arial" w:cs="Arial" w:eastAsia="Arial" w:hAnsi="Arial"/>
          <w:sz w:val="20"/>
          <w:szCs w:val="20"/>
          <w:color w:val="auto"/>
        </w:rPr>
        <w:t xml:space="preserve">the SEC’s website at </w:t>
      </w:r>
      <w:r>
        <w:rPr>
          <w:rFonts w:ascii="Times New Roman" w:cs="Times New Roman" w:eastAsia="Times New Roman" w:hAnsi="Times New Roman"/>
          <w:sz w:val="20"/>
          <w:szCs w:val="20"/>
          <w:i w:val="1"/>
          <w:iCs w:val="1"/>
          <w:u w:val="single" w:color="auto"/>
          <w:color w:val="auto"/>
        </w:rPr>
        <w:t>https://www.sec.gov/edgar/searchedgar/companysearch.html</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24" w:lineRule="exact"/>
        <w:rPr>
          <w:sz w:val="20"/>
          <w:szCs w:val="20"/>
          <w:color w:val="auto"/>
        </w:rPr>
      </w:pPr>
    </w:p>
    <w:p>
      <w:pPr>
        <w:ind w:left="180" w:right="640"/>
        <w:spacing w:after="0" w:line="235" w:lineRule="auto"/>
        <w:rPr>
          <w:sz w:val="20"/>
          <w:szCs w:val="20"/>
          <w:color w:val="auto"/>
        </w:rPr>
      </w:pPr>
      <w:r>
        <w:rPr>
          <w:rFonts w:ascii="Times New Roman" w:cs="Times New Roman" w:eastAsia="Times New Roman" w:hAnsi="Times New Roman"/>
          <w:sz w:val="20"/>
          <w:szCs w:val="20"/>
          <w:color w:val="auto"/>
        </w:rPr>
        <w:t>We classify our business operations into three segments for financial reporting purposes, although for reporting certain financial information we treat Corporate activities as a separate segment. Our three operating segments during 2023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10340"/>
          </w:cols>
          <w:pgMar w:left="1260" w:top="1440" w:right="640" w:bottom="0" w:gutter="0" w:footer="0" w:header="0"/>
        </w:sectPr>
      </w:pPr>
    </w:p>
    <w:bookmarkStart w:id="27" w:name="page28"/>
    <w:bookmarkEnd w:id="27"/>
    <w:p>
      <w:pPr>
        <w:spacing w:after="0" w:line="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0"/>
          <w:szCs w:val="20"/>
          <w:color w:val="auto"/>
        </w:rPr>
        <w:t>were Aerospace &amp; Defense (A&amp;D), Utility Solutions Group (USG), and RF Test &amp; Measurement, formerly called RF Shielding and Test (Test). Our operating segments are comprised of the following primary operating subsidiaries:</w:t>
      </w:r>
    </w:p>
    <w:p>
      <w:pPr>
        <w:spacing w:after="0" w:line="122" w:lineRule="exact"/>
        <w:rPr>
          <w:sz w:val="20"/>
          <w:szCs w:val="20"/>
          <w:color w:val="auto"/>
        </w:rPr>
      </w:pPr>
    </w:p>
    <w:p>
      <w:pPr>
        <w:jc w:val="right"/>
        <w:ind w:left="620" w:right="40"/>
        <w:spacing w:after="0" w:line="235" w:lineRule="auto"/>
        <w:rPr>
          <w:sz w:val="20"/>
          <w:szCs w:val="20"/>
          <w:color w:val="auto"/>
        </w:rPr>
      </w:pPr>
      <w:r>
        <w:rPr>
          <w:rFonts w:ascii="Arial" w:cs="Arial" w:eastAsia="Arial" w:hAnsi="Arial"/>
          <w:sz w:val="18"/>
          <w:szCs w:val="18"/>
          <w:i w:val="1"/>
          <w:iCs w:val="1"/>
          <w:u w:val="single" w:color="auto"/>
          <w:color w:val="auto"/>
        </w:rPr>
        <w:t>A&amp;D</w:t>
      </w:r>
      <w:r>
        <w:rPr>
          <w:rFonts w:ascii="Arial" w:cs="Arial" w:eastAsia="Arial" w:hAnsi="Arial"/>
          <w:sz w:val="18"/>
          <w:szCs w:val="18"/>
          <w:i w:val="1"/>
          <w:iCs w:val="1"/>
          <w:color w:val="auto"/>
        </w:rPr>
        <w:t xml:space="preserve">:  </w:t>
      </w:r>
      <w:r>
        <w:rPr>
          <w:rFonts w:ascii="Times New Roman" w:cs="Times New Roman" w:eastAsia="Times New Roman" w:hAnsi="Times New Roman"/>
          <w:sz w:val="20"/>
          <w:szCs w:val="20"/>
          <w:color w:val="auto"/>
        </w:rPr>
        <w:t>PTI Technologies Inc. (PTI); VACCO Industries (VACCO); Crissair, Inc. (Crissair); Globe Composite</w:t>
      </w:r>
      <w:r>
        <w:rPr>
          <w:rFonts w:ascii="Arial" w:cs="Arial" w:eastAsia="Arial" w:hAnsi="Arial"/>
          <w:sz w:val="18"/>
          <w:szCs w:val="18"/>
          <w:i w:val="1"/>
          <w:iCs w:val="1"/>
          <w:color w:val="auto"/>
        </w:rPr>
        <w:t xml:space="preserve"> </w:t>
      </w:r>
      <w:r>
        <w:rPr>
          <w:rFonts w:ascii="Times New Roman" w:cs="Times New Roman" w:eastAsia="Times New Roman" w:hAnsi="Times New Roman"/>
          <w:sz w:val="20"/>
          <w:szCs w:val="20"/>
          <w:color w:val="auto"/>
        </w:rPr>
        <w:t>Solutions, LLC (Globe); Westland Technologies, Inc. (Westland); and Mayday Manufacturing Co. (Mayday);.</w:t>
      </w:r>
    </w:p>
    <w:p>
      <w:pPr>
        <w:spacing w:after="0" w:line="138" w:lineRule="exact"/>
        <w:rPr>
          <w:sz w:val="20"/>
          <w:szCs w:val="20"/>
          <w:color w:val="auto"/>
        </w:rPr>
      </w:pPr>
    </w:p>
    <w:p>
      <w:pPr>
        <w:ind w:left="620" w:right="40"/>
        <w:spacing w:after="0" w:line="234" w:lineRule="auto"/>
        <w:rPr>
          <w:sz w:val="20"/>
          <w:szCs w:val="20"/>
          <w:color w:val="auto"/>
        </w:rPr>
      </w:pPr>
      <w:r>
        <w:rPr>
          <w:rFonts w:ascii="Arial" w:cs="Arial" w:eastAsia="Arial" w:hAnsi="Arial"/>
          <w:sz w:val="18"/>
          <w:szCs w:val="18"/>
          <w:i w:val="1"/>
          <w:iCs w:val="1"/>
          <w:u w:val="single" w:color="auto"/>
          <w:color w:val="auto"/>
        </w:rPr>
        <w:t>USG</w:t>
      </w:r>
      <w:r>
        <w:rPr>
          <w:rFonts w:ascii="Arial" w:cs="Arial" w:eastAsia="Arial" w:hAnsi="Arial"/>
          <w:sz w:val="18"/>
          <w:szCs w:val="18"/>
          <w:i w:val="1"/>
          <w:iCs w:val="1"/>
          <w:color w:val="auto"/>
        </w:rPr>
        <w:t xml:space="preserve">: </w:t>
      </w:r>
      <w:r>
        <w:rPr>
          <w:rFonts w:ascii="Times New Roman" w:cs="Times New Roman" w:eastAsia="Times New Roman" w:hAnsi="Times New Roman"/>
          <w:sz w:val="20"/>
          <w:szCs w:val="20"/>
          <w:color w:val="auto"/>
        </w:rPr>
        <w:t>Doble Engineering Company; I.S.A.</w:t>
      </w:r>
      <w:r>
        <w:rPr>
          <w:rFonts w:ascii="Arial" w:cs="Arial" w:eastAsia="Arial" w:hAnsi="Arial"/>
          <w:sz w:val="18"/>
          <w:szCs w:val="18"/>
          <w:i w:val="1"/>
          <w:iCs w:val="1"/>
          <w:color w:val="auto"/>
        </w:rPr>
        <w:t xml:space="preserve"> </w:t>
      </w:r>
      <w:r>
        <w:rPr>
          <w:rFonts w:ascii="Arial" w:cs="Arial" w:eastAsia="Arial" w:hAnsi="Arial"/>
          <w:sz w:val="20"/>
          <w:szCs w:val="20"/>
          <w:color w:val="auto"/>
        </w:rPr>
        <w:t>–</w:t>
      </w:r>
      <w:r>
        <w:rPr>
          <w:rFonts w:ascii="Arial" w:cs="Arial" w:eastAsia="Arial" w:hAnsi="Arial"/>
          <w:sz w:val="18"/>
          <w:szCs w:val="18"/>
          <w:i w:val="1"/>
          <w:iCs w:val="1"/>
          <w:color w:val="auto"/>
        </w:rPr>
        <w:t xml:space="preserve"> </w:t>
      </w:r>
      <w:r>
        <w:rPr>
          <w:rFonts w:ascii="Times New Roman" w:cs="Times New Roman" w:eastAsia="Times New Roman" w:hAnsi="Times New Roman"/>
          <w:sz w:val="20"/>
          <w:szCs w:val="20"/>
          <w:color w:val="auto"/>
        </w:rPr>
        <w:t>Altanova Group S.r.l. and affiliates (Altanova); Morgan Schaffer</w:t>
      </w:r>
      <w:r>
        <w:rPr>
          <w:rFonts w:ascii="Arial" w:cs="Arial" w:eastAsia="Arial" w:hAnsi="Arial"/>
          <w:sz w:val="18"/>
          <w:szCs w:val="18"/>
          <w:i w:val="1"/>
          <w:iCs w:val="1"/>
          <w:color w:val="auto"/>
        </w:rPr>
        <w:t xml:space="preserve"> </w:t>
      </w:r>
      <w:r>
        <w:rPr>
          <w:rFonts w:ascii="Times New Roman" w:cs="Times New Roman" w:eastAsia="Times New Roman" w:hAnsi="Times New Roman"/>
          <w:sz w:val="20"/>
          <w:szCs w:val="20"/>
          <w:color w:val="auto"/>
        </w:rPr>
        <w:t>Ltd. and Phenix Technologies (Phenix) (collectively, Doble); and NRG Systems, Inc. (NRG).</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Test</w:t>
      </w:r>
      <w:r>
        <w:rPr>
          <w:rFonts w:ascii="Arial" w:cs="Arial" w:eastAsia="Arial" w:hAnsi="Arial"/>
          <w:sz w:val="18"/>
          <w:szCs w:val="18"/>
          <w:i w:val="1"/>
          <w:iCs w:val="1"/>
          <w:color w:val="auto"/>
        </w:rPr>
        <w:t xml:space="preserve">:  </w:t>
      </w:r>
      <w:r>
        <w:rPr>
          <w:rFonts w:ascii="Times New Roman" w:cs="Times New Roman" w:eastAsia="Times New Roman" w:hAnsi="Times New Roman"/>
          <w:sz w:val="20"/>
          <w:szCs w:val="20"/>
          <w:color w:val="auto"/>
        </w:rPr>
        <w:t>ETS-Lindgren Inc. (ETS-Lindgren).</w:t>
      </w: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A&amp;D. </w:t>
      </w:r>
      <w:r>
        <w:rPr>
          <w:rFonts w:ascii="Times New Roman" w:cs="Times New Roman" w:eastAsia="Times New Roman" w:hAnsi="Times New Roman"/>
          <w:sz w:val="20"/>
          <w:szCs w:val="20"/>
          <w:color w:val="auto"/>
        </w:rPr>
        <w:t>PTI, VACCO and Crissair primarily design and manufacture specialty filtration products, including hydraulic</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filter elements and fluid control devices used in commercial and defense aerospace applications, unique filter mechanisms used in micro-propulsion devices for satellites and custom designed filters for manned aircraft and submarines. Globe and Westland design, develop and manufacture elastomeric-based signature reduction solutions for U.S. naval vessels. Mayday designs and manufactures mission-critical bushings, pins, sleeves and precision-tolerance machined components for landing gear, rotor heads, engine mounts, flight controls, and actuation systems for the aerospace and defense industries.</w:t>
      </w:r>
    </w:p>
    <w:p>
      <w:pPr>
        <w:spacing w:after="0" w:line="1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b w:val="1"/>
          <w:bCs w:val="1"/>
          <w:i w:val="1"/>
          <w:iCs w:val="1"/>
          <w:color w:val="auto"/>
        </w:rPr>
        <w:t xml:space="preserve">USG. </w:t>
      </w:r>
      <w:r>
        <w:rPr>
          <w:rFonts w:ascii="Times New Roman" w:cs="Times New Roman" w:eastAsia="Times New Roman" w:hAnsi="Times New Roman"/>
          <w:sz w:val="20"/>
          <w:szCs w:val="20"/>
          <w:color w:val="auto"/>
        </w:rPr>
        <w:t>Doble develops, manufactures and delivers diagnostic testing solutions that enable electric power grid operators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to assess the integrity of high-voltage power delivery equipment. NRG designs and manufactures decision support tools for the renewable energy industry, primarily wind and solar.</w:t>
      </w:r>
    </w:p>
    <w:p>
      <w:pPr>
        <w:spacing w:after="0" w:line="13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b w:val="1"/>
          <w:bCs w:val="1"/>
          <w:i w:val="1"/>
          <w:iCs w:val="1"/>
          <w:color w:val="auto"/>
        </w:rPr>
        <w:t xml:space="preserve">Test. </w:t>
      </w:r>
      <w:r>
        <w:rPr>
          <w:rFonts w:ascii="Times New Roman" w:cs="Times New Roman" w:eastAsia="Times New Roman" w:hAnsi="Times New Roman"/>
          <w:sz w:val="20"/>
          <w:szCs w:val="20"/>
          <w:color w:val="auto"/>
        </w:rPr>
        <w:t>ETS-Lindgren is an industry leader in providing its customers with the ability to identify, measure and control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magnetic, electromagnetic and acoustic energy.</w:t>
      </w:r>
    </w:p>
    <w:p>
      <w:pPr>
        <w:spacing w:after="0" w:line="131" w:lineRule="exact"/>
        <w:rPr>
          <w:sz w:val="20"/>
          <w:szCs w:val="20"/>
          <w:color w:val="auto"/>
        </w:rPr>
      </w:pPr>
    </w:p>
    <w:p>
      <w:pPr>
        <w:ind w:right="600"/>
        <w:spacing w:after="0" w:line="238" w:lineRule="auto"/>
        <w:rPr>
          <w:sz w:val="20"/>
          <w:szCs w:val="20"/>
          <w:color w:val="auto"/>
        </w:rPr>
      </w:pPr>
      <w:r>
        <w:rPr>
          <w:rFonts w:ascii="Times New Roman" w:cs="Times New Roman" w:eastAsia="Times New Roman" w:hAnsi="Times New Roman"/>
          <w:sz w:val="20"/>
          <w:szCs w:val="20"/>
          <w:color w:val="auto"/>
        </w:rPr>
        <w:t>We continue to operate with meaningful growth prospects in our primary served markets and with considerable financial flexibility. We continue to focus on new products that incorporate proprietary design and process technologies. Our Management is committed to delivering shareholder value through organic growth, ongoing performance improvement initiatives, and acquisitions.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 of 2023</w:t>
      </w:r>
    </w:p>
    <w:p>
      <w:pPr>
        <w:spacing w:after="0" w:line="134" w:lineRule="exact"/>
        <w:rPr>
          <w:sz w:val="20"/>
          <w:szCs w:val="20"/>
          <w:color w:val="auto"/>
        </w:rPr>
      </w:pPr>
    </w:p>
    <w:p>
      <w:pPr>
        <w:ind w:left="720" w:right="100" w:hanging="359"/>
        <w:spacing w:after="0" w:line="237"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Sales, net earnings and diluted earnings per share in 2023 were $956.0 million, $92.5 million and $3.58 per share, respectively, compared to sales, net earnings and diluted earnings per share in 2022 of $857.5 million, $82.3 million and $3.16 per share, respectively.</w:t>
      </w:r>
    </w:p>
    <w:p>
      <w:pPr>
        <w:spacing w:after="0" w:line="143" w:lineRule="exact"/>
        <w:rPr>
          <w:rFonts w:ascii="Arial" w:cs="Arial" w:eastAsia="Arial" w:hAnsi="Arial"/>
          <w:sz w:val="20"/>
          <w:szCs w:val="20"/>
          <w:color w:val="auto"/>
        </w:rPr>
      </w:pPr>
    </w:p>
    <w:p>
      <w:pPr>
        <w:ind w:left="720" w:right="400" w:hanging="359"/>
        <w:spacing w:after="0" w:line="235"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Diluted EPS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GAAP for 2023 increased 13.3% to $3.58, compared to Diluted EPS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GAAP for 2022 of $3.16.</w:t>
      </w:r>
    </w:p>
    <w:p>
      <w:pPr>
        <w:spacing w:after="0" w:line="143" w:lineRule="exact"/>
        <w:rPr>
          <w:rFonts w:ascii="Arial" w:cs="Arial" w:eastAsia="Arial" w:hAnsi="Arial"/>
          <w:sz w:val="20"/>
          <w:szCs w:val="20"/>
          <w:color w:val="auto"/>
        </w:rPr>
      </w:pPr>
    </w:p>
    <w:p>
      <w:pPr>
        <w:ind w:left="720" w:right="80" w:hanging="359"/>
        <w:spacing w:after="0" w:line="238"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Diluted EPS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As Adjusted for 2023 was $3.70 excluding $4.1 million of pretax charges (or $0.12 per share after tax), consisting of executive management transition costs and acquisition related costs at Corporate, CMT purchase accounting adjustments, and restructuring charges primarily within the A&amp;D segment. Diluted EPS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As Adjusted for 2022 was $3.21 excluding $1.3 million of pretax charges (or $0.05 per share after tax), consisting of Altanova and NEco purchase accounting adjustments, severance charges primarily at</w:t>
      </w:r>
    </w:p>
    <w:p>
      <w:pPr>
        <w:spacing w:after="0" w:line="10" w:lineRule="exact"/>
        <w:rPr>
          <w:rFonts w:ascii="Arial" w:cs="Arial" w:eastAsia="Arial" w:hAnsi="Arial"/>
          <w:sz w:val="20"/>
          <w:szCs w:val="20"/>
          <w:color w:val="auto"/>
        </w:rPr>
      </w:pPr>
    </w:p>
    <w:p>
      <w:pPr>
        <w:ind w:left="720"/>
        <w:spacing w:after="0" w:line="232" w:lineRule="auto"/>
        <w:rPr>
          <w:rFonts w:ascii="Arial" w:cs="Arial" w:eastAsia="Arial" w:hAnsi="Arial"/>
          <w:sz w:val="20"/>
          <w:szCs w:val="20"/>
          <w:color w:val="auto"/>
        </w:rPr>
      </w:pPr>
      <w:r>
        <w:rPr>
          <w:rFonts w:ascii="Arial" w:cs="Arial" w:eastAsia="Arial" w:hAnsi="Arial"/>
          <w:sz w:val="20"/>
          <w:szCs w:val="20"/>
          <w:color w:val="auto"/>
        </w:rPr>
        <w:t>VACCO and NRG, and acquisition and management transition costs at Corporate. See “</w:t>
      </w:r>
      <w:r>
        <w:rPr>
          <w:rFonts w:ascii="Times New Roman" w:cs="Times New Roman" w:eastAsia="Times New Roman" w:hAnsi="Times New Roman"/>
          <w:sz w:val="20"/>
          <w:szCs w:val="20"/>
          <w:i w:val="1"/>
          <w:iCs w:val="1"/>
          <w:color w:val="auto"/>
        </w:rPr>
        <w:t>Non-GAAP Financial</w:t>
      </w: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Measures</w:t>
      </w:r>
      <w:r>
        <w:rPr>
          <w:rFonts w:ascii="Arial" w:cs="Arial" w:eastAsia="Arial" w:hAnsi="Arial"/>
          <w:sz w:val="20"/>
          <w:szCs w:val="20"/>
          <w:color w:val="auto"/>
        </w:rPr>
        <w:t>” below.</w:t>
      </w:r>
    </w:p>
    <w:p>
      <w:pPr>
        <w:spacing w:after="0" w:line="25" w:lineRule="exact"/>
        <w:rPr>
          <w:sz w:val="20"/>
          <w:szCs w:val="20"/>
          <w:color w:val="auto"/>
        </w:rPr>
      </w:pPr>
    </w:p>
    <w:tbl>
      <w:tblPr>
        <w:tblLayout w:type="fixed"/>
        <w:tblInd w:w="960" w:type="dxa"/>
        <w:tblCellMar>
          <w:top w:w="0" w:type="dxa"/>
          <w:left w:w="0" w:type="dxa"/>
          <w:bottom w:w="0" w:type="dxa"/>
          <w:right w:w="0" w:type="dxa"/>
        </w:tblCellMar>
      </w:tblPr>
      <w:tr>
        <w:trPr>
          <w:trHeight w:val="231"/>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20"/>
                <w:szCs w:val="20"/>
                <w:color w:val="auto"/>
              </w:rPr>
              <w:t>Fiscal year ended</w:t>
            </w:r>
          </w:p>
        </w:tc>
      </w:tr>
      <w:tr>
        <w:trPr>
          <w:trHeight w:val="220"/>
        </w:trPr>
        <w:tc>
          <w:tcPr>
            <w:tcW w:w="592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(Dollars in millions)</w:t>
            </w:r>
          </w:p>
        </w:tc>
        <w:tc>
          <w:tcPr>
            <w:tcW w:w="100" w:type="dxa"/>
            <w:vAlign w:val="bottom"/>
          </w:tcPr>
          <w:p>
            <w:pPr>
              <w:spacing w:after="0"/>
              <w:rPr>
                <w:sz w:val="19"/>
                <w:szCs w:val="19"/>
                <w:color w:val="auto"/>
              </w:rPr>
            </w:pPr>
          </w:p>
        </w:tc>
        <w:tc>
          <w:tcPr>
            <w:tcW w:w="700" w:type="dxa"/>
            <w:vAlign w:val="bottom"/>
          </w:tcPr>
          <w:p>
            <w:pPr>
              <w:jc w:val="right"/>
              <w:ind w:right="99"/>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920" w:type="dxa"/>
            <w:vAlign w:val="bottom"/>
            <w:gridSpan w:val="2"/>
          </w:tcPr>
          <w:p>
            <w:pPr>
              <w:jc w:val="right"/>
              <w:ind w:right="59"/>
              <w:spacing w:after="0" w:line="220" w:lineRule="exact"/>
              <w:rPr>
                <w:sz w:val="20"/>
                <w:szCs w:val="20"/>
                <w:color w:val="auto"/>
              </w:rPr>
            </w:pPr>
            <w:r>
              <w:rPr>
                <w:rFonts w:ascii="Times New Roman" w:cs="Times New Roman" w:eastAsia="Times New Roman" w:hAnsi="Times New Roman"/>
                <w:sz w:val="20"/>
                <w:szCs w:val="20"/>
                <w:color w:val="auto"/>
              </w:rPr>
              <w:t>2022</w:t>
            </w:r>
          </w:p>
        </w:tc>
      </w:tr>
      <w:tr>
        <w:trPr>
          <w:trHeight w:val="221"/>
        </w:trPr>
        <w:tc>
          <w:tcPr>
            <w:tcW w:w="5720" w:type="dxa"/>
            <w:vAlign w:val="bottom"/>
            <w:tcBorders>
              <w:top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 xml:space="preserve">Diluted EPS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GAAP</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70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3.58</w:t>
            </w: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3.16</w:t>
            </w:r>
          </w:p>
        </w:tc>
      </w:tr>
      <w:tr>
        <w:trPr>
          <w:trHeight w:val="225"/>
        </w:trPr>
        <w:tc>
          <w:tcPr>
            <w:tcW w:w="592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Executive management transition costs &amp; acquisition related costs</w:t>
            </w:r>
          </w:p>
        </w:tc>
        <w:tc>
          <w:tcPr>
            <w:tcW w:w="100" w:type="dxa"/>
            <w:vAlign w:val="bottom"/>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0.07</w:t>
            </w:r>
          </w:p>
        </w:tc>
        <w:tc>
          <w:tcPr>
            <w:tcW w:w="9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0.02</w:t>
            </w:r>
          </w:p>
        </w:tc>
      </w:tr>
      <w:tr>
        <w:trPr>
          <w:trHeight w:val="23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Restructuring adjustments</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0.03</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0.01</w:t>
            </w:r>
          </w:p>
        </w:tc>
      </w:tr>
      <w:tr>
        <w:trPr>
          <w:trHeight w:val="230"/>
        </w:trPr>
        <w:tc>
          <w:tcPr>
            <w:tcW w:w="5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Purchase accounting adjustments</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0.02</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0.02</w:t>
            </w:r>
          </w:p>
        </w:tc>
      </w:tr>
      <w:tr>
        <w:trPr>
          <w:trHeight w:val="234"/>
        </w:trPr>
        <w:tc>
          <w:tcPr>
            <w:tcW w:w="590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 xml:space="preserve">Diluted EPS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As Adjusted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3.70</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3.21</w:t>
            </w:r>
          </w:p>
        </w:tc>
      </w:tr>
    </w:tbl>
    <w:p>
      <w:pPr>
        <w:spacing w:after="0" w:line="138" w:lineRule="exact"/>
        <w:rPr>
          <w:sz w:val="20"/>
          <w:szCs w:val="20"/>
          <w:color w:val="auto"/>
        </w:rPr>
      </w:pPr>
    </w:p>
    <w:p>
      <w:pPr>
        <w:ind w:left="720" w:right="240" w:hanging="359"/>
        <w:spacing w:after="0" w:line="235"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At September 30, 2023, cash on hand was $41.9 million and outstanding debt was $102.0 million, for a net debt position (total debt less cash on hand) of approximately $60.1 million.</w:t>
      </w:r>
    </w:p>
    <w:p>
      <w:pPr>
        <w:spacing w:after="0" w:line="144" w:lineRule="exact"/>
        <w:rPr>
          <w:rFonts w:ascii="Arial" w:cs="Arial" w:eastAsia="Arial" w:hAnsi="Arial"/>
          <w:sz w:val="20"/>
          <w:szCs w:val="20"/>
          <w:color w:val="auto"/>
        </w:rPr>
      </w:pPr>
    </w:p>
    <w:p>
      <w:pPr>
        <w:jc w:val="both"/>
        <w:ind w:left="720" w:right="120" w:hanging="359"/>
        <w:spacing w:after="0" w:line="236"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Entered orders for 2023 were $1,033 million resulting in a book-to-bill ratio of 1.08x. Backlog at September 30, 2023 was $772.4 million, an increase of $77.4 million, or 11.1%, compared to backlog of $695.0 million at September 30, 2022.</w:t>
      </w:r>
    </w:p>
    <w:p>
      <w:pPr>
        <w:spacing w:after="0" w:line="136" w:lineRule="exact"/>
        <w:rPr>
          <w:rFonts w:ascii="Arial" w:cs="Arial" w:eastAsia="Arial" w:hAnsi="Arial"/>
          <w:sz w:val="20"/>
          <w:szCs w:val="20"/>
          <w:color w:val="auto"/>
        </w:rPr>
      </w:pPr>
    </w:p>
    <w:p>
      <w:pPr>
        <w:ind w:left="720" w:hanging="359"/>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 declared dividends of $0.32 per share during 2023, totaling $8.3 million in dividend payments.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9520"/>
          </w:cols>
          <w:pgMar w:left="1440" w:top="1440" w:right="1280" w:bottom="0" w:gutter="0" w:footer="0" w:header="0"/>
        </w:sectPr>
      </w:pPr>
    </w:p>
    <w:bookmarkStart w:id="28" w:name="page29"/>
    <w:bookmarkEnd w:id="28"/>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center"/>
              <w:ind w:left="279"/>
              <w:spacing w:after="0"/>
              <w:rPr>
                <w:sz w:val="20"/>
                <w:szCs w:val="20"/>
                <w:color w:val="auto"/>
              </w:rPr>
            </w:pPr>
            <w:r>
              <w:rPr>
                <w:rFonts w:ascii="Arial" w:cs="Arial" w:eastAsia="Arial" w:hAnsi="Arial"/>
                <w:sz w:val="20"/>
                <w:szCs w:val="20"/>
                <w:b w:val="1"/>
                <w:bCs w:val="1"/>
                <w:color w:val="auto"/>
                <w:w w:val="84"/>
              </w:rPr>
              <w:t>Change</w:t>
            </w:r>
          </w:p>
        </w:tc>
        <w:tc>
          <w:tcPr>
            <w:tcW w:w="280" w:type="dxa"/>
            <w:vAlign w:val="bottom"/>
          </w:tcPr>
          <w:p>
            <w:pPr>
              <w:spacing w:after="0"/>
              <w:rPr>
                <w:sz w:val="19"/>
                <w:szCs w:val="19"/>
                <w:color w:val="auto"/>
              </w:rPr>
            </w:pPr>
          </w:p>
        </w:tc>
      </w:tr>
      <w:tr>
        <w:trPr>
          <w:trHeight w:val="231"/>
        </w:trPr>
        <w:tc>
          <w:tcPr>
            <w:tcW w:w="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20"/>
                <w:szCs w:val="20"/>
                <w:color w:val="auto"/>
                <w:w w:val="91"/>
              </w:rPr>
              <w:t>Fiscal year ended</w:t>
            </w:r>
          </w:p>
        </w:tc>
        <w:tc>
          <w:tcPr>
            <w:tcW w:w="1260" w:type="dxa"/>
            <w:vAlign w:val="bottom"/>
            <w:gridSpan w:val="4"/>
          </w:tcPr>
          <w:p>
            <w:pPr>
              <w:jc w:val="center"/>
              <w:ind w:left="579"/>
              <w:spacing w:after="0"/>
              <w:rPr>
                <w:sz w:val="20"/>
                <w:szCs w:val="20"/>
                <w:color w:val="auto"/>
              </w:rPr>
            </w:pPr>
            <w:r>
              <w:rPr>
                <w:rFonts w:ascii="Arial" w:cs="Arial" w:eastAsia="Arial" w:hAnsi="Arial"/>
                <w:sz w:val="20"/>
                <w:szCs w:val="20"/>
                <w:b w:val="1"/>
                <w:bCs w:val="1"/>
                <w:color w:val="auto"/>
                <w:w w:val="85"/>
              </w:rPr>
              <w:t>2023</w:t>
            </w:r>
          </w:p>
        </w:tc>
        <w:tc>
          <w:tcPr>
            <w:tcW w:w="280" w:type="dxa"/>
            <w:vAlign w:val="bottom"/>
          </w:tcPr>
          <w:p>
            <w:pPr>
              <w:spacing w:after="0"/>
              <w:rPr>
                <w:sz w:val="20"/>
                <w:szCs w:val="20"/>
                <w:color w:val="auto"/>
              </w:rPr>
            </w:pPr>
          </w:p>
        </w:tc>
      </w:tr>
      <w:tr>
        <w:trPr>
          <w:trHeight w:val="249"/>
        </w:trPr>
        <w:tc>
          <w:tcPr>
            <w:tcW w:w="280" w:type="dxa"/>
            <w:vAlign w:val="bottom"/>
          </w:tcPr>
          <w:p>
            <w:pPr>
              <w:spacing w:after="0"/>
              <w:rPr>
                <w:sz w:val="21"/>
                <w:szCs w:val="21"/>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millions)</w:t>
            </w:r>
          </w:p>
        </w:tc>
        <w:tc>
          <w:tcPr>
            <w:tcW w:w="80" w:type="dxa"/>
            <w:vAlign w:val="bottom"/>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140" w:type="dxa"/>
            <w:vAlign w:val="bottom"/>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2022</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239"/>
              <w:spacing w:after="0"/>
              <w:rPr>
                <w:sz w:val="20"/>
                <w:szCs w:val="20"/>
                <w:color w:val="auto"/>
              </w:rPr>
            </w:pPr>
            <w:r>
              <w:rPr>
                <w:rFonts w:ascii="Arial" w:cs="Arial" w:eastAsia="Arial" w:hAnsi="Arial"/>
                <w:sz w:val="20"/>
                <w:szCs w:val="20"/>
                <w:b w:val="1"/>
                <w:bCs w:val="1"/>
                <w:color w:val="auto"/>
                <w:w w:val="84"/>
              </w:rPr>
              <w:t>vs. 2022</w:t>
            </w:r>
          </w:p>
        </w:tc>
        <w:tc>
          <w:tcPr>
            <w:tcW w:w="280" w:type="dxa"/>
            <w:vAlign w:val="bottom"/>
            <w:tcBorders>
              <w:bottom w:val="single" w:sz="8" w:color="auto"/>
            </w:tcBorders>
          </w:tcPr>
          <w:p>
            <w:pPr>
              <w:spacing w:after="0"/>
              <w:rPr>
                <w:sz w:val="21"/>
                <w:szCs w:val="21"/>
                <w:color w:val="auto"/>
              </w:rPr>
            </w:pPr>
          </w:p>
        </w:tc>
      </w:tr>
      <w:tr>
        <w:trPr>
          <w:trHeight w:val="230"/>
        </w:trPr>
        <w:tc>
          <w:tcPr>
            <w:tcW w:w="2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20"/>
                <w:szCs w:val="20"/>
                <w:color w:val="auto"/>
              </w:rPr>
              <w:t>A&amp;D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392.4</w:t>
            </w: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351.4</w:t>
            </w:r>
          </w:p>
        </w:tc>
        <w:tc>
          <w:tcPr>
            <w:tcW w:w="1260" w:type="dxa"/>
            <w:vAlign w:val="bottom"/>
            <w:gridSpan w:val="4"/>
          </w:tcPr>
          <w:p>
            <w:pPr>
              <w:jc w:val="right"/>
              <w:spacing w:after="0"/>
              <w:rPr>
                <w:sz w:val="20"/>
                <w:szCs w:val="20"/>
                <w:color w:val="auto"/>
              </w:rPr>
            </w:pPr>
            <w:r>
              <w:rPr>
                <w:rFonts w:ascii="Arial" w:cs="Arial" w:eastAsia="Arial" w:hAnsi="Arial"/>
                <w:sz w:val="20"/>
                <w:szCs w:val="20"/>
                <w:b w:val="1"/>
                <w:bCs w:val="1"/>
                <w:color w:val="auto"/>
              </w:rPr>
              <w:t>11.7</w:t>
            </w:r>
          </w:p>
        </w:tc>
        <w:tc>
          <w:tcPr>
            <w:tcW w:w="280" w:type="dxa"/>
            <w:vAlign w:val="bottom"/>
          </w:tcPr>
          <w:p>
            <w:pPr>
              <w:jc w:val="right"/>
              <w:ind w:right="44"/>
              <w:spacing w:after="0"/>
              <w:rPr>
                <w:sz w:val="20"/>
                <w:szCs w:val="20"/>
                <w:color w:val="auto"/>
              </w:rPr>
            </w:pPr>
            <w:r>
              <w:rPr>
                <w:rFonts w:ascii="Arial" w:cs="Arial" w:eastAsia="Arial" w:hAnsi="Arial"/>
                <w:sz w:val="19"/>
                <w:szCs w:val="19"/>
                <w:b w:val="1"/>
                <w:bCs w:val="1"/>
                <w:color w:val="auto"/>
                <w:w w:val="70"/>
              </w:rPr>
              <w:t>%</w:t>
            </w:r>
          </w:p>
        </w:tc>
      </w:tr>
      <w:tr>
        <w:trPr>
          <w:trHeight w:val="230"/>
        </w:trPr>
        <w:tc>
          <w:tcPr>
            <w:tcW w:w="3620" w:type="dxa"/>
            <w:vAlign w:val="bottom"/>
            <w:gridSpan w:val="4"/>
          </w:tcPr>
          <w:p>
            <w:pPr>
              <w:ind w:left="280"/>
              <w:spacing w:after="0"/>
              <w:rPr>
                <w:sz w:val="20"/>
                <w:szCs w:val="20"/>
                <w:color w:val="auto"/>
              </w:rPr>
            </w:pPr>
            <w:r>
              <w:rPr>
                <w:rFonts w:ascii="Arial" w:cs="Arial" w:eastAsia="Arial" w:hAnsi="Arial"/>
                <w:sz w:val="20"/>
                <w:szCs w:val="20"/>
                <w:color w:val="auto"/>
              </w:rPr>
              <w:t>USG</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342.3</w:t>
            </w:r>
          </w:p>
        </w:tc>
        <w:tc>
          <w:tcPr>
            <w:tcW w:w="1140" w:type="dxa"/>
            <w:vAlign w:val="bottom"/>
            <w:gridSpan w:val="4"/>
          </w:tcPr>
          <w:p>
            <w:pPr>
              <w:jc w:val="right"/>
              <w:spacing w:after="0"/>
              <w:rPr>
                <w:sz w:val="20"/>
                <w:szCs w:val="20"/>
                <w:color w:val="auto"/>
              </w:rPr>
            </w:pPr>
            <w:r>
              <w:rPr>
                <w:rFonts w:ascii="Arial" w:cs="Arial" w:eastAsia="Arial" w:hAnsi="Arial"/>
                <w:sz w:val="20"/>
                <w:szCs w:val="20"/>
                <w:color w:val="auto"/>
              </w:rPr>
              <w:t>278.4</w:t>
            </w:r>
          </w:p>
        </w:tc>
        <w:tc>
          <w:tcPr>
            <w:tcW w:w="1260" w:type="dxa"/>
            <w:vAlign w:val="bottom"/>
            <w:gridSpan w:val="4"/>
          </w:tcPr>
          <w:p>
            <w:pPr>
              <w:jc w:val="right"/>
              <w:spacing w:after="0"/>
              <w:rPr>
                <w:sz w:val="20"/>
                <w:szCs w:val="20"/>
                <w:color w:val="auto"/>
              </w:rPr>
            </w:pPr>
            <w:r>
              <w:rPr>
                <w:rFonts w:ascii="Arial" w:cs="Arial" w:eastAsia="Arial" w:hAnsi="Arial"/>
                <w:sz w:val="20"/>
                <w:szCs w:val="20"/>
                <w:b w:val="1"/>
                <w:bCs w:val="1"/>
                <w:color w:val="auto"/>
              </w:rPr>
              <w:t>23.0</w:t>
            </w:r>
          </w:p>
        </w:tc>
        <w:tc>
          <w:tcPr>
            <w:tcW w:w="280" w:type="dxa"/>
            <w:vAlign w:val="bottom"/>
          </w:tcPr>
          <w:p>
            <w:pPr>
              <w:jc w:val="right"/>
              <w:ind w:right="44"/>
              <w:spacing w:after="0"/>
              <w:rPr>
                <w:sz w:val="20"/>
                <w:szCs w:val="20"/>
                <w:color w:val="auto"/>
              </w:rPr>
            </w:pPr>
            <w:r>
              <w:rPr>
                <w:rFonts w:ascii="Arial" w:cs="Arial" w:eastAsia="Arial" w:hAnsi="Arial"/>
                <w:sz w:val="19"/>
                <w:szCs w:val="19"/>
                <w:b w:val="1"/>
                <w:bCs w:val="1"/>
                <w:color w:val="auto"/>
                <w:w w:val="70"/>
              </w:rPr>
              <w:t>%</w:t>
            </w:r>
          </w:p>
        </w:tc>
      </w:tr>
      <w:tr>
        <w:trPr>
          <w:trHeight w:val="270"/>
        </w:trPr>
        <w:tc>
          <w:tcPr>
            <w:tcW w:w="3620" w:type="dxa"/>
            <w:vAlign w:val="bottom"/>
            <w:gridSpan w:val="4"/>
          </w:tcPr>
          <w:p>
            <w:pPr>
              <w:ind w:left="280"/>
              <w:spacing w:after="0"/>
              <w:rPr>
                <w:sz w:val="20"/>
                <w:szCs w:val="20"/>
                <w:color w:val="auto"/>
              </w:rPr>
            </w:pPr>
            <w:r>
              <w:rPr>
                <w:rFonts w:ascii="Arial" w:cs="Arial" w:eastAsia="Arial" w:hAnsi="Arial"/>
                <w:sz w:val="20"/>
                <w:szCs w:val="20"/>
                <w:color w:val="auto"/>
              </w:rPr>
              <w:t>Test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221.3</w:t>
            </w:r>
          </w:p>
        </w:tc>
        <w:tc>
          <w:tcPr>
            <w:tcW w:w="1140" w:type="dxa"/>
            <w:vAlign w:val="bottom"/>
            <w:gridSpan w:val="4"/>
          </w:tcPr>
          <w:p>
            <w:pPr>
              <w:jc w:val="right"/>
              <w:spacing w:after="0"/>
              <w:rPr>
                <w:sz w:val="20"/>
                <w:szCs w:val="20"/>
                <w:color w:val="auto"/>
              </w:rPr>
            </w:pPr>
            <w:r>
              <w:rPr>
                <w:rFonts w:ascii="Arial" w:cs="Arial" w:eastAsia="Arial" w:hAnsi="Arial"/>
                <w:sz w:val="20"/>
                <w:szCs w:val="20"/>
                <w:color w:val="auto"/>
              </w:rPr>
              <w:t>227.7</w:t>
            </w:r>
          </w:p>
        </w:tc>
        <w:tc>
          <w:tcPr>
            <w:tcW w:w="1260" w:type="dxa"/>
            <w:vAlign w:val="bottom"/>
            <w:gridSpan w:val="4"/>
          </w:tcPr>
          <w:p>
            <w:pPr>
              <w:jc w:val="right"/>
              <w:spacing w:after="0"/>
              <w:rPr>
                <w:sz w:val="20"/>
                <w:szCs w:val="20"/>
                <w:color w:val="auto"/>
              </w:rPr>
            </w:pPr>
            <w:r>
              <w:rPr>
                <w:rFonts w:ascii="Arial" w:cs="Arial" w:eastAsia="Arial" w:hAnsi="Arial"/>
                <w:sz w:val="20"/>
                <w:szCs w:val="20"/>
                <w:b w:val="1"/>
                <w:bCs w:val="1"/>
                <w:color w:val="auto"/>
              </w:rPr>
              <w:t>(2.8)</w:t>
            </w:r>
          </w:p>
        </w:tc>
        <w:tc>
          <w:tcPr>
            <w:tcW w:w="280" w:type="dxa"/>
            <w:vAlign w:val="bottom"/>
          </w:tcPr>
          <w:p>
            <w:pPr>
              <w:jc w:val="right"/>
              <w:ind w:right="44"/>
              <w:spacing w:after="0"/>
              <w:rPr>
                <w:sz w:val="20"/>
                <w:szCs w:val="20"/>
                <w:color w:val="auto"/>
              </w:rPr>
            </w:pPr>
            <w:r>
              <w:rPr>
                <w:rFonts w:ascii="Arial" w:cs="Arial" w:eastAsia="Arial" w:hAnsi="Arial"/>
                <w:sz w:val="19"/>
                <w:szCs w:val="19"/>
                <w:b w:val="1"/>
                <w:bCs w:val="1"/>
                <w:color w:val="auto"/>
                <w:w w:val="70"/>
              </w:rPr>
              <w:t>%</w:t>
            </w:r>
          </w:p>
        </w:tc>
      </w:tr>
      <w:tr>
        <w:trPr>
          <w:trHeight w:val="201"/>
        </w:trPr>
        <w:tc>
          <w:tcPr>
            <w:tcW w:w="3620" w:type="dxa"/>
            <w:vAlign w:val="bottom"/>
            <w:gridSpan w:val="4"/>
          </w:tcPr>
          <w:p>
            <w:pPr>
              <w:ind w:left="280"/>
              <w:spacing w:after="0" w:line="195" w:lineRule="exact"/>
              <w:rPr>
                <w:sz w:val="20"/>
                <w:szCs w:val="20"/>
                <w:color w:val="auto"/>
              </w:rPr>
            </w:pPr>
            <w:r>
              <w:rPr>
                <w:rFonts w:ascii="Arial" w:cs="Arial" w:eastAsia="Arial" w:hAnsi="Arial"/>
                <w:sz w:val="20"/>
                <w:szCs w:val="20"/>
                <w:color w:val="auto"/>
              </w:rPr>
              <w:t>Total</w:t>
            </w: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b w:val="1"/>
                <w:bCs w:val="1"/>
                <w:color w:val="auto"/>
              </w:rPr>
              <w:t>956.0</w:t>
            </w:r>
          </w:p>
        </w:tc>
        <w:tc>
          <w:tcPr>
            <w:tcW w:w="2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857.5</w:t>
            </w:r>
          </w:p>
        </w:tc>
        <w:tc>
          <w:tcPr>
            <w:tcW w:w="2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b w:val="1"/>
                <w:bCs w:val="1"/>
                <w:color w:val="auto"/>
              </w:rPr>
              <w:t>11.5</w:t>
            </w:r>
          </w:p>
        </w:tc>
        <w:tc>
          <w:tcPr>
            <w:tcW w:w="280" w:type="dxa"/>
            <w:vAlign w:val="bottom"/>
            <w:tcBorders>
              <w:top w:val="single" w:sz="8" w:color="auto"/>
            </w:tcBorders>
          </w:tcPr>
          <w:p>
            <w:pPr>
              <w:jc w:val="right"/>
              <w:ind w:right="44"/>
              <w:spacing w:after="0" w:line="202" w:lineRule="exact"/>
              <w:rPr>
                <w:sz w:val="20"/>
                <w:szCs w:val="20"/>
                <w:color w:val="auto"/>
              </w:rPr>
            </w:pPr>
            <w:r>
              <w:rPr>
                <w:rFonts w:ascii="Arial" w:cs="Arial" w:eastAsia="Arial" w:hAnsi="Arial"/>
                <w:sz w:val="19"/>
                <w:szCs w:val="19"/>
                <w:b w:val="1"/>
                <w:bCs w:val="1"/>
                <w:color w:val="auto"/>
                <w:w w:val="70"/>
              </w:rPr>
              <w:t>%</w:t>
            </w:r>
          </w:p>
        </w:tc>
      </w:tr>
      <w:tr>
        <w:trPr>
          <w:trHeight w:val="20"/>
        </w:trPr>
        <w:tc>
          <w:tcPr>
            <w:tcW w:w="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0"/>
          <w:szCs w:val="20"/>
          <w:color w:val="auto"/>
        </w:rPr>
        <w:t>Net sales increased $98.5 million, or 11.5%, to $956.0 million in 2023 from $857.5 million in 2022, with the CMT acquisition adding approximately $10 million of revenue in 2023. The increase in net sales in 2023 as compared to 2022 was mainly due to a $63.9 million increase in the USG segment and a $41.0 million increase in the A&amp;D segment, partially offset by a $6.4 million decrease in the Test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A&amp;D</w:t>
      </w:r>
      <w:r>
        <w:rPr>
          <w:rFonts w:ascii="Arial" w:cs="Arial" w:eastAsia="Arial" w:hAnsi="Arial"/>
          <w:sz w:val="18"/>
          <w:szCs w:val="18"/>
          <w:i w:val="1"/>
          <w:iCs w:val="1"/>
          <w:color w:val="auto"/>
        </w:rPr>
        <w:t>.</w:t>
      </w:r>
    </w:p>
    <w:p>
      <w:pPr>
        <w:spacing w:after="0" w:line="13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The $41 million, or 11.7%, increase in net sales in 2023 as compared to 2022 was mainly due to a $21.8 million increase in net sales at Mayday, a $12.5 million increase in net sales at Crissair and an $11.2 million increase in net sales at PTI, all primarily due to an increase in commercial aerospace sales driven by the rebound from the COVID-19 pandemic; a $6.5 million increase in net sales at Globe/Westland combined, partially offset by an $11.0 million decrease in net sales at VACCO driven mainly by margin erosion on certain space development contracts.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USG</w:t>
      </w:r>
      <w:r>
        <w:rPr>
          <w:rFonts w:ascii="Arial" w:cs="Arial" w:eastAsia="Arial" w:hAnsi="Arial"/>
          <w:sz w:val="18"/>
          <w:szCs w:val="18"/>
          <w:i w:val="1"/>
          <w:iCs w:val="1"/>
          <w:color w:val="auto"/>
        </w:rPr>
        <w:t>.</w:t>
      </w:r>
    </w:p>
    <w:p>
      <w:pPr>
        <w:spacing w:after="0" w:line="131"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color w:val="auto"/>
        </w:rPr>
        <w:t>The $63.9 million, or 23.0%, increase in net sales in 2023 as compared to 2022 was mainly due to a $41.8 million increase in net sales at Doble mainly due to higher shipments of condition monitoring and protection testing products and service revenue, and a $22.1 million increase in net sales at NRG driven by higher shipments of wind energy assessment towers and sensors, and solar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Test</w:t>
      </w:r>
      <w:r>
        <w:rPr>
          <w:rFonts w:ascii="Arial" w:cs="Arial" w:eastAsia="Arial" w:hAnsi="Arial"/>
          <w:sz w:val="18"/>
          <w:szCs w:val="18"/>
          <w:i w:val="1"/>
          <w:iCs w:val="1"/>
          <w:color w:val="auto"/>
        </w:rPr>
        <w:t>.</w:t>
      </w:r>
    </w:p>
    <w:p>
      <w:pPr>
        <w:spacing w:after="0" w:line="13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 xml:space="preserve">The $6.4 million, or (2.8)%, decrease in net sales in 2023 as compared to 2022 was due to a $15.3 million decrease in </w:t>
      </w:r>
      <w:r>
        <w:rPr>
          <w:rFonts w:ascii="Arial" w:cs="Arial" w:eastAsia="Arial" w:hAnsi="Arial"/>
          <w:sz w:val="20"/>
          <w:szCs w:val="20"/>
          <w:color w:val="auto"/>
        </w:rPr>
        <w:t>net sales from the Company’s Asian operations due to COVID</w:t>
      </w:r>
      <w:r>
        <w:rPr>
          <w:rFonts w:ascii="Times New Roman" w:cs="Times New Roman" w:eastAsia="Times New Roman" w:hAnsi="Times New Roman"/>
          <w:sz w:val="20"/>
          <w:szCs w:val="20"/>
          <w:color w:val="auto"/>
        </w:rPr>
        <w:t>-19 disruptions in China and a $2.0 million decrease in</w:t>
      </w:r>
      <w:r>
        <w:rPr>
          <w:rFonts w:ascii="Arial" w:cs="Arial" w:eastAsia="Arial" w:hAnsi="Arial"/>
          <w:sz w:val="20"/>
          <w:szCs w:val="20"/>
          <w:color w:val="auto"/>
        </w:rPr>
        <w:t xml:space="preserve"> net sales from the Company’s U.S. operations, partially offset by a $10.9 million increase in net sales from the segment’s European operations due to timing of test and measurement chamber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and Backlog</w:t>
      </w:r>
    </w:p>
    <w:p>
      <w:pPr>
        <w:spacing w:after="0" w:line="128"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0"/>
          <w:szCs w:val="20"/>
          <w:color w:val="auto"/>
        </w:rPr>
        <w:t>New orders received were $1,033 million in 2023 and $960.5 million in 2022. Order backlog was $772.4 million at September 30, 2023, compared to order backlog of $695.0 million at September 30, 2022. Orders are entered into backlog as firm purchase order commitments are received.</w:t>
      </w:r>
    </w:p>
    <w:p>
      <w:pPr>
        <w:spacing w:after="0" w:line="126"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20"/>
          <w:szCs w:val="20"/>
          <w:color w:val="auto"/>
        </w:rPr>
        <w:t>By operating segment, 2023 orders were $468.2 million related to A&amp;D products (including $7.0 million of acquired backlog), $347.6 million related to USG products, and $217.5 million related to Test products and 2022 orders were $392.5 million related to A&amp;D products, $314.9 million related to USG products, and $253.1 million related to Test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Selling, general and administrative (SG&amp;A) expenses were $217.1 million, or 22.7% of net sales, in 2023, and $195.1 million, or 22.7% of net sales, in 2022. The increase in SG&amp;A expenses in 2023 as compared to 2022 was mainly due to higher expenses within the USG segment as a result of increased engineering and commission expenses and wage and material inflation and higher expenses at Corporate due to executive management transition costs and professional fees.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 of intangible assets was $29.0 million in 2023 and $25.9 million in 2022, including $18.5 million and</w:t>
      </w:r>
    </w:p>
    <w:p>
      <w:pPr>
        <w:spacing w:after="0" w:line="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 xml:space="preserve">$19.3 million of amortization of acquired intangible assets in 2023 and 2022, respectively, related to our acquisitions. </w:t>
      </w:r>
      <w:r>
        <w:rPr>
          <w:rFonts w:ascii="Arial" w:cs="Arial" w:eastAsia="Arial" w:hAnsi="Arial"/>
          <w:sz w:val="20"/>
          <w:szCs w:val="20"/>
          <w:color w:val="auto"/>
        </w:rPr>
        <w:t xml:space="preserve">The amortization of acquired intangible assets related to acquisitions is included in the Corporate segment’s results. </w:t>
      </w:r>
      <w:r>
        <w:rPr>
          <w:rFonts w:ascii="Times New Roman" w:cs="Times New Roman" w:eastAsia="Times New Roman" w:hAnsi="Times New Roman"/>
          <w:sz w:val="20"/>
          <w:szCs w:val="20"/>
          <w:color w:val="auto"/>
        </w:rPr>
        <w:t>The remaining amortization expenses relate to other identifiable intangible assets (primarily software, patents and licenses), which are included in the resp</w:t>
      </w:r>
      <w:r>
        <w:rPr>
          <w:rFonts w:ascii="Arial" w:cs="Arial" w:eastAsia="Arial" w:hAnsi="Arial"/>
          <w:sz w:val="20"/>
          <w:szCs w:val="20"/>
          <w:color w:val="auto"/>
        </w:rPr>
        <w:t>ective segment’s operating results. The</w:t>
      </w:r>
      <w:r>
        <w:rPr>
          <w:rFonts w:ascii="Times New Roman" w:cs="Times New Roman" w:eastAsia="Times New Roman" w:hAnsi="Times New Roman"/>
          <w:sz w:val="20"/>
          <w:szCs w:val="20"/>
          <w:color w:val="auto"/>
        </w:rPr>
        <w:t xml:space="preserve"> increase in amortization expense in 2023 as compared to 2022 was mainly due to an increase in amortization of capitalized software.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9540"/>
          </w:cols>
          <w:pgMar w:left="1440" w:top="1440" w:right="1260"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Other Income or Expenses, Net</w:t>
      </w:r>
    </w:p>
    <w:p>
      <w:pPr>
        <w:spacing w:after="0" w:line="12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Other expenses, net, was $1.9 million in 2023, compared to other income, net, of $(0.3) million in 2022. The principal component of other expenses, net, in 2023 included approximately $1.0 million of restructuring costs within the A&amp;D segment and USG segment (mainly severance charges). There were no individually significant items in other income, net in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2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The information reported herein includes the financial measures Diluted EPS As Adjusted, which we define as Diluted EPS excluding the per-share net impact of discrete compensation and acquisition related costs at Corporate, purchase accounting charges related to the CMT acquisition, and restructuring charges primarily within the A&amp;D segment (primarily severance) in 2023; the per-share net impact of discrete compensation and acquisition related costs, severance charges primarily within the A&amp;D segment, and p</w:t>
      </w:r>
      <w:r>
        <w:rPr>
          <w:rFonts w:ascii="Arial" w:cs="Arial" w:eastAsia="Arial" w:hAnsi="Arial"/>
          <w:sz w:val="19"/>
          <w:szCs w:val="19"/>
          <w:color w:val="auto"/>
        </w:rPr>
        <w:t>urchase accounting charges related to the Company’s</w:t>
      </w:r>
      <w:r>
        <w:rPr>
          <w:rFonts w:ascii="Times New Roman" w:cs="Times New Roman" w:eastAsia="Times New Roman" w:hAnsi="Times New Roman"/>
          <w:sz w:val="19"/>
          <w:szCs w:val="19"/>
          <w:color w:val="auto"/>
        </w:rPr>
        <w:t xml:space="preserve"> acquisitions (Altanova and NEco) in 2022; and the per-share net impact of discrete compensation and acquisition related costs, facility consolidation charges within the USG segment, and purchase accounting charges related to the </w:t>
      </w:r>
      <w:r>
        <w:rPr>
          <w:rFonts w:ascii="Arial" w:cs="Arial" w:eastAsia="Arial" w:hAnsi="Arial"/>
          <w:sz w:val="19"/>
          <w:szCs w:val="19"/>
          <w:color w:val="auto"/>
        </w:rPr>
        <w:t xml:space="preserve">Company’s acquisitions </w:t>
      </w:r>
      <w:r>
        <w:rPr>
          <w:rFonts w:ascii="Times New Roman" w:cs="Times New Roman" w:eastAsia="Times New Roman" w:hAnsi="Times New Roman"/>
          <w:sz w:val="19"/>
          <w:szCs w:val="19"/>
          <w:color w:val="auto"/>
        </w:rPr>
        <w:t>of Altanova and Phenix in 2021, partially offset by a gain on the final installment of the Doble</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 xml:space="preserve">Watertown, MA property sale; EBIT, which we define as earnings before interest and taxes; and EBIT margin, which we define as EBIT expressed as a percentage of net sales. Diluted EPS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As Adjusted, EBIT on a consolidated basis, and EBIT margin on a consolidated basis are not recognized in accordance with U.S. generally accepted accounting principles (GAAP). However, we believe that EBIT and EBIT margin provide investors and Management with valuable information for assessing our operating results. Management evaluates the performance of our operating segments based on EBIT and believes that EBIT is useful to investors to demonstrate the operational profitability of our business segments by excluding interest and taxes, which are generally accounted for across the entire company on a consolidated basis. EBIT is also one of the measures Management uses to determine resource allocations and incentive compensation. We believe that the presentation of EBIT, EBIT margin and Diluted EPS </w:t>
      </w:r>
      <w:r>
        <w:rPr>
          <w:rFonts w:ascii="Arial" w:cs="Arial" w:eastAsia="Arial" w:hAnsi="Arial"/>
          <w:sz w:val="19"/>
          <w:szCs w:val="19"/>
          <w:color w:val="auto"/>
        </w:rPr>
        <w:t>–</w:t>
      </w:r>
      <w:r>
        <w:rPr>
          <w:rFonts w:ascii="Times New Roman" w:cs="Times New Roman" w:eastAsia="Times New Roman" w:hAnsi="Times New Roman"/>
          <w:sz w:val="19"/>
          <w:szCs w:val="19"/>
          <w:color w:val="auto"/>
        </w:rPr>
        <w:t>As Adjusted provides important supplemental information to investors by facilitating comparisons with other companies, many of which use similar non-GAAP financial measures to supplement their GAAP results. The use of non-GAAP financial measures is not intended to replace any measures of performance determined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EBIT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EBIT to a GAAP financial measure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millions)</w:t>
            </w:r>
          </w:p>
        </w:tc>
        <w:tc>
          <w:tcPr>
            <w:tcW w:w="1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b w:val="1"/>
                <w:bCs w:val="1"/>
                <w:color w:val="auto"/>
              </w:rPr>
              <w:t>2023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0"/>
                <w:szCs w:val="20"/>
                <w:color w:val="auto"/>
              </w:rPr>
            </w:pPr>
            <w:r>
              <w:rPr>
                <w:rFonts w:ascii="Arial" w:cs="Arial" w:eastAsia="Arial" w:hAnsi="Arial"/>
                <w:sz w:val="20"/>
                <w:szCs w:val="20"/>
                <w:color w:val="auto"/>
              </w:rPr>
              <w:t>EBIT</w:t>
            </w:r>
          </w:p>
        </w:tc>
        <w:tc>
          <w:tcPr>
            <w:tcW w:w="1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gridSpan w:val="2"/>
          </w:tcPr>
          <w:p>
            <w:pPr>
              <w:jc w:val="right"/>
              <w:ind w:right="239"/>
              <w:spacing w:after="0"/>
              <w:rPr>
                <w:sz w:val="20"/>
                <w:szCs w:val="20"/>
                <w:color w:val="auto"/>
              </w:rPr>
            </w:pPr>
            <w:r>
              <w:rPr>
                <w:rFonts w:ascii="Arial" w:cs="Arial" w:eastAsia="Arial" w:hAnsi="Arial"/>
                <w:sz w:val="20"/>
                <w:szCs w:val="20"/>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20"/>
                <w:szCs w:val="20"/>
                <w:b w:val="1"/>
                <w:bCs w:val="1"/>
                <w:color w:val="auto"/>
              </w:rPr>
              <w:t>127.7</w:t>
            </w: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111.3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940" w:type="dxa"/>
            <w:vAlign w:val="bottom"/>
          </w:tcPr>
          <w:p>
            <w:pPr>
              <w:spacing w:after="0"/>
              <w:rPr>
                <w:sz w:val="20"/>
                <w:szCs w:val="20"/>
                <w:color w:val="auto"/>
              </w:rPr>
            </w:pPr>
            <w:r>
              <w:rPr>
                <w:rFonts w:ascii="Arial" w:cs="Arial" w:eastAsia="Arial" w:hAnsi="Arial"/>
                <w:sz w:val="20"/>
                <w:szCs w:val="20"/>
                <w:color w:val="auto"/>
              </w:rPr>
              <w:t>Less: Interest expense, net</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(8.8)</w:t>
            </w: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45"/>
        </w:trPr>
        <w:tc>
          <w:tcPr>
            <w:tcW w:w="4940" w:type="dxa"/>
            <w:vAlign w:val="bottom"/>
          </w:tcPr>
          <w:p>
            <w:pPr>
              <w:spacing w:after="0"/>
              <w:rPr>
                <w:sz w:val="20"/>
                <w:szCs w:val="20"/>
                <w:color w:val="auto"/>
              </w:rPr>
            </w:pPr>
            <w:r>
              <w:rPr>
                <w:rFonts w:ascii="Arial" w:cs="Arial" w:eastAsia="Arial" w:hAnsi="Arial"/>
                <w:sz w:val="20"/>
                <w:szCs w:val="20"/>
                <w:color w:val="auto"/>
              </w:rPr>
              <w:t>Less: Income tax expense</w:t>
            </w:r>
          </w:p>
        </w:tc>
        <w:tc>
          <w:tcPr>
            <w:tcW w:w="1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(26.4)</w:t>
            </w: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(24.1)</w:t>
            </w: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0"/>
                <w:szCs w:val="20"/>
                <w:color w:val="auto"/>
              </w:rPr>
            </w:pPr>
            <w:r>
              <w:rPr>
                <w:rFonts w:ascii="Arial" w:cs="Arial" w:eastAsia="Arial" w:hAnsi="Arial"/>
                <w:sz w:val="20"/>
                <w:szCs w:val="20"/>
                <w:color w:val="auto"/>
              </w:rPr>
              <w:t>Net earnings</w:t>
            </w:r>
          </w:p>
        </w:tc>
        <w:tc>
          <w:tcPr>
            <w:tcW w:w="1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20"/>
                <w:szCs w:val="20"/>
                <w:b w:val="1"/>
                <w:bCs w:val="1"/>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92.5</w:t>
            </w:r>
          </w:p>
        </w:tc>
        <w:tc>
          <w:tcPr>
            <w:tcW w:w="1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EBIT by business segment is as follows:</w:t>
            </w: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94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ind w:right="500"/>
              <w:spacing w:after="0" w:line="226" w:lineRule="exact"/>
              <w:rPr>
                <w:sz w:val="20"/>
                <w:szCs w:val="20"/>
                <w:color w:val="auto"/>
              </w:rPr>
            </w:pPr>
            <w:r>
              <w:rPr>
                <w:rFonts w:ascii="Arial" w:cs="Arial" w:eastAsia="Arial" w:hAnsi="Arial"/>
                <w:sz w:val="20"/>
                <w:szCs w:val="20"/>
                <w:b w:val="1"/>
                <w:bCs w:val="1"/>
                <w:color w:val="auto"/>
                <w:w w:val="84"/>
              </w:rPr>
              <w:t>Change</w:t>
            </w:r>
          </w:p>
        </w:tc>
        <w:tc>
          <w:tcPr>
            <w:tcW w:w="0" w:type="dxa"/>
            <w:vAlign w:val="bottom"/>
          </w:tcPr>
          <w:p>
            <w:pPr>
              <w:spacing w:after="0"/>
              <w:rPr>
                <w:sz w:val="1"/>
                <w:szCs w:val="1"/>
                <w:color w:val="auto"/>
              </w:rPr>
            </w:pPr>
          </w:p>
        </w:tc>
      </w:tr>
      <w:tr>
        <w:trPr>
          <w:trHeight w:val="231"/>
        </w:trPr>
        <w:tc>
          <w:tcPr>
            <w:tcW w:w="4940" w:type="dxa"/>
            <w:vAlign w:val="bottom"/>
          </w:tcPr>
          <w:p>
            <w:pPr>
              <w:spacing w:after="0"/>
              <w:rPr>
                <w:sz w:val="20"/>
                <w:szCs w:val="20"/>
                <w:color w:val="auto"/>
              </w:rPr>
            </w:pPr>
          </w:p>
        </w:tc>
        <w:tc>
          <w:tcPr>
            <w:tcW w:w="2080" w:type="dxa"/>
            <w:vAlign w:val="bottom"/>
            <w:tcBorders>
              <w:bottom w:val="single" w:sz="8" w:color="auto"/>
            </w:tcBorders>
            <w:gridSpan w:val="2"/>
          </w:tcPr>
          <w:p>
            <w:pPr>
              <w:ind w:left="760"/>
              <w:spacing w:after="0"/>
              <w:rPr>
                <w:sz w:val="20"/>
                <w:szCs w:val="20"/>
                <w:color w:val="auto"/>
              </w:rPr>
            </w:pPr>
            <w:r>
              <w:rPr>
                <w:rFonts w:ascii="Arial" w:cs="Arial" w:eastAsia="Arial" w:hAnsi="Arial"/>
                <w:sz w:val="20"/>
                <w:szCs w:val="20"/>
                <w:color w:val="auto"/>
                <w:w w:val="82"/>
              </w:rPr>
              <w:t>Fiscal year ended</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39"/>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(Dollars in millions)</w:t>
            </w:r>
          </w:p>
        </w:tc>
        <w:tc>
          <w:tcPr>
            <w:tcW w:w="1900" w:type="dxa"/>
            <w:vAlign w:val="bottom"/>
          </w:tcPr>
          <w:p>
            <w:pPr>
              <w:jc w:val="right"/>
              <w:ind w:right="819"/>
              <w:spacing w:after="0"/>
              <w:rPr>
                <w:sz w:val="20"/>
                <w:szCs w:val="20"/>
                <w:color w:val="auto"/>
              </w:rPr>
            </w:pPr>
            <w:r>
              <w:rPr>
                <w:rFonts w:ascii="Arial" w:cs="Arial" w:eastAsia="Arial" w:hAnsi="Arial"/>
                <w:sz w:val="20"/>
                <w:szCs w:val="20"/>
                <w:b w:val="1"/>
                <w:bCs w:val="1"/>
                <w:color w:val="auto"/>
              </w:rPr>
              <w:t>2023</w:t>
            </w:r>
          </w:p>
        </w:tc>
        <w:tc>
          <w:tcPr>
            <w:tcW w:w="180" w:type="dxa"/>
            <w:vAlign w:val="bottom"/>
          </w:tcPr>
          <w:p>
            <w:pPr>
              <w:spacing w:after="0"/>
              <w:rPr>
                <w:sz w:val="20"/>
                <w:szCs w:val="20"/>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20"/>
                <w:szCs w:val="20"/>
                <w:color w:val="auto"/>
                <w:w w:val="85"/>
              </w:rPr>
              <w:t>2022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20"/>
                <w:szCs w:val="20"/>
                <w:b w:val="1"/>
                <w:bCs w:val="1"/>
                <w:color w:val="auto"/>
                <w:w w:val="82"/>
              </w:rPr>
              <w:t>vs. 2022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09"/>
        </w:trPr>
        <w:tc>
          <w:tcPr>
            <w:tcW w:w="4760" w:type="dxa"/>
            <w:vAlign w:val="bottom"/>
          </w:tcPr>
          <w:p>
            <w:pPr>
              <w:spacing w:after="0" w:line="208" w:lineRule="exact"/>
              <w:rPr>
                <w:sz w:val="20"/>
                <w:szCs w:val="20"/>
                <w:color w:val="auto"/>
              </w:rPr>
            </w:pPr>
            <w:r>
              <w:rPr>
                <w:rFonts w:ascii="Arial" w:cs="Arial" w:eastAsia="Arial" w:hAnsi="Arial"/>
                <w:sz w:val="20"/>
                <w:szCs w:val="20"/>
                <w:color w:val="auto"/>
              </w:rPr>
              <w:t>A&amp;D</w:t>
            </w:r>
          </w:p>
        </w:tc>
        <w:tc>
          <w:tcPr>
            <w:tcW w:w="540" w:type="dxa"/>
            <w:vAlign w:val="bottom"/>
            <w:gridSpan w:val="3"/>
          </w:tcPr>
          <w:p>
            <w:pPr>
              <w:jc w:val="right"/>
              <w:ind w:right="280"/>
              <w:spacing w:after="0" w:line="208"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ind w:right="179"/>
              <w:spacing w:after="0" w:line="208" w:lineRule="exact"/>
              <w:rPr>
                <w:sz w:val="20"/>
                <w:szCs w:val="20"/>
                <w:color w:val="auto"/>
              </w:rPr>
            </w:pPr>
            <w:r>
              <w:rPr>
                <w:rFonts w:ascii="Arial" w:cs="Arial" w:eastAsia="Arial" w:hAnsi="Arial"/>
                <w:sz w:val="20"/>
                <w:szCs w:val="20"/>
                <w:b w:val="1"/>
                <w:bCs w:val="1"/>
                <w:color w:val="auto"/>
              </w:rPr>
              <w:t>71.6</w:t>
            </w:r>
          </w:p>
        </w:tc>
        <w:tc>
          <w:tcPr>
            <w:tcW w:w="1500" w:type="dxa"/>
            <w:vAlign w:val="bottom"/>
            <w:gridSpan w:val="3"/>
          </w:tcPr>
          <w:p>
            <w:pPr>
              <w:jc w:val="right"/>
              <w:ind w:right="179"/>
              <w:spacing w:after="0" w:line="208" w:lineRule="exact"/>
              <w:rPr>
                <w:sz w:val="20"/>
                <w:szCs w:val="20"/>
                <w:color w:val="auto"/>
              </w:rPr>
            </w:pPr>
            <w:r>
              <w:rPr>
                <w:rFonts w:ascii="Arial" w:cs="Arial" w:eastAsia="Arial" w:hAnsi="Arial"/>
                <w:sz w:val="20"/>
                <w:szCs w:val="20"/>
                <w:b w:val="1"/>
                <w:bCs w:val="1"/>
                <w:color w:val="auto"/>
              </w:rPr>
              <w:t>68.4</w:t>
            </w:r>
          </w:p>
        </w:tc>
        <w:tc>
          <w:tcPr>
            <w:tcW w:w="1280" w:type="dxa"/>
            <w:vAlign w:val="bottom"/>
            <w:gridSpan w:val="2"/>
          </w:tcPr>
          <w:p>
            <w:pPr>
              <w:jc w:val="right"/>
              <w:spacing w:after="0" w:line="208" w:lineRule="exact"/>
              <w:rPr>
                <w:sz w:val="20"/>
                <w:szCs w:val="20"/>
                <w:color w:val="auto"/>
              </w:rPr>
            </w:pPr>
            <w:r>
              <w:rPr>
                <w:rFonts w:ascii="Arial" w:cs="Arial" w:eastAsia="Arial" w:hAnsi="Arial"/>
                <w:sz w:val="20"/>
                <w:szCs w:val="20"/>
                <w:b w:val="1"/>
                <w:bCs w:val="1"/>
                <w:color w:val="auto"/>
              </w:rPr>
              <w:t>4.7</w:t>
            </w:r>
          </w:p>
        </w:tc>
        <w:tc>
          <w:tcPr>
            <w:tcW w:w="460" w:type="dxa"/>
            <w:vAlign w:val="bottom"/>
          </w:tcPr>
          <w:p>
            <w:pPr>
              <w:jc w:val="right"/>
              <w:ind w:right="159"/>
              <w:spacing w:after="0" w:line="208" w:lineRule="exact"/>
              <w:rPr>
                <w:sz w:val="20"/>
                <w:szCs w:val="20"/>
                <w:color w:val="auto"/>
              </w:rPr>
            </w:pPr>
            <w:r>
              <w:rPr>
                <w:rFonts w:ascii="Arial" w:cs="Arial" w:eastAsia="Arial" w:hAnsi="Arial"/>
                <w:sz w:val="20"/>
                <w:szCs w:val="20"/>
                <w:b w:val="1"/>
                <w:bCs w:val="1"/>
                <w:color w:val="auto"/>
              </w:rPr>
              <w:t>%</w:t>
            </w:r>
          </w:p>
        </w:tc>
      </w:tr>
      <w:tr>
        <w:trPr>
          <w:trHeight w:val="230"/>
        </w:trPr>
        <w:tc>
          <w:tcPr>
            <w:tcW w:w="4760" w:type="dxa"/>
            <w:vAlign w:val="bottom"/>
          </w:tcPr>
          <w:p>
            <w:pPr>
              <w:ind w:left="180"/>
              <w:spacing w:after="0"/>
              <w:rPr>
                <w:sz w:val="20"/>
                <w:szCs w:val="20"/>
                <w:color w:val="auto"/>
              </w:rPr>
            </w:pPr>
            <w:r>
              <w:rPr>
                <w:rFonts w:ascii="Arial" w:cs="Arial" w:eastAsia="Arial" w:hAnsi="Arial"/>
                <w:sz w:val="20"/>
                <w:szCs w:val="20"/>
                <w:color w:val="auto"/>
              </w:rPr>
              <w:t>% of net sales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20"/>
                <w:szCs w:val="20"/>
                <w:b w:val="1"/>
                <w:bCs w:val="1"/>
                <w:i w:val="1"/>
                <w:iCs w:val="1"/>
                <w:color w:val="auto"/>
              </w:rPr>
              <w:t>18.2%</w:t>
            </w:r>
          </w:p>
        </w:tc>
        <w:tc>
          <w:tcPr>
            <w:tcW w:w="1500" w:type="dxa"/>
            <w:vAlign w:val="bottom"/>
            <w:gridSpan w:val="3"/>
          </w:tcPr>
          <w:p>
            <w:pPr>
              <w:jc w:val="right"/>
              <w:ind w:right="19"/>
              <w:spacing w:after="0"/>
              <w:rPr>
                <w:sz w:val="20"/>
                <w:szCs w:val="20"/>
                <w:color w:val="auto"/>
              </w:rPr>
            </w:pPr>
            <w:r>
              <w:rPr>
                <w:rFonts w:ascii="Arial" w:cs="Arial" w:eastAsia="Arial" w:hAnsi="Arial"/>
                <w:sz w:val="20"/>
                <w:szCs w:val="20"/>
                <w:b w:val="1"/>
                <w:bCs w:val="1"/>
                <w:i w:val="1"/>
                <w:iCs w:val="1"/>
                <w:color w:val="auto"/>
              </w:rPr>
              <w:t>19.5</w:t>
            </w:r>
            <w:r>
              <w:rPr>
                <w:rFonts w:ascii="Arial" w:cs="Arial" w:eastAsia="Arial" w:hAnsi="Arial"/>
                <w:sz w:val="20"/>
                <w:szCs w:val="20"/>
                <w:i w:val="1"/>
                <w:iCs w:val="1"/>
                <w:color w:val="auto"/>
              </w:rPr>
              <w:t>%</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20"/>
                <w:szCs w:val="20"/>
                <w:color w:val="auto"/>
              </w:rPr>
              <w:t>USG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79"/>
              <w:spacing w:after="0"/>
              <w:rPr>
                <w:sz w:val="20"/>
                <w:szCs w:val="20"/>
                <w:color w:val="auto"/>
              </w:rPr>
            </w:pPr>
            <w:r>
              <w:rPr>
                <w:rFonts w:ascii="Arial" w:cs="Arial" w:eastAsia="Arial" w:hAnsi="Arial"/>
                <w:sz w:val="20"/>
                <w:szCs w:val="20"/>
                <w:b w:val="1"/>
                <w:bCs w:val="1"/>
                <w:color w:val="auto"/>
              </w:rPr>
              <w:t>76.7</w:t>
            </w:r>
          </w:p>
        </w:tc>
        <w:tc>
          <w:tcPr>
            <w:tcW w:w="1500" w:type="dxa"/>
            <w:vAlign w:val="bottom"/>
            <w:gridSpan w:val="3"/>
          </w:tcPr>
          <w:p>
            <w:pPr>
              <w:jc w:val="right"/>
              <w:ind w:right="179"/>
              <w:spacing w:after="0"/>
              <w:rPr>
                <w:sz w:val="20"/>
                <w:szCs w:val="20"/>
                <w:color w:val="auto"/>
              </w:rPr>
            </w:pPr>
            <w:r>
              <w:rPr>
                <w:rFonts w:ascii="Arial" w:cs="Arial" w:eastAsia="Arial" w:hAnsi="Arial"/>
                <w:sz w:val="20"/>
                <w:szCs w:val="20"/>
                <w:b w:val="1"/>
                <w:bCs w:val="1"/>
                <w:color w:val="auto"/>
              </w:rPr>
              <w:t>57.6</w:t>
            </w:r>
          </w:p>
        </w:tc>
        <w:tc>
          <w:tcPr>
            <w:tcW w:w="1280" w:type="dxa"/>
            <w:vAlign w:val="bottom"/>
            <w:gridSpan w:val="2"/>
          </w:tcPr>
          <w:p>
            <w:pPr>
              <w:jc w:val="right"/>
              <w:spacing w:after="0"/>
              <w:rPr>
                <w:sz w:val="20"/>
                <w:szCs w:val="20"/>
                <w:color w:val="auto"/>
              </w:rPr>
            </w:pPr>
            <w:r>
              <w:rPr>
                <w:rFonts w:ascii="Arial" w:cs="Arial" w:eastAsia="Arial" w:hAnsi="Arial"/>
                <w:sz w:val="20"/>
                <w:szCs w:val="20"/>
                <w:b w:val="1"/>
                <w:bCs w:val="1"/>
                <w:color w:val="auto"/>
              </w:rPr>
              <w:t>33.2</w:t>
            </w:r>
          </w:p>
        </w:tc>
        <w:tc>
          <w:tcPr>
            <w:tcW w:w="460" w:type="dxa"/>
            <w:vAlign w:val="bottom"/>
          </w:tcPr>
          <w:p>
            <w:pPr>
              <w:jc w:val="right"/>
              <w:ind w:right="159"/>
              <w:spacing w:after="0"/>
              <w:rPr>
                <w:sz w:val="20"/>
                <w:szCs w:val="20"/>
                <w:color w:val="auto"/>
              </w:rPr>
            </w:pPr>
            <w:r>
              <w:rPr>
                <w:rFonts w:ascii="Arial" w:cs="Arial" w:eastAsia="Arial" w:hAnsi="Arial"/>
                <w:sz w:val="20"/>
                <w:szCs w:val="20"/>
                <w:b w:val="1"/>
                <w:bCs w:val="1"/>
                <w:color w:val="auto"/>
              </w:rPr>
              <w:t>%</w:t>
            </w:r>
          </w:p>
        </w:tc>
      </w:tr>
      <w:tr>
        <w:trPr>
          <w:trHeight w:val="231"/>
        </w:trPr>
        <w:tc>
          <w:tcPr>
            <w:tcW w:w="4760" w:type="dxa"/>
            <w:vAlign w:val="bottom"/>
          </w:tcPr>
          <w:p>
            <w:pPr>
              <w:ind w:left="180"/>
              <w:spacing w:after="0"/>
              <w:rPr>
                <w:sz w:val="20"/>
                <w:szCs w:val="20"/>
                <w:color w:val="auto"/>
              </w:rPr>
            </w:pPr>
            <w:r>
              <w:rPr>
                <w:rFonts w:ascii="Arial" w:cs="Arial" w:eastAsia="Arial" w:hAnsi="Arial"/>
                <w:sz w:val="20"/>
                <w:szCs w:val="20"/>
                <w:color w:val="auto"/>
              </w:rPr>
              <w:t>% of net sales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20"/>
                <w:szCs w:val="20"/>
                <w:b w:val="1"/>
                <w:bCs w:val="1"/>
                <w:i w:val="1"/>
                <w:iCs w:val="1"/>
                <w:color w:val="auto"/>
              </w:rPr>
              <w:t>22.4%</w:t>
            </w:r>
          </w:p>
        </w:tc>
        <w:tc>
          <w:tcPr>
            <w:tcW w:w="1500" w:type="dxa"/>
            <w:vAlign w:val="bottom"/>
            <w:gridSpan w:val="3"/>
          </w:tcPr>
          <w:p>
            <w:pPr>
              <w:jc w:val="right"/>
              <w:ind w:right="19"/>
              <w:spacing w:after="0"/>
              <w:rPr>
                <w:sz w:val="20"/>
                <w:szCs w:val="20"/>
                <w:color w:val="auto"/>
              </w:rPr>
            </w:pPr>
            <w:r>
              <w:rPr>
                <w:rFonts w:ascii="Arial" w:cs="Arial" w:eastAsia="Arial" w:hAnsi="Arial"/>
                <w:sz w:val="20"/>
                <w:szCs w:val="20"/>
                <w:b w:val="1"/>
                <w:bCs w:val="1"/>
                <w:i w:val="1"/>
                <w:iCs w:val="1"/>
                <w:color w:val="auto"/>
              </w:rPr>
              <w:t>20.7</w:t>
            </w:r>
            <w:r>
              <w:rPr>
                <w:rFonts w:ascii="Arial" w:cs="Arial" w:eastAsia="Arial" w:hAnsi="Arial"/>
                <w:sz w:val="20"/>
                <w:szCs w:val="20"/>
                <w:i w:val="1"/>
                <w:iCs w:val="1"/>
                <w:color w:val="auto"/>
              </w:rPr>
              <w:t>%</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26"/>
        </w:trPr>
        <w:tc>
          <w:tcPr>
            <w:tcW w:w="4760" w:type="dxa"/>
            <w:vAlign w:val="bottom"/>
          </w:tcPr>
          <w:p>
            <w:pPr>
              <w:spacing w:after="0" w:line="226" w:lineRule="exact"/>
              <w:rPr>
                <w:sz w:val="20"/>
                <w:szCs w:val="20"/>
                <w:color w:val="auto"/>
              </w:rPr>
            </w:pPr>
            <w:r>
              <w:rPr>
                <w:rFonts w:ascii="Arial" w:cs="Arial" w:eastAsia="Arial" w:hAnsi="Arial"/>
                <w:sz w:val="20"/>
                <w:szCs w:val="20"/>
                <w:color w:val="auto"/>
              </w:rPr>
              <w:t>Test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79"/>
              <w:spacing w:after="0" w:line="226" w:lineRule="exact"/>
              <w:rPr>
                <w:sz w:val="20"/>
                <w:szCs w:val="20"/>
                <w:color w:val="auto"/>
              </w:rPr>
            </w:pPr>
            <w:r>
              <w:rPr>
                <w:rFonts w:ascii="Arial" w:cs="Arial" w:eastAsia="Arial" w:hAnsi="Arial"/>
                <w:sz w:val="20"/>
                <w:szCs w:val="20"/>
                <w:b w:val="1"/>
                <w:bCs w:val="1"/>
                <w:color w:val="auto"/>
              </w:rPr>
              <w:t>32.4</w:t>
            </w:r>
          </w:p>
        </w:tc>
        <w:tc>
          <w:tcPr>
            <w:tcW w:w="1500" w:type="dxa"/>
            <w:vAlign w:val="bottom"/>
            <w:gridSpan w:val="3"/>
          </w:tcPr>
          <w:p>
            <w:pPr>
              <w:jc w:val="right"/>
              <w:ind w:right="179"/>
              <w:spacing w:after="0" w:line="226" w:lineRule="exact"/>
              <w:rPr>
                <w:sz w:val="20"/>
                <w:szCs w:val="20"/>
                <w:color w:val="auto"/>
              </w:rPr>
            </w:pPr>
            <w:r>
              <w:rPr>
                <w:rFonts w:ascii="Arial" w:cs="Arial" w:eastAsia="Arial" w:hAnsi="Arial"/>
                <w:sz w:val="20"/>
                <w:szCs w:val="20"/>
                <w:b w:val="1"/>
                <w:bCs w:val="1"/>
                <w:color w:val="auto"/>
              </w:rPr>
              <w:t>32.6</w:t>
            </w:r>
          </w:p>
        </w:tc>
        <w:tc>
          <w:tcPr>
            <w:tcW w:w="1280" w:type="dxa"/>
            <w:vAlign w:val="bottom"/>
            <w:gridSpan w:val="2"/>
          </w:tcPr>
          <w:p>
            <w:pPr>
              <w:jc w:val="right"/>
              <w:spacing w:after="0" w:line="226" w:lineRule="exact"/>
              <w:rPr>
                <w:sz w:val="20"/>
                <w:szCs w:val="20"/>
                <w:color w:val="auto"/>
              </w:rPr>
            </w:pPr>
            <w:r>
              <w:rPr>
                <w:rFonts w:ascii="Arial" w:cs="Arial" w:eastAsia="Arial" w:hAnsi="Arial"/>
                <w:sz w:val="20"/>
                <w:szCs w:val="20"/>
                <w:b w:val="1"/>
                <w:bCs w:val="1"/>
                <w:color w:val="auto"/>
              </w:rPr>
              <w:t>(0.6)</w:t>
            </w:r>
          </w:p>
        </w:tc>
        <w:tc>
          <w:tcPr>
            <w:tcW w:w="460" w:type="dxa"/>
            <w:vAlign w:val="bottom"/>
          </w:tcPr>
          <w:p>
            <w:pPr>
              <w:jc w:val="right"/>
              <w:ind w:right="159"/>
              <w:spacing w:after="0" w:line="226" w:lineRule="exact"/>
              <w:rPr>
                <w:sz w:val="20"/>
                <w:szCs w:val="20"/>
                <w:color w:val="auto"/>
              </w:rPr>
            </w:pPr>
            <w:r>
              <w:rPr>
                <w:rFonts w:ascii="Arial" w:cs="Arial" w:eastAsia="Arial" w:hAnsi="Arial"/>
                <w:sz w:val="20"/>
                <w:szCs w:val="20"/>
                <w:b w:val="1"/>
                <w:bCs w:val="1"/>
                <w:color w:val="auto"/>
              </w:rPr>
              <w:t>%</w:t>
            </w:r>
          </w:p>
        </w:tc>
      </w:tr>
      <w:tr>
        <w:trPr>
          <w:trHeight w:val="230"/>
        </w:trPr>
        <w:tc>
          <w:tcPr>
            <w:tcW w:w="4760" w:type="dxa"/>
            <w:vAlign w:val="bottom"/>
          </w:tcPr>
          <w:p>
            <w:pPr>
              <w:ind w:left="180"/>
              <w:spacing w:after="0"/>
              <w:rPr>
                <w:sz w:val="20"/>
                <w:szCs w:val="20"/>
                <w:color w:val="auto"/>
              </w:rPr>
            </w:pPr>
            <w:r>
              <w:rPr>
                <w:rFonts w:ascii="Arial" w:cs="Arial" w:eastAsia="Arial" w:hAnsi="Arial"/>
                <w:sz w:val="20"/>
                <w:szCs w:val="20"/>
                <w:color w:val="auto"/>
              </w:rPr>
              <w:t>% of net sales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20"/>
                <w:szCs w:val="20"/>
                <w:b w:val="1"/>
                <w:bCs w:val="1"/>
                <w:i w:val="1"/>
                <w:iCs w:val="1"/>
                <w:color w:val="auto"/>
              </w:rPr>
              <w:t>14.6%</w:t>
            </w:r>
          </w:p>
        </w:tc>
        <w:tc>
          <w:tcPr>
            <w:tcW w:w="1500" w:type="dxa"/>
            <w:vAlign w:val="bottom"/>
            <w:gridSpan w:val="3"/>
          </w:tcPr>
          <w:p>
            <w:pPr>
              <w:jc w:val="right"/>
              <w:ind w:right="19"/>
              <w:spacing w:after="0"/>
              <w:rPr>
                <w:sz w:val="20"/>
                <w:szCs w:val="20"/>
                <w:color w:val="auto"/>
              </w:rPr>
            </w:pPr>
            <w:r>
              <w:rPr>
                <w:rFonts w:ascii="Arial" w:cs="Arial" w:eastAsia="Arial" w:hAnsi="Arial"/>
                <w:sz w:val="20"/>
                <w:szCs w:val="20"/>
                <w:b w:val="1"/>
                <w:bCs w:val="1"/>
                <w:i w:val="1"/>
                <w:iCs w:val="1"/>
                <w:color w:val="auto"/>
              </w:rPr>
              <w:t>14.3</w:t>
            </w:r>
            <w:r>
              <w:rPr>
                <w:rFonts w:ascii="Arial" w:cs="Arial" w:eastAsia="Arial" w:hAnsi="Arial"/>
                <w:sz w:val="20"/>
                <w:szCs w:val="20"/>
                <w:i w:val="1"/>
                <w:iCs w:val="1"/>
                <w:color w:val="auto"/>
              </w:rPr>
              <w:t>%</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1"/>
        </w:trPr>
        <w:tc>
          <w:tcPr>
            <w:tcW w:w="4760" w:type="dxa"/>
            <w:vAlign w:val="bottom"/>
          </w:tcPr>
          <w:p>
            <w:pPr>
              <w:spacing w:after="0"/>
              <w:rPr>
                <w:sz w:val="20"/>
                <w:szCs w:val="20"/>
                <w:color w:val="auto"/>
              </w:rPr>
            </w:pPr>
            <w:r>
              <w:rPr>
                <w:rFonts w:ascii="Arial" w:cs="Arial" w:eastAsia="Arial" w:hAnsi="Arial"/>
                <w:sz w:val="20"/>
                <w:szCs w:val="20"/>
                <w:color w:val="auto"/>
              </w:rPr>
              <w:t>Corporate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b w:val="1"/>
                <w:bCs w:val="1"/>
                <w:color w:val="auto"/>
              </w:rPr>
              <w:t>(53.0)</w:t>
            </w:r>
          </w:p>
        </w:tc>
        <w:tc>
          <w:tcPr>
            <w:tcW w:w="180" w:type="dxa"/>
            <w:vAlign w:val="bottom"/>
            <w:gridSpan w:val="2"/>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b w:val="1"/>
                <w:bCs w:val="1"/>
                <w:color w:val="auto"/>
              </w:rPr>
              <w:t>(47.3</w:t>
            </w: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(12.1)</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20"/>
                <w:szCs w:val="20"/>
                <w:b w:val="1"/>
                <w:bCs w:val="1"/>
                <w:color w:val="auto"/>
              </w:rPr>
              <w:t>%</w:t>
            </w:r>
          </w:p>
        </w:tc>
      </w:tr>
      <w:tr>
        <w:trPr>
          <w:trHeight w:val="229"/>
        </w:trPr>
        <w:tc>
          <w:tcPr>
            <w:tcW w:w="4760" w:type="dxa"/>
            <w:vAlign w:val="bottom"/>
          </w:tcPr>
          <w:p>
            <w:pPr>
              <w:spacing w:after="0"/>
              <w:rPr>
                <w:sz w:val="20"/>
                <w:szCs w:val="20"/>
                <w:color w:val="auto"/>
              </w:rPr>
            </w:pPr>
            <w:r>
              <w:rPr>
                <w:rFonts w:ascii="Arial" w:cs="Arial" w:eastAsia="Arial" w:hAnsi="Arial"/>
                <w:sz w:val="20"/>
                <w:szCs w:val="20"/>
                <w:color w:val="auto"/>
              </w:rPr>
              <w:t>Total</w:t>
            </w:r>
          </w:p>
        </w:tc>
        <w:tc>
          <w:tcPr>
            <w:tcW w:w="540" w:type="dxa"/>
            <w:vAlign w:val="bottom"/>
            <w:gridSpan w:val="3"/>
          </w:tcPr>
          <w:p>
            <w:pPr>
              <w:jc w:val="right"/>
              <w:ind w:right="280"/>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ind w:right="179"/>
              <w:spacing w:after="0"/>
              <w:rPr>
                <w:sz w:val="20"/>
                <w:szCs w:val="20"/>
                <w:color w:val="auto"/>
              </w:rPr>
            </w:pPr>
            <w:r>
              <w:rPr>
                <w:rFonts w:ascii="Arial" w:cs="Arial" w:eastAsia="Arial" w:hAnsi="Arial"/>
                <w:sz w:val="20"/>
                <w:szCs w:val="20"/>
                <w:b w:val="1"/>
                <w:bCs w:val="1"/>
                <w:color w:val="auto"/>
              </w:rPr>
              <w:t>127.7</w:t>
            </w:r>
          </w:p>
        </w:tc>
        <w:tc>
          <w:tcPr>
            <w:tcW w:w="1500" w:type="dxa"/>
            <w:vAlign w:val="bottom"/>
            <w:gridSpan w:val="3"/>
          </w:tcPr>
          <w:p>
            <w:pPr>
              <w:jc w:val="right"/>
              <w:ind w:right="179"/>
              <w:spacing w:after="0"/>
              <w:rPr>
                <w:sz w:val="20"/>
                <w:szCs w:val="20"/>
                <w:color w:val="auto"/>
              </w:rPr>
            </w:pPr>
            <w:r>
              <w:rPr>
                <w:rFonts w:ascii="Arial" w:cs="Arial" w:eastAsia="Arial" w:hAnsi="Arial"/>
                <w:sz w:val="20"/>
                <w:szCs w:val="20"/>
                <w:b w:val="1"/>
                <w:bCs w:val="1"/>
                <w:color w:val="auto"/>
              </w:rPr>
              <w:t>111.3</w:t>
            </w:r>
          </w:p>
        </w:tc>
        <w:tc>
          <w:tcPr>
            <w:tcW w:w="1280" w:type="dxa"/>
            <w:vAlign w:val="bottom"/>
            <w:gridSpan w:val="2"/>
          </w:tcPr>
          <w:p>
            <w:pPr>
              <w:jc w:val="right"/>
              <w:spacing w:after="0"/>
              <w:rPr>
                <w:sz w:val="20"/>
                <w:szCs w:val="20"/>
                <w:color w:val="auto"/>
              </w:rPr>
            </w:pPr>
            <w:r>
              <w:rPr>
                <w:rFonts w:ascii="Arial" w:cs="Arial" w:eastAsia="Arial" w:hAnsi="Arial"/>
                <w:sz w:val="20"/>
                <w:szCs w:val="20"/>
                <w:b w:val="1"/>
                <w:bCs w:val="1"/>
                <w:color w:val="auto"/>
              </w:rPr>
              <w:t>14.7</w:t>
            </w:r>
          </w:p>
        </w:tc>
        <w:tc>
          <w:tcPr>
            <w:tcW w:w="460" w:type="dxa"/>
            <w:vAlign w:val="bottom"/>
          </w:tcPr>
          <w:p>
            <w:pPr>
              <w:jc w:val="right"/>
              <w:ind w:right="159"/>
              <w:spacing w:after="0"/>
              <w:rPr>
                <w:sz w:val="20"/>
                <w:szCs w:val="20"/>
                <w:color w:val="auto"/>
              </w:rPr>
            </w:pPr>
            <w:r>
              <w:rPr>
                <w:rFonts w:ascii="Arial" w:cs="Arial" w:eastAsia="Arial" w:hAnsi="Arial"/>
                <w:sz w:val="20"/>
                <w:szCs w:val="20"/>
                <w:b w:val="1"/>
                <w:bCs w:val="1"/>
                <w:color w:val="auto"/>
              </w:rPr>
              <w:t>%</w:t>
            </w:r>
          </w:p>
        </w:tc>
      </w:tr>
      <w:tr>
        <w:trPr>
          <w:trHeight w:val="233"/>
        </w:trPr>
        <w:tc>
          <w:tcPr>
            <w:tcW w:w="4760" w:type="dxa"/>
            <w:vAlign w:val="bottom"/>
          </w:tcPr>
          <w:p>
            <w:pPr>
              <w:ind w:left="180"/>
              <w:spacing w:after="0"/>
              <w:rPr>
                <w:sz w:val="20"/>
                <w:szCs w:val="20"/>
                <w:color w:val="auto"/>
              </w:rPr>
            </w:pPr>
            <w:r>
              <w:rPr>
                <w:rFonts w:ascii="Arial" w:cs="Arial" w:eastAsia="Arial" w:hAnsi="Arial"/>
                <w:sz w:val="20"/>
                <w:szCs w:val="20"/>
                <w:color w:val="auto"/>
              </w:rPr>
              <w:t>% of net sales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20"/>
                <w:szCs w:val="20"/>
                <w:b w:val="1"/>
                <w:bCs w:val="1"/>
                <w:i w:val="1"/>
                <w:iCs w:val="1"/>
                <w:color w:val="auto"/>
              </w:rPr>
              <w:t>13.4%</w:t>
            </w:r>
          </w:p>
        </w:tc>
        <w:tc>
          <w:tcPr>
            <w:tcW w:w="1500" w:type="dxa"/>
            <w:vAlign w:val="bottom"/>
            <w:gridSpan w:val="3"/>
          </w:tcPr>
          <w:p>
            <w:pPr>
              <w:jc w:val="right"/>
              <w:ind w:right="19"/>
              <w:spacing w:after="0"/>
              <w:rPr>
                <w:sz w:val="20"/>
                <w:szCs w:val="20"/>
                <w:color w:val="auto"/>
              </w:rPr>
            </w:pPr>
            <w:r>
              <w:rPr>
                <w:rFonts w:ascii="Arial" w:cs="Arial" w:eastAsia="Arial" w:hAnsi="Arial"/>
                <w:sz w:val="20"/>
                <w:szCs w:val="20"/>
                <w:b w:val="1"/>
                <w:bCs w:val="1"/>
                <w:i w:val="1"/>
                <w:iCs w:val="1"/>
                <w:color w:val="auto"/>
              </w:rPr>
              <w:t>13.0</w:t>
            </w:r>
            <w:r>
              <w:rPr>
                <w:rFonts w:ascii="Arial" w:cs="Arial" w:eastAsia="Arial" w:hAnsi="Arial"/>
                <w:sz w:val="20"/>
                <w:szCs w:val="20"/>
                <w:i w:val="1"/>
                <w:iCs w:val="1"/>
                <w:color w:val="auto"/>
              </w:rPr>
              <w:t>%</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9540"/>
          </w:cols>
          <w:pgMar w:left="1440" w:top="1439" w:right="1260" w:bottom="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A&amp;D</w:t>
      </w:r>
    </w:p>
    <w:p>
      <w:pPr>
        <w:spacing w:after="0" w:line="13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The $3.2 million, or 4.7%, increase in EBIT in 2023 as compared to 2022 was primarily due to higher sales volumes at Mayday, PTI, Crissair and Globe partially offset by a decrease in EBIT at VACCO due to lower sales volumes as mentioned above and margin erosion on certain space development contracts. EBIT in 2023 was negatively impacted by a $0.6 million inventory step-up charge related to the CMT acquisition and $0.8 million in restructuring charges (mainly severance).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USG</w:t>
      </w:r>
    </w:p>
    <w:p>
      <w:pPr>
        <w:spacing w:after="0" w:line="13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The $19.1 million, or 33.2%, increase in EBIT in 2023 as compared to 2022 was mainly due to higher sales volumes at Doble and NRG with a favorable product mix and price increases, partially offset by the impacts of wage and material cost inflation and higher commissions related to increased sales.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Test</w:t>
      </w:r>
    </w:p>
    <w:p>
      <w:pPr>
        <w:spacing w:after="0" w:line="1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auto"/>
        </w:rPr>
        <w:t xml:space="preserve">The $(0.2) million, or (0.6)%, decrease in EBIT in 2023 as compared to 2022 was primarily due to a decrease in EBIT </w:t>
      </w:r>
      <w:r>
        <w:rPr>
          <w:rFonts w:ascii="Arial" w:cs="Arial" w:eastAsia="Arial" w:hAnsi="Arial"/>
          <w:sz w:val="19"/>
          <w:szCs w:val="19"/>
          <w:color w:val="auto"/>
        </w:rPr>
        <w:t xml:space="preserve">from the segment’s Asian operations due to COVID disruptions in China, partially offset by </w:t>
      </w:r>
      <w:r>
        <w:rPr>
          <w:rFonts w:ascii="Times New Roman" w:cs="Times New Roman" w:eastAsia="Times New Roman" w:hAnsi="Times New Roman"/>
          <w:sz w:val="19"/>
          <w:szCs w:val="19"/>
          <w:color w:val="auto"/>
        </w:rPr>
        <w:t>leverage on higher sales</w:t>
      </w:r>
      <w:r>
        <w:rPr>
          <w:rFonts w:ascii="Arial" w:cs="Arial" w:eastAsia="Arial" w:hAnsi="Arial"/>
          <w:sz w:val="19"/>
          <w:szCs w:val="19"/>
          <w:color w:val="auto"/>
        </w:rPr>
        <w:t xml:space="preserve"> volumes from the segment’s European operations and price increases from the segment’s U.S.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w:t>
      </w:r>
    </w:p>
    <w:p>
      <w:pPr>
        <w:spacing w:after="0" w:line="130"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Corporate operating charges included in 2023 consolidated EBIT increased to $53.0 million as compared to $47.3 million in 2022 mainly due to an increase in executive management transition costs and professional fees and amortization expense of acquired int</w:t>
      </w:r>
      <w:r>
        <w:rPr>
          <w:rFonts w:ascii="Arial" w:cs="Arial" w:eastAsia="Arial" w:hAnsi="Arial"/>
          <w:sz w:val="18"/>
          <w:szCs w:val="18"/>
          <w:color w:val="auto"/>
        </w:rPr>
        <w:t>angible assets related to the Company’s recent acquisition of CMT Materials.</w:t>
      </w:r>
    </w:p>
    <w:p>
      <w:pPr>
        <w:spacing w:after="0" w:line="10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 xml:space="preserve">The “Reconciliation to Consolidated Totals (Corporate)” in Note </w:t>
      </w:r>
      <w:r>
        <w:rPr>
          <w:rFonts w:ascii="Times New Roman" w:cs="Times New Roman" w:eastAsia="Times New Roman" w:hAnsi="Times New Roman"/>
          <w:sz w:val="20"/>
          <w:szCs w:val="20"/>
          <w:color w:val="auto"/>
        </w:rPr>
        <w:t>9 to the Consolidated Financial Statements represents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Corporate office operating charges.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8"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0"/>
          <w:szCs w:val="20"/>
          <w:color w:val="auto"/>
        </w:rPr>
        <w:t>Interest expense, net was $8.8 million and $4.9 million in 2023 and 2022, respectively. The increase in interest expense in 2023 was mainly due to higher average interest rates. The weighted average interest rates were 5.82% in 2023 compared to 2.11% in 2022. Average outstanding borrowings were $140 million in 2023 compared to $190 million in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The effective tax rates for 2023 and 2022 were 22.2% and 22.7%, respectively. The decrease in the 2023 effective tax rate as compared to 2022 was primarily due to a decrease in state income tax expense and an increase in research credit benefits partially offset by the impact of foreign operations.</w:t>
      </w:r>
    </w:p>
    <w:p>
      <w:pPr>
        <w:spacing w:after="0" w:line="13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No provision has been made in 2023 for foreign withholding of any applicable U.S. income taxes on the undistributed earnings of non-U.S. subsidiaries where these earnings are considered indefinitely invested or otherwise retained for continuing international operations. Determination of the amount of taxes that might be paid on these undistributed earnings if eventually remitted is not practicable.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2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auto"/>
        </w:rPr>
        <w:t>Information regarding our acquisitions during 2023, 2022 and 2021 is set forth in Note 2 to the Consolidated Financial Statements, which Note is incorporated by reference herein.</w:t>
      </w:r>
    </w:p>
    <w:p>
      <w:pPr>
        <w:spacing w:after="0" w:line="130"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0"/>
          <w:szCs w:val="20"/>
          <w:color w:val="auto"/>
        </w:rPr>
        <w:t>All of our acquisitions have been accounted for using the purchase method of accounting, and accordingly, the respective purchase prices were allocated to the assets (including intangible assets) acquired and liabilities assumed based on estimated fair values at the date of acquisition. The financial results from these acquisitions have been included in our financial statements from the date of acquisition.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Resources and Liquidity</w:t>
      </w:r>
    </w:p>
    <w:p>
      <w:pPr>
        <w:spacing w:after="0" w:line="12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Our overall financial position and liquidity are strong. Working capital (current assets less current liabilities) increased to $266.4 million at September 30, 2023 from $254.5 million at September 30, 2022. Accounts receivable increased by $33.9 million during 2023 mainly due to a $24.0 million increase within the USG segment and a $9.6 million increase within the A&amp;D segment, driven by timing and higher sales volumes in the current year. Inventories increased by $21.7 million during 2023 mainly due to a $13.2 million increase within the USG segment and a $12.7 million increase within the A&amp;D segment resulting primarily from the timing of receipt of raw materials to meet anticipated demand and an increase in work in process inventories due to timing of manufacturing existing orders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9540"/>
          </w:cols>
          <w:pgMar w:left="1440" w:top="1437" w:right="1260" w:bottom="0" w:gutter="0" w:footer="0" w:header="0"/>
        </w:sectPr>
      </w:pPr>
    </w:p>
    <w:bookmarkStart w:id="31" w:name="page32"/>
    <w:bookmarkEnd w:id="31"/>
    <w:p>
      <w:pPr>
        <w:spacing w:after="0" w:line="8"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20"/>
          <w:szCs w:val="20"/>
          <w:color w:val="auto"/>
        </w:rPr>
        <w:t>partially offset by a $4.2 million decrease within the Test segment. Accounts payable increased by $8.2 million during 2023 mainly due to a $6.2 million increase within the USG segment and a $4.2 million increase within the A&amp;D segment partially offset by a $2.2 million increase within the Test segment, due to the timing of payments.</w:t>
      </w:r>
    </w:p>
    <w:p>
      <w:pPr>
        <w:spacing w:after="0" w:line="130"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0"/>
          <w:szCs w:val="20"/>
          <w:color w:val="auto"/>
        </w:rPr>
        <w:t>Net cash provided by operating activities was $76.9 million in 2023 and $135.3 million in 2022. The decrease in net cash provided by operating activities in 2023 as compared to 2022 was mainly driven by higher working capital requirements, including an increase in inventories and accounts receivable, and higher tax and interest payments.</w:t>
      </w:r>
    </w:p>
    <w:p>
      <w:pPr>
        <w:spacing w:after="0" w:line="13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Net cash used in investing activities was $52.5 million in 2023 and $55.9 million in 2022. Capital expenditures were $22.4 million in 2023 and $32.1 million in 2022. The decrease in 2023 as compared to 2022 was mainly due to the purchase of the NRG building of approximately $10 million in 2022. In addition, the Company incurred expenditures for capitalized software of $12.4 million in 2023 and $12.9 million in 2022.</w:t>
      </w:r>
    </w:p>
    <w:p>
      <w:pPr>
        <w:spacing w:after="0" w:line="130"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20"/>
          <w:szCs w:val="20"/>
          <w:color w:val="auto"/>
        </w:rPr>
        <w:t>There were no commitments outstanding that were considered material for capital expenditures at September 30, 2023.</w:t>
      </w:r>
    </w:p>
    <w:p>
      <w:pPr>
        <w:spacing w:after="0" w:line="130"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0"/>
          <w:szCs w:val="20"/>
          <w:color w:val="auto"/>
        </w:rPr>
        <w:t>Net cash used by financing activities was $78 million in 2023 compared to net cash used by financing activities of $32 million in 2022, primarily due to the increase in debt paydown during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Credit Facility</w:t>
      </w:r>
    </w:p>
    <w:p>
      <w:pPr>
        <w:spacing w:after="0" w:line="129" w:lineRule="exact"/>
        <w:rPr>
          <w:sz w:val="20"/>
          <w:szCs w:val="20"/>
          <w:color w:val="auto"/>
        </w:rPr>
      </w:pPr>
    </w:p>
    <w:p>
      <w:pPr>
        <w:ind w:right="900"/>
        <w:spacing w:after="0" w:line="235" w:lineRule="auto"/>
        <w:rPr>
          <w:sz w:val="20"/>
          <w:szCs w:val="20"/>
          <w:color w:val="auto"/>
        </w:rPr>
      </w:pPr>
      <w:r>
        <w:rPr>
          <w:rFonts w:ascii="Times New Roman" w:cs="Times New Roman" w:eastAsia="Times New Roman" w:hAnsi="Times New Roman"/>
          <w:sz w:val="20"/>
          <w:szCs w:val="20"/>
          <w:color w:val="auto"/>
        </w:rPr>
        <w:t xml:space="preserve">A description of our </w:t>
      </w:r>
      <w:r>
        <w:rPr>
          <w:rFonts w:ascii="Arial" w:cs="Arial" w:eastAsia="Arial" w:hAnsi="Arial"/>
          <w:sz w:val="20"/>
          <w:szCs w:val="20"/>
          <w:color w:val="auto"/>
        </w:rPr>
        <w:t>credit facility (the “Credit Facility”) is set forth in Note</w:t>
      </w:r>
      <w:r>
        <w:rPr>
          <w:rFonts w:ascii="Times New Roman" w:cs="Times New Roman" w:eastAsia="Times New Roman" w:hAnsi="Times New Roman"/>
          <w:sz w:val="20"/>
          <w:szCs w:val="20"/>
          <w:color w:val="auto"/>
        </w:rPr>
        <w:t xml:space="preserve"> 6 to the Consolidated Financial Statements, which Note is incorporated by reference herein.</w:t>
      </w:r>
    </w:p>
    <w:p>
      <w:pPr>
        <w:spacing w:after="0" w:line="13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0"/>
          <w:szCs w:val="20"/>
          <w:color w:val="auto"/>
        </w:rPr>
        <w:t>Cash flow from operations and borrowings under the Credit Facility is expected to provide adequate resources to meet our capital requirements and operational needs both for the next 12 months and for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9"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20"/>
          <w:szCs w:val="20"/>
          <w:color w:val="auto"/>
        </w:rPr>
        <w:t>During both 2023 and 2022 we paid a regular quarterly cash dividend at an annual rate of $0.32 per share, totaling $8.3 million in both 2023 and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had no off-balance-sheet arrangements outstanding at September 30,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2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During 2023, the Company repurchased approximately 140,000 shares for approximately $12.4 million. During 2022, the Company repurchased approximately 257,500 shares for approximately $20.0 million.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generally accepted accounting principles (GAAP) requires Management to make estimates and assumptions in certain circumstances that affect amounts reported in the Consolidated Financial Statements. In preparing these financial statements, Management has made its best estimates and judgments of certain amounts included in the Consolidated Financial Statements, giving due consideration to materiality. We do not believe there is a great likelihood that materially different amounts would be reported under different conditions or using different assumptions related to the accounting policies described below. However, application of these accounting policies involves the exercise of judgment and use of assumptions as to future uncertainties and, as a result, actual results could differ from these estimates. Our senior Management discusses the critical accounting policies described below with the Audit and Finance Committee of our Board of Directors on a periodic basis.</w:t>
      </w:r>
    </w:p>
    <w:p>
      <w:pPr>
        <w:spacing w:after="0" w:line="13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The following discussion of critical accounting policies is intended to bring to the attention of readers those accounting policies which Management believes are critical to the Consolidated Financial Statements and other financial disclosure. It is not intended to be a comprehensive list of all significant accounting policies that are more fully described in Note 1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We account for revenue in accordance with ASC Topic 606, Revenue from Contracts with Customers. The unit of account in ASC Topic 606 is a performance obligation. The transaction price for our contracts represents our best estimate of the consideration we will receive and includes assumptions regarding variable consideration, as applicable, which are based on historical, current and forecasted information. The transaction price is allocated to each distinct performance obligation within the contract and recognized as revenue when, or as, the performance obligation is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9540"/>
          </w:cols>
          <w:pgMar w:left="1440" w:top="1440" w:right="1260" w:bottom="0" w:gutter="0" w:footer="0" w:header="0"/>
        </w:sectPr>
      </w:pPr>
    </w:p>
    <w:bookmarkStart w:id="32" w:name="page33"/>
    <w:bookmarkEnd w:id="32"/>
    <w:p>
      <w:pPr>
        <w:spacing w:after="0" w:line="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satisfied. Certain of our long-term contracts contain incentive fees that can increase the transaction price. These variable amounts generally are awarded upon achievement of certain performance metrics, program milestones or cost targets and can be based upon customer discretion. We include estimated amounts in the transaction price to the extent it is probable that a significant reversal of cumulative revenue recognized will not occur. The estimated amounts are based on an assessment of our anticipated performance and all other information that is reasonably available to us.</w:t>
      </w:r>
    </w:p>
    <w:p>
      <w:pPr>
        <w:spacing w:after="0" w:line="112"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0"/>
          <w:szCs w:val="20"/>
          <w:color w:val="auto"/>
        </w:rPr>
        <w:t>Approximately 55% of the A&amp;D segment</w:t>
      </w:r>
      <w:r>
        <w:rPr>
          <w:rFonts w:ascii="Arial" w:cs="Arial" w:eastAsia="Arial" w:hAnsi="Arial"/>
          <w:sz w:val="20"/>
          <w:szCs w:val="20"/>
          <w:color w:val="auto"/>
        </w:rPr>
        <w:t>’</w:t>
      </w:r>
      <w:r>
        <w:rPr>
          <w:rFonts w:ascii="Times New Roman" w:cs="Times New Roman" w:eastAsia="Times New Roman" w:hAnsi="Times New Roman"/>
          <w:sz w:val="20"/>
          <w:szCs w:val="20"/>
          <w:color w:val="auto"/>
        </w:rPr>
        <w:t>s revenue (22% of consolidated revenue) is recognized over time as the products do not have an alternative use and either we have an enforceable right to payment for costs incurred plus a reasonable margin or the inventory is owned by the customer. Selecting the method to measure progress towards completion for our contracts requires judgment and is based on the nature of the products or services to be provided.</w:t>
      </w:r>
    </w:p>
    <w:p>
      <w:pPr>
        <w:spacing w:after="0" w:line="1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The A&amp;D segment generally uses the cost-to-cost method to measure progress on our contracts, as the rate at which costs are incurred to fulfill a contract best depicts the transfer of control to the customer. Under this method, we measure the extent of progress towards completion based on the ratio of costs incurred to date to the estimated costs at completion of the performance obligation, and we record revenue proportionally as costs are incurred based on an estimated profit margin.</w:t>
      </w:r>
    </w:p>
    <w:p>
      <w:pPr>
        <w:spacing w:after="0" w:line="132"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0"/>
          <w:szCs w:val="20"/>
          <w:color w:val="auto"/>
        </w:rPr>
        <w:t>The Test segment generally uses the milestone output method to measure progress on our contracts because it best depicts the transfer of control to the customer that occurs as we incur costs on our contracts. Under this method, we estimate profit as the difference between total revenue and total estimated costs at completion of a contract and recognize these revenues and costs based on milestones achieved.</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Total contract cost estimates are based on current contract specifications and expected engineering requirements and require us to make estimates on expected profit. The estimates on profit are based on judgments we make to project the outcome of future events, and can often span more than one year and include labor productivity and availability, the complexity of the work to be performed, change orders issued by our customers, and other specialized engineering and production related activities. Our cost estimation process is based on historical results of contracts and historical actuals to original estimates, and the application of professional knowledge and experience of engineers and program managers along with finance professionals to these historical results. We review and update our estimates of costs quarterly or more frequently when circumstances significantly change, which can affect the profitability of our contracts.</w:t>
      </w:r>
    </w:p>
    <w:p>
      <w:pPr>
        <w:spacing w:after="0" w:line="13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For contracts where revenue is recognized over time, we recognize changes in estimated contract revenues, costs and profits using the cumulative catch-up method of accounting. This method recognizes the cumulative effect of changes on current and prior periods with the impact of the change from inception-to-date recorded in the current period. We have net revenue recognized in the current year from performance obligations satisfied in the prior year due to changes in our estimated costs to complete the related performance obligations. We recognize anticipated losses on contracts in full in the period in which the losses become known.</w:t>
      </w:r>
    </w:p>
    <w:p>
      <w:pPr>
        <w:spacing w:after="0" w:line="13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The impact of adjustments in contract estimates on our operating earnings can be reflected in either revenue or operating costs and expenses. The aggregate impact of adjustments in contract estimates decreased our earnings before income tax and diluted earnings per share by approximately $14.0 million and $0.43 per share, respectively, in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We operate in numerous taxing jurisdictions and are subject to examination by various U.S. Federal, state and foreign jurisdictions for various tax periods. Our income tax positions are based on research and interpretations of the income tax laws and rulings in each of the jurisdictions in which we do business. Due to the subjectivity of interpretations of laws and rulings in each jurisdiction, the differences and interplay in tax laws between those jurisdictions, as well as the inherent uncertainty in esti</w:t>
      </w:r>
      <w:r>
        <w:rPr>
          <w:rFonts w:ascii="Arial" w:cs="Arial" w:eastAsia="Arial" w:hAnsi="Arial"/>
          <w:sz w:val="20"/>
          <w:szCs w:val="20"/>
          <w:color w:val="auto"/>
        </w:rPr>
        <w:t>mating the final resolution of complex tax audit matters, Management’s estimates of</w:t>
      </w:r>
      <w:r>
        <w:rPr>
          <w:rFonts w:ascii="Times New Roman" w:cs="Times New Roman" w:eastAsia="Times New Roman" w:hAnsi="Times New Roman"/>
          <w:sz w:val="20"/>
          <w:szCs w:val="20"/>
          <w:color w:val="auto"/>
        </w:rPr>
        <w:t xml:space="preserve"> income tax liabilities may differ from actual payments or assessments.</w:t>
      </w:r>
    </w:p>
    <w:p>
      <w:pPr>
        <w:spacing w:after="0" w:line="13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recovered or settled. We may reduce deferred tax assets by a valuation allowance if it is more likely than not that some portion of the deferred tax assets will not be realized. We recognize the effect on deferred tax assets and liabilities of a change in tax rates in income in the period that includes the enactment date. We regularly review our deferred tax assets for recoverability and establish a valuation allowance when Management believes it is more likely than not such assets will not be recovered, taking into consideration historical operating results, expectations of future earnings, tax planning strategies, and the expected timing of the reversals of existing temporary differences.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9540"/>
          </w:cols>
          <w:pgMar w:left="1440" w:top="1440" w:right="1260"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Goodwill and Other Long-Lived Assets</w:t>
      </w:r>
    </w:p>
    <w:p>
      <w:pPr>
        <w:spacing w:after="0" w:line="12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Our Management annually reviews goodwill and other long-lived assets for impairment or whenever events or changes in circumstances indicate the carrying amount may not be recoverable. If we determine that the carrying value of the goodwill and other long-lived assets may not be recoverable, we record a permanent impairment charge for the amount by which the carrying value of the goodwill and other long-lived assets exceeds its fair value. We measure fair value based on a discounted cash flow method using a discount rate determined by Management to be commensurate with the risk inherent in </w:t>
      </w:r>
      <w:r>
        <w:rPr>
          <w:rFonts w:ascii="Arial" w:cs="Arial" w:eastAsia="Arial" w:hAnsi="Arial"/>
          <w:sz w:val="20"/>
          <w:szCs w:val="20"/>
          <w:color w:val="auto"/>
        </w:rPr>
        <w:t>each of our reporting units’ or asset groups’</w:t>
      </w:r>
      <w:r>
        <w:rPr>
          <w:rFonts w:ascii="Times New Roman" w:cs="Times New Roman" w:eastAsia="Times New Roman" w:hAnsi="Times New Roman"/>
          <w:sz w:val="20"/>
          <w:szCs w:val="20"/>
          <w:color w:val="auto"/>
        </w:rPr>
        <w:t xml:space="preserve"> current business models. Our estimates of cash flows and discount rate are subject to change due to the economic environment, including such factors as interest rates, expected market returns and volatility of markets served. We believe that Management</w:t>
      </w:r>
      <w:r>
        <w:rPr>
          <w:rFonts w:ascii="Arial" w:cs="Arial" w:eastAsia="Arial" w:hAnsi="Arial"/>
          <w:sz w:val="20"/>
          <w:szCs w:val="20"/>
          <w:color w:val="auto"/>
        </w:rPr>
        <w:t>’s</w:t>
      </w:r>
      <w:r>
        <w:rPr>
          <w:rFonts w:ascii="Times New Roman" w:cs="Times New Roman" w:eastAsia="Times New Roman" w:hAnsi="Times New Roman"/>
          <w:sz w:val="20"/>
          <w:szCs w:val="20"/>
          <w:color w:val="auto"/>
        </w:rPr>
        <w:t xml:space="preserve"> estimates of future cash flows and fair value are reasonable; however, changes in estimates could result in impairment charges. At September 30, 2023 we have determined that no goodwill or other long-lived assets were impaired.</w:t>
      </w:r>
    </w:p>
    <w:p>
      <w:pPr>
        <w:spacing w:after="0" w:line="13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We amortize intangible assets with estimable useful lives over their respective estimated useful lives to their estimated residual values, and review them for impairment whenever events or changes in business circumstances indicate the carrying value of the assets may not be recoverable.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2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Market risks relating to our operations result primarily from changes in interest rates and changes in foreign currency exchange rates. We are exposed to market risk related to changes in interest rates, and we selectively use derivative financial instruments, including forward contracts and swaps, to manage these risks. Our Canadian subsidiary Morgan Schaffer has entered into foreign exchange contracts to manage foreign currency risk, because a portion of their revenue is denominated in U.S. dollars. We report all derivative instruments on our balance sheet at fair value. For derivative instruments designated as cash flow hedges, we defer the gain or loss on the derivative in accumulated other comprehensive income until recognized in earnings with the underlying hedged item.</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30"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color w:val="auto"/>
        </w:rPr>
        <w:t>See “Other Matters – Quantitative And Qualitative Disclosures About Market Risk” in Item 7</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“Management’s Discussion and Analysis of Financial Condition and Results of Operations,” which </w:t>
      </w:r>
      <w:r>
        <w:rPr>
          <w:rFonts w:ascii="Times New Roman" w:cs="Times New Roman" w:eastAsia="Times New Roman" w:hAnsi="Times New Roman"/>
          <w:sz w:val="20"/>
          <w:szCs w:val="20"/>
          <w:color w:val="auto"/>
        </w:rPr>
        <w:t>is incorporated into this Item by</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reference.</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25"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Consolidated Financial Statements of the Company, the Notes thereto, and the related Reports of Independent Registered Public Accounting Firm of Grant Thornton LLP and KPMG LLP, as set forth in the Financial Information section of this Annual Report, an Index to which is provided on page F-1.</w:t>
      </w:r>
    </w:p>
    <w:p>
      <w:pPr>
        <w:spacing w:after="0" w:line="370" w:lineRule="exact"/>
        <w:rPr>
          <w:sz w:val="20"/>
          <w:szCs w:val="20"/>
          <w:color w:val="auto"/>
        </w:rPr>
      </w:pPr>
    </w:p>
    <w:p>
      <w:pPr>
        <w:ind w:right="500"/>
        <w:spacing w:after="0" w:line="236"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9"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color w:val="auto"/>
        </w:rPr>
        <w:t xml:space="preserve">Our Chief Executive Officer and Chief Financial Officer (“Certifying Officers”) </w:t>
      </w:r>
      <w:r>
        <w:rPr>
          <w:rFonts w:ascii="Times New Roman" w:cs="Times New Roman" w:eastAsia="Times New Roman" w:hAnsi="Times New Roman"/>
          <w:sz w:val="19"/>
          <w:szCs w:val="19"/>
          <w:color w:val="auto"/>
        </w:rPr>
        <w:t>carried out an evaluation of the</w:t>
      </w:r>
      <w:r>
        <w:rPr>
          <w:rFonts w:ascii="Arial" w:cs="Arial" w:eastAsia="Arial" w:hAnsi="Arial"/>
          <w:sz w:val="19"/>
          <w:szCs w:val="19"/>
          <w:color w:val="auto"/>
        </w:rPr>
        <w:t xml:space="preserve"> effectiveness of the design and operation of the Company’s disclosure controls and procedures, as defined in Rules </w:t>
      </w:r>
      <w:r>
        <w:rPr>
          <w:rFonts w:ascii="Times New Roman" w:cs="Times New Roman" w:eastAsia="Times New Roman" w:hAnsi="Times New Roman"/>
          <w:sz w:val="19"/>
          <w:szCs w:val="19"/>
          <w:color w:val="auto"/>
        </w:rPr>
        <w:t xml:space="preserve">13a-1(c)) and 15(c)5(e) under the Securities Exchange Act of 1934, as amended (the Exchange Act) as of September 30,2023. </w:t>
      </w:r>
      <w:r>
        <w:rPr>
          <w:rFonts w:ascii="Arial" w:cs="Arial" w:eastAsia="Arial" w:hAnsi="Arial"/>
          <w:sz w:val="19"/>
          <w:szCs w:val="19"/>
          <w:color w:val="auto"/>
        </w:rPr>
        <w:t>The evaluation was conducted under the supervision and with the participation of the Company’s</w:t>
      </w: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Management, including the Company’s Chief Executive Officer and Chi</w:t>
      </w:r>
      <w:r>
        <w:rPr>
          <w:rFonts w:ascii="Times New Roman" w:cs="Times New Roman" w:eastAsia="Times New Roman" w:hAnsi="Times New Roman"/>
          <w:sz w:val="19"/>
          <w:szCs w:val="19"/>
          <w:color w:val="auto"/>
        </w:rPr>
        <w:t>ef Financial Officer, using the Internal</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 xml:space="preserve">Control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Integrated Framework (2013) issued by the Committee of Sponsoring Organizations of the Treadway Commission (COSO). Disclosure controls and procedures are designed to ensure that information required to be disclosed by the Company in reports filed or submitted under the Exchange Act is recorded, processed, summarized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9540"/>
          </w:cols>
          <w:pgMar w:left="1440" w:top="1439" w:right="1260" w:bottom="0" w:gutter="0" w:footer="0" w:header="0"/>
        </w:sectPr>
      </w:pPr>
    </w:p>
    <w:bookmarkStart w:id="34" w:name="page35"/>
    <w:bookmarkEnd w:id="34"/>
    <w:p>
      <w:pPr>
        <w:spacing w:after="0" w:line="8" w:lineRule="exact"/>
        <w:rPr>
          <w:sz w:val="20"/>
          <w:szCs w:val="20"/>
          <w:color w:val="auto"/>
        </w:rPr>
      </w:pPr>
    </w:p>
    <w:p>
      <w:pPr>
        <w:ind w:right="260"/>
        <w:spacing w:after="0" w:line="253" w:lineRule="auto"/>
        <w:rPr>
          <w:sz w:val="20"/>
          <w:szCs w:val="20"/>
          <w:color w:val="auto"/>
        </w:rPr>
      </w:pPr>
      <w:r>
        <w:rPr>
          <w:rFonts w:ascii="Arial" w:cs="Arial" w:eastAsia="Arial" w:hAnsi="Arial"/>
          <w:sz w:val="19"/>
          <w:szCs w:val="19"/>
          <w:color w:val="auto"/>
        </w:rPr>
        <w:t xml:space="preserve">and reported within the time periods specified in the Securities and Exchange Commission’s rules and forms. </w:t>
      </w:r>
      <w:r>
        <w:rPr>
          <w:rFonts w:ascii="Times New Roman" w:cs="Times New Roman" w:eastAsia="Times New Roman" w:hAnsi="Times New Roman"/>
          <w:sz w:val="19"/>
          <w:szCs w:val="19"/>
          <w:color w:val="auto"/>
        </w:rPr>
        <w:t>Based</w:t>
      </w:r>
      <w:r>
        <w:rPr>
          <w:rFonts w:ascii="Arial" w:cs="Arial" w:eastAsia="Arial" w:hAnsi="Arial"/>
          <w:sz w:val="19"/>
          <w:szCs w:val="19"/>
          <w:color w:val="auto"/>
        </w:rPr>
        <w:t xml:space="preserve"> upon that evaluation, the Company’s Chief Executive Officer and Chief Financial Officer concluded that the Company’s disclosure controls and procedures were effective as of September 30, 202</w:t>
      </w:r>
      <w:r>
        <w:rPr>
          <w:rFonts w:ascii="Times New Roman" w:cs="Times New Roman" w:eastAsia="Times New Roman" w:hAnsi="Times New Roman"/>
          <w:sz w:val="19"/>
          <w:szCs w:val="19"/>
          <w:color w:val="auto"/>
        </w:rPr>
        <w:t>3.</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2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color w:val="auto"/>
        </w:rPr>
        <w:t xml:space="preserve">Management is responsible for establishing and maintaining adequate internal control over financial reporting, as defined in Rules 13a-15(f) and 15d-15(f) of the Exchange Act. </w:t>
      </w:r>
      <w:r>
        <w:rPr>
          <w:rFonts w:ascii="Arial" w:cs="Arial" w:eastAsia="Arial" w:hAnsi="Arial"/>
          <w:sz w:val="20"/>
          <w:szCs w:val="20"/>
          <w:color w:val="auto"/>
        </w:rPr>
        <w:t>The Company’s</w:t>
      </w:r>
      <w:r>
        <w:rPr>
          <w:rFonts w:ascii="Times New Roman" w:cs="Times New Roman" w:eastAsia="Times New Roman" w:hAnsi="Times New Roman"/>
          <w:sz w:val="20"/>
          <w:szCs w:val="20"/>
          <w:color w:val="auto"/>
        </w:rPr>
        <w:t xml:space="preserve"> Management, with participation of the </w:t>
      </w:r>
      <w:r>
        <w:rPr>
          <w:rFonts w:ascii="Arial" w:cs="Arial" w:eastAsia="Arial" w:hAnsi="Arial"/>
          <w:sz w:val="20"/>
          <w:szCs w:val="20"/>
          <w:color w:val="auto"/>
        </w:rPr>
        <w:t xml:space="preserve">Certifying Officers, under the oversight of our Board of Directors, evaluated the effectiveness of the Company’s </w:t>
      </w:r>
      <w:r>
        <w:rPr>
          <w:rFonts w:ascii="Times New Roman" w:cs="Times New Roman" w:eastAsia="Times New Roman" w:hAnsi="Times New Roman"/>
          <w:sz w:val="20"/>
          <w:szCs w:val="20"/>
          <w:color w:val="auto"/>
        </w:rPr>
        <w:t xml:space="preserve">internal control over financial reporting as of September 30, 2023 using the framework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Arial" w:cs="Arial" w:eastAsia="Arial" w:hAnsi="Arial"/>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(COSO). Because of its inherent limitations, any system of internal control over financial reporting, no matter how well designed, may not prevent or detect misstatement due to the possibility that a control can be circumvented or overridden or that misstatements due to error or fraud may occur that are not detected. Also, because of changes in conditions, internal control effectiveness may vary over time.</w:t>
      </w:r>
    </w:p>
    <w:p>
      <w:pPr>
        <w:spacing w:after="0" w:line="13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 xml:space="preserve">Management assessed the effectiveness of the Company’s internal control over financial reporting as of September 30, </w:t>
      </w:r>
      <w:r>
        <w:rPr>
          <w:rFonts w:ascii="Times New Roman" w:cs="Times New Roman" w:eastAsia="Times New Roman" w:hAnsi="Times New Roman"/>
          <w:sz w:val="20"/>
          <w:szCs w:val="20"/>
          <w:color w:val="auto"/>
        </w:rPr>
        <w:t xml:space="preserve">2023, using criteria established in Internal Control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Integrated Framework (2013) issued by COSO and concluded that the Company maintained effective internal control over financial reporting as of September 30, 2023, based on these criteria.</w:t>
      </w:r>
    </w:p>
    <w:p>
      <w:pPr>
        <w:spacing w:after="0" w:line="12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Our internal control over financial reporting as of September 30, 2023, has been audited by Grant Thornton, an independent registered public accounting firm, as stated in its report which is included herein and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0" w:lineRule="exact"/>
        <w:rPr>
          <w:sz w:val="20"/>
          <w:szCs w:val="20"/>
          <w:color w:val="auto"/>
        </w:rPr>
      </w:pPr>
    </w:p>
    <w:p>
      <w:pPr>
        <w:ind w:right="500"/>
        <w:spacing w:after="0" w:line="253" w:lineRule="auto"/>
        <w:rPr>
          <w:sz w:val="20"/>
          <w:szCs w:val="20"/>
          <w:color w:val="auto"/>
        </w:rPr>
      </w:pPr>
      <w:r>
        <w:rPr>
          <w:rFonts w:ascii="Arial" w:cs="Arial" w:eastAsia="Arial" w:hAnsi="Arial"/>
          <w:sz w:val="19"/>
          <w:szCs w:val="19"/>
          <w:color w:val="auto"/>
        </w:rPr>
        <w:t>No changes in the Company’s internal control over financial reporting (as defined in Rule 13a</w:t>
      </w:r>
      <w:r>
        <w:rPr>
          <w:rFonts w:ascii="Times New Roman" w:cs="Times New Roman" w:eastAsia="Times New Roman" w:hAnsi="Times New Roman"/>
          <w:sz w:val="19"/>
          <w:szCs w:val="19"/>
          <w:color w:val="auto"/>
        </w:rPr>
        <w:t>-15(f) under the</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 xml:space="preserve">Exchange Act) occurred during the fiscal quarter ended September 30, 2023, that have materially affected, or are </w:t>
      </w:r>
      <w:r>
        <w:rPr>
          <w:rFonts w:ascii="Arial" w:cs="Arial" w:eastAsia="Arial" w:hAnsi="Arial"/>
          <w:sz w:val="19"/>
          <w:szCs w:val="19"/>
          <w:color w:val="auto"/>
        </w:rPr>
        <w:t>reasonably likely to materially affect, the Company’s internal control over financial reporting.</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30"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20"/>
          <w:szCs w:val="20"/>
          <w:color w:val="auto"/>
        </w:rPr>
        <w:t>During the fourth quarter of fiscal 2023, no director or officer (as defined in Securities and Exchange Commission Rule 16a-1(f)) of the Company adopted or terminated:</w:t>
      </w:r>
    </w:p>
    <w:p>
      <w:pPr>
        <w:spacing w:after="0" w:line="129" w:lineRule="exact"/>
        <w:rPr>
          <w:sz w:val="20"/>
          <w:szCs w:val="20"/>
          <w:color w:val="auto"/>
        </w:rPr>
      </w:pPr>
    </w:p>
    <w:p>
      <w:pPr>
        <w:ind w:left="720" w:right="80" w:firstLine="1"/>
        <w:spacing w:after="0" w:line="255" w:lineRule="auto"/>
        <w:tabs>
          <w:tab w:leader="none" w:pos="96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contract, instruction or written plan for the purchase or sale of Company securities intended to satisfy the affirmative defense conditions of SEC Rule 10b5-1(c) (a </w:t>
      </w:r>
      <w:r>
        <w:rPr>
          <w:rFonts w:ascii="Arial" w:cs="Arial" w:eastAsia="Arial" w:hAnsi="Arial"/>
          <w:sz w:val="19"/>
          <w:szCs w:val="19"/>
          <w:color w:val="auto"/>
        </w:rPr>
        <w:t>”Rule 10b5</w:t>
      </w:r>
      <w:r>
        <w:rPr>
          <w:rFonts w:ascii="Times New Roman" w:cs="Times New Roman" w:eastAsia="Times New Roman" w:hAnsi="Times New Roman"/>
          <w:sz w:val="19"/>
          <w:szCs w:val="19"/>
          <w:color w:val="auto"/>
        </w:rPr>
        <w:t>-</w:t>
      </w:r>
      <w:r>
        <w:rPr>
          <w:rFonts w:ascii="Arial" w:cs="Arial" w:eastAsia="Arial" w:hAnsi="Arial"/>
          <w:sz w:val="19"/>
          <w:szCs w:val="19"/>
          <w:color w:val="auto"/>
        </w:rPr>
        <w:t>1 trading arrangement”); or</w:t>
      </w:r>
    </w:p>
    <w:p>
      <w:pPr>
        <w:spacing w:after="0" w:line="105" w:lineRule="exact"/>
        <w:rPr>
          <w:rFonts w:ascii="Times New Roman" w:cs="Times New Roman" w:eastAsia="Times New Roman" w:hAnsi="Times New Roman"/>
          <w:sz w:val="19"/>
          <w:szCs w:val="19"/>
          <w:color w:val="auto"/>
        </w:rPr>
      </w:pPr>
    </w:p>
    <w:p>
      <w:pPr>
        <w:ind w:left="1020" w:hanging="299"/>
        <w:spacing w:after="0"/>
        <w:tabs>
          <w:tab w:leader="none" w:pos="10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“non</w:t>
      </w:r>
      <w:r>
        <w:rPr>
          <w:rFonts w:ascii="Times New Roman" w:cs="Times New Roman" w:eastAsia="Times New Roman" w:hAnsi="Times New Roman"/>
          <w:sz w:val="20"/>
          <w:szCs w:val="20"/>
          <w:color w:val="auto"/>
        </w:rPr>
        <w:t>-Rule 10b5-</w:t>
      </w:r>
      <w:r>
        <w:rPr>
          <w:rFonts w:ascii="Arial" w:cs="Arial" w:eastAsia="Arial" w:hAnsi="Arial"/>
          <w:sz w:val="20"/>
          <w:szCs w:val="20"/>
          <w:color w:val="auto"/>
        </w:rPr>
        <w:t>1 trading arrangement” as defined in I</w:t>
      </w:r>
      <w:r>
        <w:rPr>
          <w:rFonts w:ascii="Times New Roman" w:cs="Times New Roman" w:eastAsia="Times New Roman" w:hAnsi="Times New Roman"/>
          <w:sz w:val="20"/>
          <w:szCs w:val="20"/>
          <w:color w:val="auto"/>
        </w:rPr>
        <w:t>tem 408(c) of SEC Regulation S-K</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2240" w:h="15840" w:orient="portrait"/>
          <w:cols w:equalWidth="0" w:num="1">
            <w:col w:w="9540"/>
          </w:cols>
          <w:pgMar w:left="1440" w:top="1440" w:right="1260" w:bottom="0" w:gutter="0" w:footer="0" w:header="0"/>
        </w:sectPr>
      </w:pPr>
    </w:p>
    <w:bookmarkStart w:id="35" w:name="page36"/>
    <w:bookmarkEnd w:id="35"/>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609854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6098540" cy="6350"/>
                    </a:xfrm>
                    <a:prstGeom prst="rect">
                      <a:avLst/>
                    </a:prstGeom>
                    <a:noFill/>
                  </pic:spPr>
                </pic:pic>
              </a:graphicData>
            </a:graphic>
          </wp:anchor>
        </w:drawing>
      </w:r>
    </w:p>
    <w:p>
      <w:pPr>
        <w:sectPr>
          <w:pgSz w:w="12240" w:h="15840" w:orient="portrait"/>
          <w:cols w:equalWidth="0" w:num="1">
            <w:col w:w="9540"/>
          </w:cols>
          <w:pgMar w:left="1440" w:top="1440" w:right="1260" w:bottom="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30"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0"/>
          <w:szCs w:val="20"/>
          <w:color w:val="auto"/>
        </w:rPr>
        <w:t xml:space="preserve">Information regarding our directors, nominees and nominating procedures, Code of Ethics, Audit and Finance Committee, and non-compliance (if any) with Section 16(a) of the Securities Exchange Act of 1934 is hereby incorporated by reference to the sections captioned </w:t>
      </w:r>
      <w:r>
        <w:rPr>
          <w:rFonts w:ascii="Arial" w:cs="Arial" w:eastAsia="Arial" w:hAnsi="Arial"/>
          <w:sz w:val="20"/>
          <w:szCs w:val="20"/>
          <w:color w:val="auto"/>
        </w:rPr>
        <w:t>“Proposal 1: Election of Directors” and “</w:t>
      </w:r>
      <w:r>
        <w:rPr>
          <w:rFonts w:ascii="Times New Roman" w:cs="Times New Roman" w:eastAsia="Times New Roman" w:hAnsi="Times New Roman"/>
          <w:sz w:val="20"/>
          <w:szCs w:val="20"/>
          <w:color w:val="auto"/>
        </w:rPr>
        <w:t>Securities Ownership of Directors and Executive Officers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in the 2023 Proxy Statement.</w:t>
      </w:r>
    </w:p>
    <w:p>
      <w:pPr>
        <w:spacing w:after="0" w:line="131" w:lineRule="exact"/>
        <w:rPr>
          <w:sz w:val="20"/>
          <w:szCs w:val="20"/>
          <w:color w:val="auto"/>
        </w:rPr>
      </w:pPr>
    </w:p>
    <w:p>
      <w:pPr>
        <w:ind w:right="580"/>
        <w:spacing w:after="0" w:line="234" w:lineRule="auto"/>
        <w:rPr>
          <w:sz w:val="20"/>
          <w:szCs w:val="20"/>
          <w:color w:val="auto"/>
        </w:rPr>
      </w:pPr>
      <w:r>
        <w:rPr>
          <w:rFonts w:ascii="Times New Roman" w:cs="Times New Roman" w:eastAsia="Times New Roman" w:hAnsi="Times New Roman"/>
          <w:sz w:val="20"/>
          <w:szCs w:val="20"/>
          <w:color w:val="auto"/>
        </w:rPr>
        <w:t xml:space="preserve">Information regarding our executive officers is set forth in Item 1,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Business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Information about our Executive </w:t>
      </w:r>
      <w:r>
        <w:rPr>
          <w:rFonts w:ascii="Arial" w:cs="Arial" w:eastAsia="Arial" w:hAnsi="Arial"/>
          <w:sz w:val="20"/>
          <w:szCs w:val="20"/>
          <w:color w:val="auto"/>
        </w:rPr>
        <w:t>Officers,” above</w:t>
      </w:r>
      <w:r>
        <w:rPr>
          <w:rFonts w:ascii="Times New Roman" w:cs="Times New Roman" w:eastAsia="Times New Roman" w:hAnsi="Times New Roman"/>
          <w:sz w:val="20"/>
          <w:szCs w:val="20"/>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Information regarding our compensation committee and director and executive officer compensation is hereby incorporated by reference to the sections captioned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Committees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Compensation Committee Interlocks and Insider Participation,</w:t>
      </w:r>
      <w:r>
        <w:rPr>
          <w:rFonts w:ascii="Arial" w:cs="Arial" w:eastAsia="Arial" w:hAnsi="Arial"/>
          <w:sz w:val="20"/>
          <w:szCs w:val="20"/>
          <w:color w:val="auto"/>
        </w:rPr>
        <w:t>” “</w:t>
      </w:r>
      <w:r>
        <w:rPr>
          <w:rFonts w:ascii="Times New Roman" w:cs="Times New Roman" w:eastAsia="Times New Roman" w:hAnsi="Times New Roman"/>
          <w:sz w:val="20"/>
          <w:szCs w:val="20"/>
          <w:color w:val="auto"/>
        </w:rPr>
        <w:t>Director Compensation</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w:t>
      </w:r>
      <w:r>
        <w:rPr>
          <w:rFonts w:ascii="Arial" w:cs="Arial" w:eastAsia="Arial" w:hAnsi="Arial"/>
          <w:sz w:val="20"/>
          <w:szCs w:val="20"/>
          <w:color w:val="auto"/>
        </w:rPr>
        <w:t>“</w:t>
      </w:r>
      <w:r>
        <w:rPr>
          <w:rFonts w:ascii="Times New Roman" w:cs="Times New Roman" w:eastAsia="Times New Roman" w:hAnsi="Times New Roman"/>
          <w:sz w:val="20"/>
          <w:szCs w:val="20"/>
          <w:color w:val="auto"/>
        </w:rPr>
        <w:t>Proposal 2: Advisory Vote to Approve Executive Compensation</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in the 2023 Proxy Statement.</w:t>
      </w:r>
    </w:p>
    <w:p>
      <w:pPr>
        <w:spacing w:after="0" w:line="370"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 xml:space="preserve">Information regarding the beneficial ownership of our common stock by our directors, director nominees and executive officers individually and as a group, and by any known holder of five percent or more of the common stock, is hereby incorporated by reference to the sections captioned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Securities Ownership of Directors and Executive </w:t>
      </w:r>
      <w:r>
        <w:rPr>
          <w:rFonts w:ascii="Arial" w:cs="Arial" w:eastAsia="Arial" w:hAnsi="Arial"/>
          <w:sz w:val="20"/>
          <w:szCs w:val="20"/>
          <w:color w:val="auto"/>
        </w:rPr>
        <w:t xml:space="preserve">Officers” and “Securities Ownership of Certain Beneficial Owners” </w:t>
      </w:r>
      <w:r>
        <w:rPr>
          <w:rFonts w:ascii="Times New Roman" w:cs="Times New Roman" w:eastAsia="Times New Roman" w:hAnsi="Times New Roman"/>
          <w:sz w:val="20"/>
          <w:szCs w:val="20"/>
          <w:color w:val="auto"/>
        </w:rPr>
        <w:t>in the 2023 Proxy Statement.</w:t>
      </w:r>
    </w:p>
    <w:p>
      <w:pPr>
        <w:spacing w:after="0" w:line="131" w:lineRule="exact"/>
        <w:rPr>
          <w:sz w:val="20"/>
          <w:szCs w:val="20"/>
          <w:color w:val="auto"/>
        </w:rPr>
      </w:pPr>
    </w:p>
    <w:p>
      <w:pPr>
        <w:ind w:right="720"/>
        <w:spacing w:after="0" w:line="235" w:lineRule="auto"/>
        <w:rPr>
          <w:sz w:val="20"/>
          <w:szCs w:val="20"/>
          <w:color w:val="auto"/>
        </w:rPr>
      </w:pPr>
      <w:r>
        <w:rPr>
          <w:rFonts w:ascii="Times New Roman" w:cs="Times New Roman" w:eastAsia="Times New Roman" w:hAnsi="Times New Roman"/>
          <w:sz w:val="20"/>
          <w:szCs w:val="20"/>
          <w:color w:val="auto"/>
        </w:rPr>
        <w:t>The following table summarizes certain information regarding shares of our common stock that may be issued pursuant to our equity compensation plans existing as of September 30, 2023:</w:t>
      </w:r>
    </w:p>
    <w:p>
      <w:pPr>
        <w:spacing w:after="0" w:line="213" w:lineRule="exact"/>
        <w:rPr>
          <w:sz w:val="20"/>
          <w:szCs w:val="20"/>
          <w:color w:val="auto"/>
        </w:rPr>
      </w:pPr>
    </w:p>
    <w:tbl>
      <w:tblPr>
        <w:tblLayout w:type="fixed"/>
        <w:tblInd w:w="90" w:type="dxa"/>
        <w:tblCellMar>
          <w:top w:w="0" w:type="dxa"/>
          <w:left w:w="0" w:type="dxa"/>
          <w:bottom w:w="0" w:type="dxa"/>
          <w:right w:w="0" w:type="dxa"/>
        </w:tblCellMar>
      </w:tblPr>
      <w:tr>
        <w:trPr>
          <w:trHeight w:val="278"/>
        </w:trPr>
        <w:tc>
          <w:tcPr>
            <w:tcW w:w="1800" w:type="dxa"/>
            <w:vAlign w:val="bottom"/>
            <w:tcBorders>
              <w:top w:val="single" w:sz="8" w:color="auto"/>
              <w:left w:val="single" w:sz="8" w:color="auto"/>
              <w:right w:val="single" w:sz="8" w:color="auto"/>
            </w:tcBorders>
          </w:tcPr>
          <w:p>
            <w:pPr>
              <w:spacing w:after="0"/>
              <w:rPr>
                <w:sz w:val="24"/>
                <w:szCs w:val="24"/>
                <w:color w:val="auto"/>
              </w:rPr>
            </w:pPr>
          </w:p>
        </w:tc>
        <w:tc>
          <w:tcPr>
            <w:tcW w:w="160" w:type="dxa"/>
            <w:vAlign w:val="bottom"/>
            <w:tcBorders>
              <w:top w:val="single" w:sz="8" w:color="auto"/>
              <w:right w:val="single" w:sz="8" w:color="auto"/>
            </w:tcBorders>
          </w:tcPr>
          <w:p>
            <w:pPr>
              <w:spacing w:after="0"/>
              <w:rPr>
                <w:sz w:val="24"/>
                <w:szCs w:val="24"/>
                <w:color w:val="auto"/>
              </w:rPr>
            </w:pPr>
          </w:p>
        </w:tc>
        <w:tc>
          <w:tcPr>
            <w:tcW w:w="22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2"/>
              </w:rPr>
              <w:t>Number of securities to be</w:t>
            </w:r>
          </w:p>
        </w:tc>
        <w:tc>
          <w:tcPr>
            <w:tcW w:w="140" w:type="dxa"/>
            <w:vAlign w:val="bottom"/>
            <w:tcBorders>
              <w:top w:val="single" w:sz="8" w:color="auto"/>
              <w:right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1"/>
              </w:rPr>
              <w:t>Weighted-average</w:t>
            </w:r>
          </w:p>
        </w:tc>
        <w:tc>
          <w:tcPr>
            <w:tcW w:w="160" w:type="dxa"/>
            <w:vAlign w:val="bottom"/>
            <w:tcBorders>
              <w:top w:val="single" w:sz="8" w:color="auto"/>
              <w:right w:val="single" w:sz="8" w:color="auto"/>
            </w:tcBorders>
          </w:tcPr>
          <w:p>
            <w:pPr>
              <w:spacing w:after="0"/>
              <w:rPr>
                <w:sz w:val="24"/>
                <w:szCs w:val="24"/>
                <w:color w:val="auto"/>
              </w:rPr>
            </w:pPr>
          </w:p>
        </w:tc>
        <w:tc>
          <w:tcPr>
            <w:tcW w:w="3160" w:type="dxa"/>
            <w:vAlign w:val="bottom"/>
            <w:tcBorders>
              <w:top w:val="single" w:sz="8" w:color="auto"/>
              <w:right w:val="single" w:sz="8" w:color="auto"/>
            </w:tcBorders>
            <w:gridSpan w:val="4"/>
          </w:tcPr>
          <w:p>
            <w:pPr>
              <w:jc w:val="center"/>
              <w:ind w:right="35"/>
              <w:spacing w:after="0"/>
              <w:rPr>
                <w:sz w:val="20"/>
                <w:szCs w:val="20"/>
                <w:color w:val="auto"/>
              </w:rPr>
            </w:pPr>
            <w:r>
              <w:rPr>
                <w:rFonts w:ascii="Arial" w:cs="Arial" w:eastAsia="Arial" w:hAnsi="Arial"/>
                <w:sz w:val="20"/>
                <w:szCs w:val="20"/>
                <w:color w:val="auto"/>
                <w:w w:val="82"/>
              </w:rPr>
              <w:t>Number of securities remaining available</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81"/>
              </w:rPr>
              <w:t>issued upon exercise of</w:t>
            </w:r>
          </w:p>
        </w:tc>
        <w:tc>
          <w:tcPr>
            <w:tcW w:w="1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exercise price of</w:t>
            </w:r>
          </w:p>
        </w:tc>
        <w:tc>
          <w:tcPr>
            <w:tcW w:w="16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gridSpan w:val="4"/>
          </w:tcPr>
          <w:p>
            <w:pPr>
              <w:jc w:val="center"/>
              <w:ind w:right="35"/>
              <w:spacing w:after="0"/>
              <w:rPr>
                <w:sz w:val="20"/>
                <w:szCs w:val="20"/>
                <w:color w:val="auto"/>
              </w:rPr>
            </w:pPr>
            <w:r>
              <w:rPr>
                <w:rFonts w:ascii="Arial" w:cs="Arial" w:eastAsia="Arial" w:hAnsi="Arial"/>
                <w:sz w:val="20"/>
                <w:szCs w:val="20"/>
                <w:color w:val="auto"/>
                <w:w w:val="82"/>
              </w:rPr>
              <w:t>for future issuance under equity</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81"/>
              </w:rPr>
              <w:t>outstanding options,</w:t>
            </w:r>
          </w:p>
        </w:tc>
        <w:tc>
          <w:tcPr>
            <w:tcW w:w="1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outstanding options,</w:t>
            </w:r>
          </w:p>
        </w:tc>
        <w:tc>
          <w:tcPr>
            <w:tcW w:w="16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gridSpan w:val="4"/>
          </w:tcPr>
          <w:p>
            <w:pPr>
              <w:jc w:val="center"/>
              <w:ind w:right="35"/>
              <w:spacing w:after="0"/>
              <w:rPr>
                <w:sz w:val="20"/>
                <w:szCs w:val="20"/>
                <w:color w:val="auto"/>
              </w:rPr>
            </w:pPr>
            <w:r>
              <w:rPr>
                <w:rFonts w:ascii="Arial" w:cs="Arial" w:eastAsia="Arial" w:hAnsi="Arial"/>
                <w:sz w:val="20"/>
                <w:szCs w:val="20"/>
                <w:color w:val="auto"/>
                <w:w w:val="81"/>
              </w:rPr>
              <w:t>compensation plans (excluding securities</w:t>
            </w:r>
          </w:p>
        </w:tc>
        <w:tc>
          <w:tcPr>
            <w:tcW w:w="0" w:type="dxa"/>
            <w:vAlign w:val="bottom"/>
          </w:tcPr>
          <w:p>
            <w:pPr>
              <w:spacing w:after="0"/>
              <w:rPr>
                <w:sz w:val="1"/>
                <w:szCs w:val="1"/>
                <w:color w:val="auto"/>
              </w:rPr>
            </w:pPr>
          </w:p>
        </w:tc>
      </w:tr>
      <w:tr>
        <w:trPr>
          <w:trHeight w:val="231"/>
        </w:trPr>
        <w:tc>
          <w:tcPr>
            <w:tcW w:w="1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Plan Category</w:t>
            </w:r>
          </w:p>
        </w:tc>
        <w:tc>
          <w:tcPr>
            <w:tcW w:w="1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1"/>
              </w:rPr>
              <w:t xml:space="preserve">warrants and rights </w:t>
            </w:r>
            <w:r>
              <w:rPr>
                <w:rFonts w:ascii="Arial" w:cs="Arial" w:eastAsia="Arial" w:hAnsi="Arial"/>
                <w:sz w:val="12"/>
                <w:szCs w:val="12"/>
                <w:color w:val="auto"/>
                <w:w w:val="81"/>
              </w:rPr>
              <w:t>(1)</w:t>
            </w:r>
          </w:p>
        </w:tc>
        <w:tc>
          <w:tcPr>
            <w:tcW w:w="1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2"/>
              </w:rPr>
              <w:t>warrants and rights</w:t>
            </w:r>
          </w:p>
        </w:tc>
        <w:tc>
          <w:tcPr>
            <w:tcW w:w="16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4"/>
          </w:tcPr>
          <w:p>
            <w:pPr>
              <w:jc w:val="center"/>
              <w:ind w:right="35"/>
              <w:spacing w:after="0"/>
              <w:rPr>
                <w:sz w:val="20"/>
                <w:szCs w:val="20"/>
                <w:color w:val="auto"/>
              </w:rPr>
            </w:pPr>
            <w:r>
              <w:rPr>
                <w:rFonts w:ascii="Arial" w:cs="Arial" w:eastAsia="Arial" w:hAnsi="Arial"/>
                <w:sz w:val="20"/>
                <w:szCs w:val="20"/>
                <w:color w:val="auto"/>
                <w:w w:val="81"/>
              </w:rPr>
              <w:t xml:space="preserve">reflected in the first column) </w:t>
            </w: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258"/>
        </w:trPr>
        <w:tc>
          <w:tcPr>
            <w:tcW w:w="1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88"/>
              </w:rPr>
              <w:t>Equity compensation</w:t>
            </w:r>
          </w:p>
        </w:tc>
        <w:tc>
          <w:tcPr>
            <w:tcW w:w="16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plans approved by</w:t>
            </w:r>
          </w:p>
        </w:tc>
        <w:tc>
          <w:tcPr>
            <w:tcW w:w="160" w:type="dxa"/>
            <w:vAlign w:val="bottom"/>
            <w:tcBorders>
              <w:right w:val="single" w:sz="8" w:color="auto"/>
            </w:tcBorders>
          </w:tcPr>
          <w:p>
            <w:pPr>
              <w:spacing w:after="0"/>
              <w:rPr>
                <w:sz w:val="20"/>
                <w:szCs w:val="2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20"/>
                <w:szCs w:val="20"/>
                <w:color w:val="auto"/>
              </w:rPr>
              <w:t>202,535</w:t>
            </w:r>
          </w:p>
        </w:tc>
        <w:tc>
          <w:tcPr>
            <w:tcW w:w="880" w:type="dxa"/>
            <w:vAlign w:val="bottom"/>
            <w:tcBorders>
              <w:right w:val="single" w:sz="8" w:color="auto"/>
            </w:tcBorders>
            <w:vMerge w:val="restart"/>
          </w:tcPr>
          <w:p>
            <w:pPr>
              <w:jc w:val="right"/>
              <w:ind w:right="595"/>
              <w:spacing w:after="0"/>
              <w:rPr>
                <w:sz w:val="20"/>
                <w:szCs w:val="20"/>
                <w:color w:val="auto"/>
              </w:rPr>
            </w:pPr>
            <w:r>
              <w:rPr>
                <w:rFonts w:ascii="Arial" w:cs="Arial" w:eastAsia="Arial" w:hAnsi="Arial"/>
                <w:sz w:val="13"/>
                <w:szCs w:val="13"/>
                <w:color w:val="auto"/>
              </w:rPr>
              <w:t>(3)</w:t>
            </w:r>
          </w:p>
        </w:tc>
        <w:tc>
          <w:tcPr>
            <w:tcW w:w="1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vMerge w:val="restart"/>
          </w:tcPr>
          <w:p>
            <w:pPr>
              <w:ind w:left="660"/>
              <w:spacing w:after="0"/>
              <w:rPr>
                <w:sz w:val="20"/>
                <w:szCs w:val="20"/>
                <w:color w:val="auto"/>
              </w:rPr>
            </w:pPr>
            <w:r>
              <w:rPr>
                <w:rFonts w:ascii="Arial" w:cs="Arial" w:eastAsia="Arial" w:hAnsi="Arial"/>
                <w:sz w:val="20"/>
                <w:szCs w:val="20"/>
                <w:color w:val="auto"/>
              </w:rPr>
              <w:t xml:space="preserve">N/A </w:t>
            </w:r>
            <w:r>
              <w:rPr>
                <w:rFonts w:ascii="Arial" w:cs="Arial" w:eastAsia="Arial" w:hAnsi="Arial"/>
                <w:sz w:val="12"/>
                <w:szCs w:val="12"/>
                <w:color w:val="auto"/>
              </w:rPr>
              <w:t>(4)</w:t>
            </w:r>
          </w:p>
        </w:tc>
        <w:tc>
          <w:tcPr>
            <w:tcW w:w="160" w:type="dxa"/>
            <w:vAlign w:val="bottom"/>
            <w:tcBorders>
              <w:right w:val="single" w:sz="8" w:color="auto"/>
            </w:tcBorders>
          </w:tcPr>
          <w:p>
            <w:pPr>
              <w:spacing w:after="0"/>
              <w:rPr>
                <w:sz w:val="20"/>
                <w:szCs w:val="20"/>
                <w:color w:val="auto"/>
              </w:rPr>
            </w:pPr>
          </w:p>
        </w:tc>
        <w:tc>
          <w:tcPr>
            <w:tcW w:w="1860" w:type="dxa"/>
            <w:vAlign w:val="bottom"/>
            <w:gridSpan w:val="3"/>
            <w:vMerge w:val="restart"/>
          </w:tcPr>
          <w:p>
            <w:pPr>
              <w:jc w:val="right"/>
              <w:ind w:right="40"/>
              <w:spacing w:after="0"/>
              <w:rPr>
                <w:sz w:val="20"/>
                <w:szCs w:val="20"/>
                <w:color w:val="auto"/>
              </w:rPr>
            </w:pPr>
            <w:r>
              <w:rPr>
                <w:rFonts w:ascii="Arial" w:cs="Arial" w:eastAsia="Arial" w:hAnsi="Arial"/>
                <w:sz w:val="20"/>
                <w:szCs w:val="20"/>
                <w:color w:val="auto"/>
              </w:rPr>
              <w:t>1,012,097</w:t>
            </w:r>
          </w:p>
        </w:tc>
        <w:tc>
          <w:tcPr>
            <w:tcW w:w="1300" w:type="dxa"/>
            <w:vAlign w:val="bottom"/>
            <w:tcBorders>
              <w:right w:val="single" w:sz="8" w:color="auto"/>
            </w:tcBorders>
            <w:vMerge w:val="restart"/>
          </w:tcPr>
          <w:p>
            <w:pPr>
              <w:jc w:val="right"/>
              <w:ind w:right="1075"/>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rPr>
                <w:sz w:val="1"/>
                <w:szCs w:val="1"/>
                <w:color w:val="auto"/>
              </w:rPr>
            </w:pPr>
          </w:p>
        </w:tc>
      </w:tr>
      <w:tr>
        <w:trPr>
          <w:trHeight w:val="231"/>
        </w:trPr>
        <w:tc>
          <w:tcPr>
            <w:tcW w:w="1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 xml:space="preserve">security holders </w:t>
            </w:r>
            <w:r>
              <w:rPr>
                <w:rFonts w:ascii="Arial" w:cs="Arial" w:eastAsia="Arial" w:hAnsi="Arial"/>
                <w:sz w:val="12"/>
                <w:szCs w:val="12"/>
                <w:color w:val="auto"/>
              </w:rPr>
              <w:t>(2)</w:t>
            </w:r>
          </w:p>
        </w:tc>
        <w:tc>
          <w:tcPr>
            <w:tcW w:w="1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vMerge w:val="continue"/>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3"/>
            <w:vMerge w:val="continue"/>
          </w:tcPr>
          <w:p>
            <w:pPr>
              <w:spacing w:after="0"/>
              <w:rPr>
                <w:sz w:val="20"/>
                <w:szCs w:val="20"/>
                <w:color w:val="auto"/>
              </w:rPr>
            </w:pPr>
          </w:p>
        </w:tc>
        <w:tc>
          <w:tcPr>
            <w:tcW w:w="1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88"/>
              </w:rPr>
              <w:t>Equity compensation</w:t>
            </w:r>
          </w:p>
        </w:tc>
        <w:tc>
          <w:tcPr>
            <w:tcW w:w="16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800" w:type="dxa"/>
            <w:vAlign w:val="bottom"/>
            <w:tcBorders>
              <w:left w:val="single" w:sz="8" w:color="auto"/>
              <w:right w:val="single" w:sz="8" w:color="auto"/>
            </w:tcBorders>
          </w:tcPr>
          <w:p>
            <w:pPr>
              <w:ind w:left="120"/>
              <w:spacing w:after="0" w:line="227" w:lineRule="exact"/>
              <w:rPr>
                <w:sz w:val="20"/>
                <w:szCs w:val="20"/>
                <w:color w:val="auto"/>
              </w:rPr>
            </w:pPr>
            <w:r>
              <w:rPr>
                <w:rFonts w:ascii="Arial" w:cs="Arial" w:eastAsia="Arial" w:hAnsi="Arial"/>
                <w:sz w:val="20"/>
                <w:szCs w:val="20"/>
                <w:color w:val="auto"/>
                <w:w w:val="83"/>
              </w:rPr>
              <w:t>plans not approved by</w:t>
            </w:r>
          </w:p>
        </w:tc>
        <w:tc>
          <w:tcPr>
            <w:tcW w:w="16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93,154</w:t>
            </w:r>
          </w:p>
        </w:tc>
        <w:tc>
          <w:tcPr>
            <w:tcW w:w="880" w:type="dxa"/>
            <w:vAlign w:val="bottom"/>
            <w:tcBorders>
              <w:right w:val="single" w:sz="8" w:color="auto"/>
            </w:tcBorders>
            <w:vMerge w:val="restart"/>
          </w:tcPr>
          <w:p>
            <w:pPr>
              <w:jc w:val="right"/>
              <w:ind w:right="595"/>
              <w:spacing w:after="0"/>
              <w:rPr>
                <w:sz w:val="20"/>
                <w:szCs w:val="20"/>
                <w:color w:val="auto"/>
              </w:rPr>
            </w:pPr>
            <w:r>
              <w:rPr>
                <w:rFonts w:ascii="Arial" w:cs="Arial" w:eastAsia="Arial" w:hAnsi="Arial"/>
                <w:sz w:val="13"/>
                <w:szCs w:val="13"/>
                <w:color w:val="auto"/>
              </w:rPr>
              <w:t>(6)</w:t>
            </w:r>
          </w:p>
        </w:tc>
        <w:tc>
          <w:tcPr>
            <w:tcW w:w="1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vMerge w:val="restart"/>
          </w:tcPr>
          <w:p>
            <w:pPr>
              <w:ind w:left="660"/>
              <w:spacing w:after="0"/>
              <w:rPr>
                <w:sz w:val="20"/>
                <w:szCs w:val="20"/>
                <w:color w:val="auto"/>
              </w:rPr>
            </w:pPr>
            <w:r>
              <w:rPr>
                <w:rFonts w:ascii="Arial" w:cs="Arial" w:eastAsia="Arial" w:hAnsi="Arial"/>
                <w:sz w:val="20"/>
                <w:szCs w:val="20"/>
                <w:color w:val="auto"/>
              </w:rPr>
              <w:t xml:space="preserve">N/A </w:t>
            </w:r>
            <w:r>
              <w:rPr>
                <w:rFonts w:ascii="Arial" w:cs="Arial" w:eastAsia="Arial" w:hAnsi="Arial"/>
                <w:sz w:val="12"/>
                <w:szCs w:val="12"/>
                <w:color w:val="auto"/>
              </w:rPr>
              <w:t>(4)</w:t>
            </w:r>
          </w:p>
        </w:tc>
        <w:tc>
          <w:tcPr>
            <w:tcW w:w="16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21,316</w:t>
            </w:r>
          </w:p>
        </w:tc>
        <w:tc>
          <w:tcPr>
            <w:tcW w:w="40" w:type="dxa"/>
            <w:vAlign w:val="bottom"/>
          </w:tcPr>
          <w:p>
            <w:pPr>
              <w:spacing w:after="0"/>
              <w:rPr>
                <w:sz w:val="19"/>
                <w:szCs w:val="19"/>
                <w:color w:val="auto"/>
              </w:rPr>
            </w:pPr>
          </w:p>
        </w:tc>
        <w:tc>
          <w:tcPr>
            <w:tcW w:w="1300" w:type="dxa"/>
            <w:vAlign w:val="bottom"/>
            <w:tcBorders>
              <w:right w:val="single" w:sz="8" w:color="auto"/>
            </w:tcBorders>
            <w:vMerge w:val="restart"/>
          </w:tcPr>
          <w:p>
            <w:pPr>
              <w:jc w:val="right"/>
              <w:ind w:right="1075"/>
              <w:spacing w:after="0"/>
              <w:rPr>
                <w:sz w:val="20"/>
                <w:szCs w:val="20"/>
                <w:color w:val="auto"/>
              </w:rPr>
            </w:pPr>
            <w:r>
              <w:rPr>
                <w:rFonts w:ascii="Arial" w:cs="Arial" w:eastAsia="Arial" w:hAnsi="Arial"/>
                <w:sz w:val="13"/>
                <w:szCs w:val="13"/>
                <w:color w:val="auto"/>
                <w:w w:val="87"/>
              </w:rPr>
              <w:t>(6)</w:t>
            </w:r>
          </w:p>
        </w:tc>
        <w:tc>
          <w:tcPr>
            <w:tcW w:w="0" w:type="dxa"/>
            <w:vAlign w:val="bottom"/>
          </w:tcPr>
          <w:p>
            <w:pPr>
              <w:spacing w:after="0"/>
              <w:rPr>
                <w:sz w:val="1"/>
                <w:szCs w:val="1"/>
                <w:color w:val="auto"/>
              </w:rPr>
            </w:pPr>
          </w:p>
        </w:tc>
      </w:tr>
      <w:tr>
        <w:trPr>
          <w:trHeight w:val="178"/>
        </w:trPr>
        <w:tc>
          <w:tcPr>
            <w:tcW w:w="180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9"/>
                <w:szCs w:val="19"/>
                <w:color w:val="auto"/>
              </w:rPr>
              <w:t xml:space="preserve">security holders </w:t>
            </w:r>
            <w:r>
              <w:rPr>
                <w:rFonts w:ascii="Arial" w:cs="Arial" w:eastAsia="Arial" w:hAnsi="Arial"/>
                <w:sz w:val="12"/>
                <w:szCs w:val="12"/>
                <w:color w:val="auto"/>
              </w:rPr>
              <w:t>(6)</w:t>
            </w:r>
          </w:p>
        </w:tc>
        <w:tc>
          <w:tcPr>
            <w:tcW w:w="16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1800" w:type="dxa"/>
            <w:vAlign w:val="bottom"/>
            <w:tcBorders>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295,689</w:t>
            </w:r>
          </w:p>
        </w:tc>
        <w:tc>
          <w:tcPr>
            <w:tcW w:w="8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20"/>
                <w:szCs w:val="20"/>
                <w:color w:val="auto"/>
              </w:rPr>
              <w:t xml:space="preserve">N/A </w:t>
            </w:r>
            <w:r>
              <w:rPr>
                <w:rFonts w:ascii="Arial" w:cs="Arial" w:eastAsia="Arial" w:hAnsi="Arial"/>
                <w:sz w:val="25"/>
                <w:szCs w:val="25"/>
                <w:color w:val="auto"/>
                <w:vertAlign w:val="superscript"/>
              </w:rPr>
              <w:t>(4)</w:t>
            </w:r>
          </w:p>
        </w:tc>
        <w:tc>
          <w:tcPr>
            <w:tcW w:w="1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1,033,413</w:t>
            </w: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185" w:lineRule="exact"/>
        <w:rPr>
          <w:sz w:val="20"/>
          <w:szCs w:val="20"/>
          <w:color w:val="auto"/>
        </w:rPr>
      </w:pPr>
    </w:p>
    <w:p>
      <w:pPr>
        <w:ind w:left="720" w:right="20" w:hanging="359"/>
        <w:spacing w:after="0" w:line="300" w:lineRule="auto"/>
        <w:tabs>
          <w:tab w:leader="none" w:pos="720" w:val="left"/>
        </w:tabs>
        <w:numPr>
          <w:ilvl w:val="0"/>
          <w:numId w:val="15"/>
        </w:numPr>
        <w:rPr>
          <w:rFonts w:ascii="Arial" w:cs="Arial" w:eastAsia="Arial" w:hAnsi="Arial"/>
          <w:sz w:val="11"/>
          <w:szCs w:val="11"/>
          <w:color w:val="auto"/>
        </w:rPr>
      </w:pPr>
      <w:r>
        <w:rPr>
          <w:rFonts w:ascii="Arial" w:cs="Arial" w:eastAsia="Arial" w:hAnsi="Arial"/>
          <w:sz w:val="16"/>
          <w:szCs w:val="16"/>
          <w:color w:val="auto"/>
        </w:rPr>
        <w:t>The number of shares is subject to adjustment for future changes in capitalization by stock splits, stock dividends and similar events. Does not include shares that may be purchased on the open market pursuant to the Company’s Employee</w:t>
      </w:r>
    </w:p>
    <w:p>
      <w:pPr>
        <w:ind w:left="720" w:right="200"/>
        <w:spacing w:after="0" w:line="299" w:lineRule="auto"/>
        <w:rPr>
          <w:rFonts w:ascii="Arial" w:cs="Arial" w:eastAsia="Arial" w:hAnsi="Arial"/>
          <w:sz w:val="11"/>
          <w:szCs w:val="11"/>
          <w:color w:val="auto"/>
        </w:rPr>
      </w:pPr>
      <w:r>
        <w:rPr>
          <w:rFonts w:ascii="Arial" w:cs="Arial" w:eastAsia="Arial" w:hAnsi="Arial"/>
          <w:sz w:val="16"/>
          <w:szCs w:val="16"/>
          <w:color w:val="auto"/>
        </w:rPr>
        <w:t>Stock Purchase Plan (the “ESPP”). Under the ESPP, participants may elect to have up to 10% of their current salary or wages withheld and contributed to one or more independent trustees for the purchase of shares. At the discretion of an officer of the Company, the Company or a domestic subsidiary or division may contribute cash in an amount not to exceed 20% of the amounts contributed by participants; however, the total number of shares purchased with the</w:t>
      </w:r>
    </w:p>
    <w:p>
      <w:pPr>
        <w:ind w:left="720" w:right="100"/>
        <w:spacing w:after="0" w:line="238" w:lineRule="auto"/>
        <w:rPr>
          <w:rFonts w:ascii="Arial" w:cs="Arial" w:eastAsia="Arial" w:hAnsi="Arial"/>
          <w:sz w:val="11"/>
          <w:szCs w:val="11"/>
          <w:color w:val="auto"/>
        </w:rPr>
      </w:pPr>
      <w:r>
        <w:rPr>
          <w:rFonts w:ascii="Arial" w:cs="Arial" w:eastAsia="Arial" w:hAnsi="Arial"/>
          <w:sz w:val="20"/>
          <w:szCs w:val="20"/>
          <w:color w:val="auto"/>
        </w:rPr>
        <w:t>Company’s matching contributions after October 15, 2003 may not exceed 275,000. As of September 30, 2023, 650,959 shares had been purchased with the Company’s matching funds of which 238,937 were purchased after October 15, 2003.</w:t>
      </w:r>
    </w:p>
    <w:p>
      <w:pPr>
        <w:spacing w:after="0" w:line="121" w:lineRule="exact"/>
        <w:rPr>
          <w:rFonts w:ascii="Arial" w:cs="Arial" w:eastAsia="Arial" w:hAnsi="Arial"/>
          <w:sz w:val="11"/>
          <w:szCs w:val="11"/>
          <w:color w:val="auto"/>
        </w:rPr>
      </w:pPr>
    </w:p>
    <w:p>
      <w:pPr>
        <w:ind w:left="720" w:hanging="359"/>
        <w:spacing w:after="0"/>
        <w:tabs>
          <w:tab w:leader="none" w:pos="720" w:val="left"/>
        </w:tabs>
        <w:numPr>
          <w:ilvl w:val="0"/>
          <w:numId w:val="15"/>
        </w:numPr>
        <w:rPr>
          <w:rFonts w:ascii="Arial" w:cs="Arial" w:eastAsia="Arial" w:hAnsi="Arial"/>
          <w:sz w:val="13"/>
          <w:szCs w:val="13"/>
          <w:color w:val="auto"/>
        </w:rPr>
      </w:pPr>
      <w:r>
        <w:rPr>
          <w:rFonts w:ascii="Arial" w:cs="Arial" w:eastAsia="Arial" w:hAnsi="Arial"/>
          <w:sz w:val="20"/>
          <w:szCs w:val="20"/>
          <w:color w:val="auto"/>
        </w:rPr>
        <w:t>Consists of the Company’s 2018 Omnibus Incentive Plan (the “Omnibus Plan”).</w:t>
      </w:r>
    </w:p>
    <w:p>
      <w:pPr>
        <w:spacing w:after="0" w:line="120" w:lineRule="exact"/>
        <w:rPr>
          <w:rFonts w:ascii="Arial" w:cs="Arial" w:eastAsia="Arial" w:hAnsi="Arial"/>
          <w:sz w:val="13"/>
          <w:szCs w:val="13"/>
          <w:color w:val="auto"/>
        </w:rPr>
      </w:pPr>
    </w:p>
    <w:p>
      <w:pPr>
        <w:jc w:val="both"/>
        <w:ind w:left="720" w:right="80" w:hanging="359"/>
        <w:spacing w:after="0" w:line="360" w:lineRule="auto"/>
        <w:tabs>
          <w:tab w:leader="none" w:pos="720" w:val="left"/>
        </w:tabs>
        <w:numPr>
          <w:ilvl w:val="0"/>
          <w:numId w:val="15"/>
        </w:numPr>
        <w:rPr>
          <w:rFonts w:ascii="Arial" w:cs="Arial" w:eastAsia="Arial" w:hAnsi="Arial"/>
          <w:sz w:val="11"/>
          <w:szCs w:val="11"/>
          <w:color w:val="auto"/>
        </w:rPr>
      </w:pPr>
      <w:r>
        <w:rPr>
          <w:rFonts w:ascii="Arial" w:cs="Arial" w:eastAsia="Arial" w:hAnsi="Arial"/>
          <w:sz w:val="16"/>
          <w:szCs w:val="16"/>
          <w:color w:val="auto"/>
        </w:rPr>
        <w:t>Represents shares issuable under the Omnibus Plan (i) upon vesting of stock-based awards granted under the Omnibus Plan or (ii) upon distribution of vested shares held by directors who have made an election to defer their receipt of stock-</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9540"/>
          </w:cols>
          <w:pgMar w:left="1440" w:top="1440" w:right="1260" w:bottom="0" w:gutter="0" w:footer="0" w:header="0"/>
          <w:type w:val="continuous"/>
        </w:sectPr>
      </w:pPr>
    </w:p>
    <w:bookmarkStart w:id="36" w:name="page37"/>
    <w:bookmarkEnd w:id="36"/>
    <w:p>
      <w:pPr>
        <w:ind w:left="720" w:right="260"/>
        <w:spacing w:after="0" w:line="238" w:lineRule="auto"/>
        <w:rPr>
          <w:sz w:val="20"/>
          <w:szCs w:val="20"/>
          <w:color w:val="auto"/>
        </w:rPr>
      </w:pPr>
      <w:r>
        <w:rPr>
          <w:rFonts w:ascii="Arial" w:cs="Arial" w:eastAsia="Arial" w:hAnsi="Arial"/>
          <w:sz w:val="20"/>
          <w:szCs w:val="20"/>
          <w:color w:val="auto"/>
        </w:rPr>
        <w:t>based compensation issuable under the Omnibus Plan. Includes a number of common stock equivalents representing dividends accrued on unvested and vested deferred shares, which are distributable in common stock along with the underlying shares.</w:t>
      </w:r>
    </w:p>
    <w:p>
      <w:pPr>
        <w:spacing w:after="0" w:line="123" w:lineRule="exact"/>
        <w:rPr>
          <w:sz w:val="20"/>
          <w:szCs w:val="20"/>
          <w:color w:val="auto"/>
        </w:rPr>
      </w:pPr>
    </w:p>
    <w:p>
      <w:pPr>
        <w:ind w:left="720" w:hanging="359"/>
        <w:spacing w:after="0"/>
        <w:tabs>
          <w:tab w:leader="none" w:pos="720" w:val="left"/>
        </w:tabs>
        <w:numPr>
          <w:ilvl w:val="0"/>
          <w:numId w:val="16"/>
        </w:numPr>
        <w:rPr>
          <w:rFonts w:ascii="Arial" w:cs="Arial" w:eastAsia="Arial" w:hAnsi="Arial"/>
          <w:sz w:val="13"/>
          <w:szCs w:val="13"/>
          <w:color w:val="auto"/>
        </w:rPr>
      </w:pPr>
      <w:r>
        <w:rPr>
          <w:rFonts w:ascii="Arial" w:cs="Arial" w:eastAsia="Arial" w:hAnsi="Arial"/>
          <w:sz w:val="20"/>
          <w:szCs w:val="20"/>
          <w:color w:val="auto"/>
        </w:rPr>
        <w:t>The securities outstanding at September 30, 2023 have no exercise price.</w:t>
      </w:r>
    </w:p>
    <w:p>
      <w:pPr>
        <w:spacing w:after="0" w:line="120" w:lineRule="exact"/>
        <w:rPr>
          <w:rFonts w:ascii="Arial" w:cs="Arial" w:eastAsia="Arial" w:hAnsi="Arial"/>
          <w:sz w:val="13"/>
          <w:szCs w:val="13"/>
          <w:color w:val="auto"/>
        </w:rPr>
      </w:pPr>
    </w:p>
    <w:p>
      <w:pPr>
        <w:ind w:left="720" w:hanging="359"/>
        <w:spacing w:after="0"/>
        <w:tabs>
          <w:tab w:leader="none" w:pos="720" w:val="left"/>
        </w:tabs>
        <w:numPr>
          <w:ilvl w:val="0"/>
          <w:numId w:val="16"/>
        </w:numPr>
        <w:rPr>
          <w:rFonts w:ascii="Arial" w:cs="Arial" w:eastAsia="Arial" w:hAnsi="Arial"/>
          <w:sz w:val="13"/>
          <w:szCs w:val="13"/>
          <w:color w:val="auto"/>
        </w:rPr>
      </w:pPr>
      <w:r>
        <w:rPr>
          <w:rFonts w:ascii="Arial" w:cs="Arial" w:eastAsia="Arial" w:hAnsi="Arial"/>
          <w:sz w:val="20"/>
          <w:szCs w:val="20"/>
          <w:color w:val="auto"/>
        </w:rPr>
        <w:t>Represents shares currently available for awards under the Omnibus Plan.</w:t>
      </w:r>
    </w:p>
    <w:p>
      <w:pPr>
        <w:spacing w:after="0" w:line="120" w:lineRule="exact"/>
        <w:rPr>
          <w:rFonts w:ascii="Arial" w:cs="Arial" w:eastAsia="Arial" w:hAnsi="Arial"/>
          <w:sz w:val="13"/>
          <w:szCs w:val="13"/>
          <w:color w:val="auto"/>
        </w:rPr>
      </w:pPr>
    </w:p>
    <w:p>
      <w:pPr>
        <w:ind w:left="720" w:right="80" w:hanging="359"/>
        <w:spacing w:after="0" w:line="299" w:lineRule="auto"/>
        <w:tabs>
          <w:tab w:leader="none" w:pos="720" w:val="left"/>
        </w:tabs>
        <w:numPr>
          <w:ilvl w:val="0"/>
          <w:numId w:val="16"/>
        </w:numPr>
        <w:rPr>
          <w:rFonts w:ascii="Arial" w:cs="Arial" w:eastAsia="Arial" w:hAnsi="Arial"/>
          <w:sz w:val="11"/>
          <w:szCs w:val="11"/>
          <w:color w:val="auto"/>
        </w:rPr>
      </w:pPr>
      <w:r>
        <w:rPr>
          <w:rFonts w:ascii="Arial" w:cs="Arial" w:eastAsia="Arial" w:hAnsi="Arial"/>
          <w:sz w:val="16"/>
          <w:szCs w:val="16"/>
          <w:color w:val="auto"/>
        </w:rPr>
        <w:t>Consists of the Company’s Compensation Plan for Non-Employee Directors (the “Directors Compensation Plan”), under which the Company’s non-employee directors were compensated before 2021, since when the directors have been compensated under the Omnibus Plan. As of September 30, 2023, of the 400,000 shares authorized for issuance under the Directors Compensation Plan a total of 285,530 shares had been issued and approximately 93,154 shares had been elected by various directors to be issued on a deferred basis; the remaining 21,316 shares will be used, if at all, only to satisfy dividend accrual rights attached to deferred shares previously awarded under the Directors Compensation Plan; however, all such accruals in fiscal 2023 were charged to the Omnibus Plan. Details of the directors’ compensation, including elective deferrals and dividend accrual rights, are hereby incorporated by reference to the section captioned</w:t>
      </w:r>
    </w:p>
    <w:p>
      <w:pPr>
        <w:spacing w:after="0" w:line="2" w:lineRule="exact"/>
        <w:rPr>
          <w:rFonts w:ascii="Arial" w:cs="Arial" w:eastAsia="Arial" w:hAnsi="Arial"/>
          <w:sz w:val="11"/>
          <w:szCs w:val="11"/>
          <w:color w:val="auto"/>
        </w:rPr>
      </w:pPr>
    </w:p>
    <w:p>
      <w:pPr>
        <w:ind w:left="720"/>
        <w:spacing w:after="0" w:line="237" w:lineRule="auto"/>
        <w:rPr>
          <w:rFonts w:ascii="Arial" w:cs="Arial" w:eastAsia="Arial" w:hAnsi="Arial"/>
          <w:sz w:val="11"/>
          <w:szCs w:val="11"/>
          <w:color w:val="auto"/>
        </w:rPr>
      </w:pPr>
      <w:r>
        <w:rPr>
          <w:rFonts w:ascii="Arial" w:cs="Arial" w:eastAsia="Arial" w:hAnsi="Arial"/>
          <w:sz w:val="20"/>
          <w:szCs w:val="20"/>
          <w:color w:val="auto"/>
        </w:rPr>
        <w:t>“Directors Compensation” in the 2023 Proxy Statement.</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30" w:lineRule="exact"/>
        <w:rPr>
          <w:sz w:val="20"/>
          <w:szCs w:val="20"/>
          <w:color w:val="auto"/>
        </w:rPr>
      </w:pPr>
    </w:p>
    <w:p>
      <w:pPr>
        <w:jc w:val="both"/>
        <w:ind w:right="140"/>
        <w:spacing w:after="0" w:line="236" w:lineRule="auto"/>
        <w:rPr>
          <w:sz w:val="20"/>
          <w:szCs w:val="20"/>
          <w:color w:val="auto"/>
        </w:rPr>
      </w:pPr>
      <w:r>
        <w:rPr>
          <w:rFonts w:ascii="Times New Roman" w:cs="Times New Roman" w:eastAsia="Times New Roman" w:hAnsi="Times New Roman"/>
          <w:sz w:val="20"/>
          <w:szCs w:val="20"/>
          <w:color w:val="auto"/>
        </w:rPr>
        <w:t xml:space="preserve">Information regarding transactions with related parties and the independence of our directors, nominees for directors and members of the committees of our board of directors is hereby incorporated by reference to the section captioned </w:t>
      </w:r>
      <w:r>
        <w:rPr>
          <w:rFonts w:ascii="Arial" w:cs="Arial" w:eastAsia="Arial" w:hAnsi="Arial"/>
          <w:sz w:val="20"/>
          <w:szCs w:val="20"/>
          <w:color w:val="auto"/>
        </w:rPr>
        <w:t>“</w:t>
      </w:r>
      <w:r>
        <w:rPr>
          <w:rFonts w:ascii="Times New Roman" w:cs="Times New Roman" w:eastAsia="Times New Roman" w:hAnsi="Times New Roman"/>
          <w:sz w:val="20"/>
          <w:szCs w:val="20"/>
          <w:color w:val="auto"/>
        </w:rPr>
        <w:t>Proposal 1: Election of</w:t>
      </w:r>
      <w:r>
        <w:rPr>
          <w:rFonts w:ascii="Arial" w:cs="Arial" w:eastAsia="Arial" w:hAnsi="Arial"/>
          <w:sz w:val="20"/>
          <w:szCs w:val="20"/>
          <w:color w:val="auto"/>
        </w:rPr>
        <w:t xml:space="preserve"> Directors” in the </w:t>
      </w:r>
      <w:r>
        <w:rPr>
          <w:rFonts w:ascii="Times New Roman" w:cs="Times New Roman" w:eastAsia="Times New Roman" w:hAnsi="Times New Roman"/>
          <w:sz w:val="20"/>
          <w:szCs w:val="20"/>
          <w:color w:val="auto"/>
        </w:rPr>
        <w:t>2023 Proxy Statement.</w:t>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Information regarding our independent registered public accounting firm, its fees and services, and our Audit and Finance Committee</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pre-approval policies and procedures regarding such fees and services, is hereby incorporated by reference to the section captioned </w:t>
      </w:r>
      <w:r>
        <w:rPr>
          <w:rFonts w:ascii="Arial" w:cs="Arial" w:eastAsia="Arial" w:hAnsi="Arial"/>
          <w:sz w:val="20"/>
          <w:szCs w:val="20"/>
          <w:color w:val="auto"/>
        </w:rPr>
        <w:t>“</w:t>
      </w:r>
      <w:r>
        <w:rPr>
          <w:rFonts w:ascii="Times New Roman" w:cs="Times New Roman" w:eastAsia="Times New Roman" w:hAnsi="Times New Roman"/>
          <w:sz w:val="20"/>
          <w:szCs w:val="20"/>
          <w:color w:val="auto"/>
        </w:rPr>
        <w:t>Proposal 3: Ratification of Appointment of Independent Registered Pubic Accounting Firm</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in the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9520"/>
          </w:cols>
          <w:pgMar w:left="1440" w:top="1439" w:right="1280" w:bottom="0" w:gutter="0" w:footer="0" w:header="0"/>
        </w:sectPr>
      </w:pPr>
    </w:p>
    <w:bookmarkStart w:id="37" w:name="page38"/>
    <w:bookmarkEnd w:id="37"/>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24"/>
          <w:szCs w:val="24"/>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50165</wp:posOffset>
            </wp:positionV>
            <wp:extent cx="609854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extLst>
                    </a:blip>
                    <a:srcRect/>
                    <a:stretch>
                      <a:fillRect/>
                    </a:stretch>
                  </pic:blipFill>
                  <pic:spPr bwMode="auto">
                    <a:xfrm>
                      <a:off x="0" y="0"/>
                      <a:ext cx="609854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21" w:lineRule="exact"/>
        <w:rPr>
          <w:sz w:val="20"/>
          <w:szCs w:val="20"/>
          <w:color w:val="auto"/>
        </w:rPr>
      </w:pPr>
    </w:p>
    <w:p>
      <w:pPr>
        <w:ind w:left="580" w:hanging="440"/>
        <w:spacing w:after="0"/>
        <w:tabs>
          <w:tab w:leader="none" w:pos="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Report:</w:t>
      </w:r>
    </w:p>
    <w:p>
      <w:pPr>
        <w:spacing w:after="0" w:line="129" w:lineRule="exact"/>
        <w:rPr>
          <w:rFonts w:ascii="Times New Roman" w:cs="Times New Roman" w:eastAsia="Times New Roman" w:hAnsi="Times New Roman"/>
          <w:sz w:val="20"/>
          <w:szCs w:val="20"/>
          <w:color w:val="auto"/>
        </w:rPr>
      </w:pPr>
    </w:p>
    <w:p>
      <w:pPr>
        <w:ind w:left="1000" w:right="20" w:hanging="427"/>
        <w:spacing w:after="0" w:line="237" w:lineRule="auto"/>
        <w:tabs>
          <w:tab w:leader="none" w:pos="1000" w:val="left"/>
        </w:tabs>
        <w:numPr>
          <w:ilvl w:val="1"/>
          <w:numId w:val="17"/>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 xml:space="preserve">Financial Statements. </w:t>
      </w:r>
      <w:r>
        <w:rPr>
          <w:rFonts w:ascii="Times New Roman" w:cs="Times New Roman" w:eastAsia="Times New Roman" w:hAnsi="Times New Roman"/>
          <w:sz w:val="20"/>
          <w:szCs w:val="20"/>
          <w:color w:val="auto"/>
        </w:rPr>
        <w:t>The Consolidated Financial Statements of the Company, and the Reports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Independent Registered Public Accounting Firm thereon of Grant Thornton LLP and KPMG LLP, are included in the Financial Information section of this Report beginning on page F-1; an Index thereto is set forth on page F-1.</w:t>
      </w:r>
    </w:p>
    <w:p>
      <w:pPr>
        <w:spacing w:after="0" w:line="131" w:lineRule="exact"/>
        <w:rPr>
          <w:rFonts w:ascii="Times New Roman" w:cs="Times New Roman" w:eastAsia="Times New Roman" w:hAnsi="Times New Roman"/>
          <w:sz w:val="20"/>
          <w:szCs w:val="20"/>
          <w:color w:val="auto"/>
        </w:rPr>
      </w:pPr>
    </w:p>
    <w:p>
      <w:pPr>
        <w:ind w:left="1000" w:right="100" w:hanging="427"/>
        <w:spacing w:after="0" w:line="236" w:lineRule="auto"/>
        <w:tabs>
          <w:tab w:leader="none" w:pos="1000" w:val="left"/>
        </w:tabs>
        <w:numPr>
          <w:ilvl w:val="1"/>
          <w:numId w:val="17"/>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 xml:space="preserve">Financial Statement Schedules. </w:t>
      </w:r>
      <w:r>
        <w:rPr>
          <w:rFonts w:ascii="Times New Roman" w:cs="Times New Roman" w:eastAsia="Times New Roman" w:hAnsi="Times New Roman"/>
          <w:sz w:val="20"/>
          <w:szCs w:val="20"/>
          <w:color w:val="auto"/>
        </w:rPr>
        <w:t>Financial Statement Schedules are omitted because either they are not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applicable or the required information is included in the Consolidated Financial Statements or the Notes thereto.</w:t>
      </w:r>
    </w:p>
    <w:p>
      <w:pPr>
        <w:spacing w:after="0" w:line="131" w:lineRule="exact"/>
        <w:rPr>
          <w:rFonts w:ascii="Times New Roman" w:cs="Times New Roman" w:eastAsia="Times New Roman" w:hAnsi="Times New Roman"/>
          <w:sz w:val="20"/>
          <w:szCs w:val="20"/>
          <w:color w:val="auto"/>
        </w:rPr>
      </w:pPr>
    </w:p>
    <w:p>
      <w:pPr>
        <w:ind w:left="1000" w:right="400" w:hanging="427"/>
        <w:spacing w:after="0" w:line="234" w:lineRule="auto"/>
        <w:tabs>
          <w:tab w:leader="none" w:pos="1000" w:val="left"/>
        </w:tabs>
        <w:numPr>
          <w:ilvl w:val="1"/>
          <w:numId w:val="17"/>
        </w:numPr>
        <w:rPr>
          <w:rFonts w:ascii="Times New Roman" w:cs="Times New Roman" w:eastAsia="Times New Roman" w:hAnsi="Times New Roman"/>
          <w:sz w:val="20"/>
          <w:szCs w:val="20"/>
          <w:color w:val="auto"/>
        </w:rPr>
      </w:pPr>
      <w:r>
        <w:rPr>
          <w:rFonts w:ascii="Arial" w:cs="Arial" w:eastAsia="Arial" w:hAnsi="Arial"/>
          <w:sz w:val="18"/>
          <w:szCs w:val="18"/>
          <w:b w:val="1"/>
          <w:bCs w:val="1"/>
          <w:i w:val="1"/>
          <w:iCs w:val="1"/>
          <w:color w:val="auto"/>
        </w:rPr>
        <w:t xml:space="preserve">Exhibits. </w:t>
      </w:r>
      <w:r>
        <w:rPr>
          <w:rFonts w:ascii="Times New Roman" w:cs="Times New Roman" w:eastAsia="Times New Roman" w:hAnsi="Times New Roman"/>
          <w:sz w:val="20"/>
          <w:szCs w:val="20"/>
          <w:color w:val="auto"/>
        </w:rPr>
        <w:t>The following exhibits are filed with this Report or incorporated herein by reference to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document location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20"/>
                <w:szCs w:val="20"/>
                <w:b w:val="1"/>
                <w:bCs w:val="1"/>
                <w:color w:val="auto"/>
              </w:rPr>
              <w:t>Exhibit No.</w:t>
            </w:r>
          </w:p>
        </w:tc>
        <w:tc>
          <w:tcPr>
            <w:tcW w:w="444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c>
          <w:tcPr>
            <w:tcW w:w="3520" w:type="dxa"/>
            <w:vAlign w:val="bottom"/>
            <w:gridSpan w:val="2"/>
          </w:tcPr>
          <w:p>
            <w:pPr>
              <w:spacing w:after="0"/>
              <w:rPr>
                <w:sz w:val="20"/>
                <w:szCs w:val="20"/>
                <w:color w:val="auto"/>
              </w:rPr>
            </w:pPr>
            <w:r>
              <w:rPr>
                <w:rFonts w:ascii="Arial" w:cs="Arial" w:eastAsia="Arial" w:hAnsi="Arial"/>
                <w:sz w:val="20"/>
                <w:szCs w:val="20"/>
                <w:b w:val="1"/>
                <w:bCs w:val="1"/>
                <w:color w:val="auto"/>
              </w:rPr>
              <w:t>Document Location</w:t>
            </w: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53"/>
        </w:trPr>
        <w:tc>
          <w:tcPr>
            <w:tcW w:w="1280" w:type="dxa"/>
            <w:vAlign w:val="bottom"/>
            <w:gridSpan w:val="3"/>
          </w:tcPr>
          <w:p>
            <w:pPr>
              <w:spacing w:after="0"/>
              <w:rPr>
                <w:sz w:val="20"/>
                <w:szCs w:val="20"/>
                <w:color w:val="auto"/>
              </w:rPr>
            </w:pPr>
            <w:r>
              <w:rPr>
                <w:rFonts w:ascii="Arial" w:cs="Arial" w:eastAsia="Arial" w:hAnsi="Arial"/>
                <w:sz w:val="20"/>
                <w:szCs w:val="20"/>
                <w:color w:val="auto"/>
              </w:rPr>
              <w:t>3.1(a)</w:t>
            </w:r>
          </w:p>
        </w:tc>
        <w:tc>
          <w:tcPr>
            <w:tcW w:w="4440" w:type="dxa"/>
            <w:vAlign w:val="bottom"/>
            <w:gridSpan w:val="2"/>
          </w:tcPr>
          <w:p>
            <w:pPr>
              <w:spacing w:after="0"/>
              <w:rPr>
                <w:sz w:val="20"/>
                <w:szCs w:val="20"/>
                <w:color w:val="auto"/>
              </w:rPr>
            </w:pPr>
            <w:r>
              <w:rPr>
                <w:rFonts w:ascii="Arial" w:cs="Arial" w:eastAsia="Arial" w:hAnsi="Arial"/>
                <w:sz w:val="20"/>
                <w:szCs w:val="20"/>
                <w:color w:val="auto"/>
              </w:rPr>
              <w:t>Restated Articles of Incorporation</w:t>
            </w:r>
          </w:p>
        </w:tc>
        <w:tc>
          <w:tcPr>
            <w:tcW w:w="3520" w:type="dxa"/>
            <w:vAlign w:val="bottom"/>
            <w:gridSpan w:val="2"/>
          </w:tcPr>
          <w:p>
            <w:pPr>
              <w:spacing w:after="0"/>
              <w:rPr>
                <w:sz w:val="20"/>
                <w:szCs w:val="20"/>
                <w:color w:val="auto"/>
              </w:rPr>
            </w:pPr>
            <w:r>
              <w:rPr>
                <w:rFonts w:ascii="Arial" w:cs="Arial" w:eastAsia="Arial" w:hAnsi="Arial"/>
                <w:sz w:val="20"/>
                <w:szCs w:val="20"/>
                <w:color w:val="auto"/>
                <w:w w:val="82"/>
              </w:rPr>
              <w:t>Exhibit 3(a) to the Company’s Form 10-K for the</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20"/>
                <w:szCs w:val="20"/>
                <w:color w:val="auto"/>
              </w:rPr>
              <w:t>fiscal year ended September 30, 1999</w:t>
            </w:r>
          </w:p>
        </w:tc>
      </w:tr>
      <w:tr>
        <w:trPr>
          <w:trHeight w:val="350"/>
        </w:trPr>
        <w:tc>
          <w:tcPr>
            <w:tcW w:w="1280" w:type="dxa"/>
            <w:vAlign w:val="bottom"/>
            <w:gridSpan w:val="3"/>
          </w:tcPr>
          <w:p>
            <w:pPr>
              <w:spacing w:after="0"/>
              <w:rPr>
                <w:sz w:val="20"/>
                <w:szCs w:val="20"/>
                <w:color w:val="auto"/>
              </w:rPr>
            </w:pPr>
            <w:r>
              <w:rPr>
                <w:rFonts w:ascii="Arial" w:cs="Arial" w:eastAsia="Arial" w:hAnsi="Arial"/>
                <w:sz w:val="20"/>
                <w:szCs w:val="20"/>
                <w:color w:val="auto"/>
              </w:rPr>
              <w:t>3.1(b)</w:t>
            </w:r>
          </w:p>
        </w:tc>
        <w:tc>
          <w:tcPr>
            <w:tcW w:w="4440" w:type="dxa"/>
            <w:vAlign w:val="bottom"/>
            <w:gridSpan w:val="2"/>
          </w:tcPr>
          <w:p>
            <w:pPr>
              <w:spacing w:after="0"/>
              <w:rPr>
                <w:sz w:val="20"/>
                <w:szCs w:val="20"/>
                <w:color w:val="auto"/>
              </w:rPr>
            </w:pPr>
            <w:r>
              <w:rPr>
                <w:rFonts w:ascii="Arial" w:cs="Arial" w:eastAsia="Arial" w:hAnsi="Arial"/>
                <w:sz w:val="20"/>
                <w:szCs w:val="20"/>
                <w:color w:val="auto"/>
                <w:w w:val="93"/>
              </w:rPr>
              <w:t>Amended Certificate of Designation, Preferences and</w:t>
            </w:r>
          </w:p>
        </w:tc>
        <w:tc>
          <w:tcPr>
            <w:tcW w:w="3520" w:type="dxa"/>
            <w:vAlign w:val="bottom"/>
            <w:gridSpan w:val="2"/>
          </w:tcPr>
          <w:p>
            <w:pPr>
              <w:spacing w:after="0"/>
              <w:rPr>
                <w:sz w:val="20"/>
                <w:szCs w:val="20"/>
                <w:color w:val="auto"/>
              </w:rPr>
            </w:pPr>
            <w:r>
              <w:rPr>
                <w:rFonts w:ascii="Arial" w:cs="Arial" w:eastAsia="Arial" w:hAnsi="Arial"/>
                <w:sz w:val="20"/>
                <w:szCs w:val="20"/>
                <w:color w:val="auto"/>
                <w:w w:val="81"/>
              </w:rPr>
              <w:t>Exhibit 4(e) to the Company’s Form 10-Q for the</w:t>
            </w:r>
          </w:p>
        </w:tc>
      </w:tr>
      <w:tr>
        <w:trPr>
          <w:trHeight w:val="226"/>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40" w:type="dxa"/>
            <w:vAlign w:val="bottom"/>
            <w:gridSpan w:val="2"/>
          </w:tcPr>
          <w:p>
            <w:pPr>
              <w:spacing w:after="0" w:line="227" w:lineRule="exact"/>
              <w:rPr>
                <w:sz w:val="20"/>
                <w:szCs w:val="20"/>
                <w:color w:val="auto"/>
              </w:rPr>
            </w:pPr>
            <w:r>
              <w:rPr>
                <w:rFonts w:ascii="Arial" w:cs="Arial" w:eastAsia="Arial" w:hAnsi="Arial"/>
                <w:sz w:val="20"/>
                <w:szCs w:val="20"/>
                <w:color w:val="auto"/>
                <w:w w:val="94"/>
              </w:rPr>
              <w:t>Rights of Series A Participating Cumulative Preferred</w:t>
            </w:r>
          </w:p>
        </w:tc>
        <w:tc>
          <w:tcPr>
            <w:tcW w:w="3520" w:type="dxa"/>
            <w:vAlign w:val="bottom"/>
            <w:gridSpan w:val="2"/>
          </w:tcPr>
          <w:p>
            <w:pPr>
              <w:spacing w:after="0" w:line="227" w:lineRule="exact"/>
              <w:rPr>
                <w:sz w:val="20"/>
                <w:szCs w:val="20"/>
                <w:color w:val="auto"/>
              </w:rPr>
            </w:pPr>
            <w:r>
              <w:rPr>
                <w:rFonts w:ascii="Arial" w:cs="Arial" w:eastAsia="Arial" w:hAnsi="Arial"/>
                <w:sz w:val="20"/>
                <w:szCs w:val="20"/>
                <w:color w:val="auto"/>
              </w:rPr>
              <w:t>fiscal quarter ended March 31, 2000</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Stock</w:t>
            </w: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121" w:lineRule="exact"/>
        <w:rPr>
          <w:sz w:val="20"/>
          <w:szCs w:val="20"/>
          <w:color w:val="auto"/>
        </w:rPr>
      </w:pPr>
    </w:p>
    <w:p>
      <w:pPr>
        <w:sectPr>
          <w:pgSz w:w="12240" w:h="15840" w:orient="portrait"/>
          <w:cols w:equalWidth="0" w:num="1">
            <w:col w:w="9500"/>
          </w:cols>
          <w:pgMar w:left="1300" w:top="1440" w:right="1440" w:bottom="0" w:gutter="0" w:footer="0" w:header="0"/>
        </w:sect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3.1(c)</w:t>
            </w:r>
          </w:p>
        </w:tc>
        <w:tc>
          <w:tcPr>
            <w:tcW w:w="4560" w:type="dxa"/>
            <w:vAlign w:val="bottom"/>
          </w:tcPr>
          <w:p>
            <w:pPr>
              <w:ind w:left="480"/>
              <w:spacing w:after="0"/>
              <w:rPr>
                <w:sz w:val="20"/>
                <w:szCs w:val="20"/>
                <w:color w:val="auto"/>
              </w:rPr>
            </w:pPr>
            <w:r>
              <w:rPr>
                <w:rFonts w:ascii="Arial" w:cs="Arial" w:eastAsia="Arial" w:hAnsi="Arial"/>
                <w:sz w:val="20"/>
                <w:szCs w:val="20"/>
                <w:color w:val="auto"/>
              </w:rPr>
              <w:t>Articles of Merger, effective July 10, 2000</w:t>
            </w:r>
          </w:p>
        </w:tc>
      </w:tr>
      <w:tr>
        <w:trPr>
          <w:trHeight w:val="581"/>
        </w:trPr>
        <w:tc>
          <w:tcPr>
            <w:tcW w:w="800" w:type="dxa"/>
            <w:vAlign w:val="bottom"/>
          </w:tcPr>
          <w:p>
            <w:pPr>
              <w:spacing w:after="0"/>
              <w:rPr>
                <w:sz w:val="20"/>
                <w:szCs w:val="20"/>
                <w:color w:val="auto"/>
              </w:rPr>
            </w:pPr>
            <w:r>
              <w:rPr>
                <w:rFonts w:ascii="Arial" w:cs="Arial" w:eastAsia="Arial" w:hAnsi="Arial"/>
                <w:sz w:val="20"/>
                <w:szCs w:val="20"/>
                <w:color w:val="auto"/>
              </w:rPr>
              <w:t>3.1(d)</w:t>
            </w:r>
          </w:p>
        </w:tc>
        <w:tc>
          <w:tcPr>
            <w:tcW w:w="4560" w:type="dxa"/>
            <w:vAlign w:val="bottom"/>
          </w:tcPr>
          <w:p>
            <w:pPr>
              <w:ind w:left="480"/>
              <w:spacing w:after="0"/>
              <w:rPr>
                <w:sz w:val="20"/>
                <w:szCs w:val="20"/>
                <w:color w:val="auto"/>
              </w:rPr>
            </w:pPr>
            <w:r>
              <w:rPr>
                <w:rFonts w:ascii="Arial" w:cs="Arial" w:eastAsia="Arial" w:hAnsi="Arial"/>
                <w:sz w:val="20"/>
                <w:szCs w:val="20"/>
                <w:color w:val="auto"/>
                <w:w w:val="94"/>
              </w:rPr>
              <w:t>Amendment to Articles of Incorporation, effective</w:t>
            </w:r>
          </w:p>
        </w:tc>
      </w:tr>
      <w:tr>
        <w:trPr>
          <w:trHeight w:val="230"/>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rPr>
              <w:t>February 5, 2018</w:t>
            </w:r>
          </w:p>
        </w:tc>
      </w:tr>
      <w:tr>
        <w:trPr>
          <w:trHeight w:val="350"/>
        </w:trPr>
        <w:tc>
          <w:tcPr>
            <w:tcW w:w="800" w:type="dxa"/>
            <w:vAlign w:val="bottom"/>
          </w:tcPr>
          <w:p>
            <w:pPr>
              <w:spacing w:after="0"/>
              <w:rPr>
                <w:sz w:val="20"/>
                <w:szCs w:val="20"/>
                <w:color w:val="auto"/>
              </w:rPr>
            </w:pPr>
            <w:r>
              <w:rPr>
                <w:rFonts w:ascii="Arial" w:cs="Arial" w:eastAsia="Arial" w:hAnsi="Arial"/>
                <w:sz w:val="20"/>
                <w:szCs w:val="20"/>
                <w:color w:val="auto"/>
              </w:rPr>
              <w:t>3.2</w:t>
            </w:r>
          </w:p>
        </w:tc>
        <w:tc>
          <w:tcPr>
            <w:tcW w:w="4560" w:type="dxa"/>
            <w:vAlign w:val="bottom"/>
          </w:tcPr>
          <w:p>
            <w:pPr>
              <w:ind w:left="480"/>
              <w:spacing w:after="0"/>
              <w:rPr>
                <w:sz w:val="20"/>
                <w:szCs w:val="20"/>
                <w:color w:val="auto"/>
              </w:rPr>
            </w:pPr>
            <w:r>
              <w:rPr>
                <w:rFonts w:ascii="Arial" w:cs="Arial" w:eastAsia="Arial" w:hAnsi="Arial"/>
                <w:sz w:val="20"/>
                <w:szCs w:val="20"/>
                <w:color w:val="auto"/>
              </w:rPr>
              <w:t>Bylaws of the Company</w:t>
            </w:r>
          </w:p>
        </w:tc>
      </w:tr>
      <w:tr>
        <w:trPr>
          <w:trHeight w:val="576"/>
        </w:trPr>
        <w:tc>
          <w:tcPr>
            <w:tcW w:w="800" w:type="dxa"/>
            <w:vAlign w:val="bottom"/>
          </w:tcPr>
          <w:p>
            <w:pPr>
              <w:spacing w:after="0"/>
              <w:rPr>
                <w:sz w:val="20"/>
                <w:szCs w:val="20"/>
                <w:color w:val="auto"/>
              </w:rPr>
            </w:pPr>
            <w:r>
              <w:rPr>
                <w:rFonts w:ascii="Arial" w:cs="Arial" w:eastAsia="Arial" w:hAnsi="Arial"/>
                <w:sz w:val="20"/>
                <w:szCs w:val="20"/>
                <w:color w:val="auto"/>
              </w:rPr>
              <w:t>4.1(a)</w:t>
            </w:r>
          </w:p>
        </w:tc>
        <w:tc>
          <w:tcPr>
            <w:tcW w:w="4560" w:type="dxa"/>
            <w:vAlign w:val="bottom"/>
          </w:tcPr>
          <w:p>
            <w:pPr>
              <w:ind w:left="480"/>
              <w:spacing w:after="0"/>
              <w:rPr>
                <w:sz w:val="20"/>
                <w:szCs w:val="20"/>
                <w:color w:val="auto"/>
              </w:rPr>
            </w:pPr>
            <w:r>
              <w:rPr>
                <w:rFonts w:ascii="Arial" w:cs="Arial" w:eastAsia="Arial" w:hAnsi="Arial"/>
                <w:sz w:val="20"/>
                <w:szCs w:val="20"/>
                <w:color w:val="auto"/>
              </w:rPr>
              <w:t>Description of Common Stock</w:t>
            </w:r>
          </w:p>
        </w:tc>
      </w:tr>
      <w:tr>
        <w:trPr>
          <w:trHeight w:val="581"/>
        </w:trPr>
        <w:tc>
          <w:tcPr>
            <w:tcW w:w="800" w:type="dxa"/>
            <w:vAlign w:val="bottom"/>
          </w:tcPr>
          <w:p>
            <w:pPr>
              <w:spacing w:after="0"/>
              <w:rPr>
                <w:sz w:val="20"/>
                <w:szCs w:val="20"/>
                <w:color w:val="auto"/>
              </w:rPr>
            </w:pPr>
            <w:r>
              <w:rPr>
                <w:rFonts w:ascii="Arial" w:cs="Arial" w:eastAsia="Arial" w:hAnsi="Arial"/>
                <w:sz w:val="20"/>
                <w:szCs w:val="20"/>
                <w:color w:val="auto"/>
              </w:rPr>
              <w:t>4.1(b)</w:t>
            </w:r>
          </w:p>
        </w:tc>
        <w:tc>
          <w:tcPr>
            <w:tcW w:w="4560" w:type="dxa"/>
            <w:vAlign w:val="bottom"/>
          </w:tcPr>
          <w:p>
            <w:pPr>
              <w:ind w:left="480"/>
              <w:spacing w:after="0"/>
              <w:rPr>
                <w:sz w:val="20"/>
                <w:szCs w:val="20"/>
                <w:color w:val="auto"/>
              </w:rPr>
            </w:pPr>
            <w:r>
              <w:rPr>
                <w:rFonts w:ascii="Arial" w:cs="Arial" w:eastAsia="Arial" w:hAnsi="Arial"/>
                <w:sz w:val="20"/>
                <w:szCs w:val="20"/>
                <w:color w:val="auto"/>
              </w:rPr>
              <w:t>Specimen revised Common Stock Certificate</w:t>
            </w:r>
          </w:p>
        </w:tc>
      </w:tr>
      <w:tr>
        <w:trPr>
          <w:trHeight w:val="577"/>
        </w:trPr>
        <w:tc>
          <w:tcPr>
            <w:tcW w:w="800" w:type="dxa"/>
            <w:vAlign w:val="bottom"/>
          </w:tcPr>
          <w:p>
            <w:pPr>
              <w:spacing w:after="0"/>
              <w:rPr>
                <w:sz w:val="20"/>
                <w:szCs w:val="20"/>
                <w:color w:val="auto"/>
              </w:rPr>
            </w:pPr>
            <w:r>
              <w:rPr>
                <w:rFonts w:ascii="Arial" w:cs="Arial" w:eastAsia="Arial" w:hAnsi="Arial"/>
                <w:sz w:val="20"/>
                <w:szCs w:val="20"/>
                <w:color w:val="auto"/>
              </w:rPr>
              <w:t>4.2</w:t>
            </w:r>
          </w:p>
        </w:tc>
        <w:tc>
          <w:tcPr>
            <w:tcW w:w="4560" w:type="dxa"/>
            <w:vAlign w:val="bottom"/>
          </w:tcPr>
          <w:p>
            <w:pPr>
              <w:ind w:left="480"/>
              <w:spacing w:after="0"/>
              <w:rPr>
                <w:sz w:val="20"/>
                <w:szCs w:val="20"/>
                <w:color w:val="auto"/>
              </w:rPr>
            </w:pPr>
            <w:r>
              <w:rPr>
                <w:rFonts w:ascii="Arial" w:cs="Arial" w:eastAsia="Arial" w:hAnsi="Arial"/>
                <w:sz w:val="20"/>
                <w:szCs w:val="20"/>
                <w:color w:val="auto"/>
                <w:w w:val="81"/>
              </w:rPr>
              <w:t>Amended and Restated Credit Agreement dated August</w:t>
            </w:r>
          </w:p>
        </w:tc>
      </w:tr>
      <w:tr>
        <w:trPr>
          <w:trHeight w:val="230"/>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w w:val="90"/>
              </w:rPr>
              <w:t>30, 2023, incorporated by reference to Exhibit 10.1</w:t>
            </w:r>
          </w:p>
        </w:tc>
      </w:tr>
      <w:tr>
        <w:trPr>
          <w:trHeight w:val="230"/>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rPr>
              <w:t>hereto</w:t>
            </w:r>
          </w:p>
        </w:tc>
      </w:tr>
      <w:tr>
        <w:trPr>
          <w:trHeight w:val="350"/>
        </w:trPr>
        <w:tc>
          <w:tcPr>
            <w:tcW w:w="800" w:type="dxa"/>
            <w:vAlign w:val="bottom"/>
          </w:tcPr>
          <w:p>
            <w:pPr>
              <w:spacing w:after="0"/>
              <w:rPr>
                <w:sz w:val="20"/>
                <w:szCs w:val="20"/>
                <w:color w:val="auto"/>
              </w:rPr>
            </w:pPr>
            <w:r>
              <w:rPr>
                <w:rFonts w:ascii="Arial" w:cs="Arial" w:eastAsia="Arial" w:hAnsi="Arial"/>
                <w:sz w:val="20"/>
                <w:szCs w:val="20"/>
                <w:color w:val="auto"/>
              </w:rPr>
              <w:t>10.1</w:t>
            </w:r>
          </w:p>
        </w:tc>
        <w:tc>
          <w:tcPr>
            <w:tcW w:w="4560" w:type="dxa"/>
            <w:vAlign w:val="bottom"/>
          </w:tcPr>
          <w:p>
            <w:pPr>
              <w:ind w:left="480"/>
              <w:spacing w:after="0"/>
              <w:rPr>
                <w:sz w:val="20"/>
                <w:szCs w:val="20"/>
                <w:color w:val="auto"/>
              </w:rPr>
            </w:pPr>
            <w:r>
              <w:rPr>
                <w:rFonts w:ascii="Arial" w:cs="Arial" w:eastAsia="Arial" w:hAnsi="Arial"/>
                <w:sz w:val="20"/>
                <w:szCs w:val="20"/>
                <w:color w:val="auto"/>
                <w:w w:val="85"/>
              </w:rPr>
              <w:t>Amended and Restated Credit Agreement dated as of</w:t>
            </w:r>
          </w:p>
        </w:tc>
      </w:tr>
      <w:tr>
        <w:trPr>
          <w:trHeight w:val="226"/>
        </w:trPr>
        <w:tc>
          <w:tcPr>
            <w:tcW w:w="800" w:type="dxa"/>
            <w:vAlign w:val="bottom"/>
          </w:tcPr>
          <w:p>
            <w:pPr>
              <w:spacing w:after="0"/>
              <w:rPr>
                <w:sz w:val="19"/>
                <w:szCs w:val="19"/>
                <w:color w:val="auto"/>
              </w:rPr>
            </w:pPr>
          </w:p>
        </w:tc>
        <w:tc>
          <w:tcPr>
            <w:tcW w:w="4560" w:type="dxa"/>
            <w:vAlign w:val="bottom"/>
          </w:tcPr>
          <w:p>
            <w:pPr>
              <w:ind w:left="480"/>
              <w:spacing w:after="0" w:line="227" w:lineRule="exact"/>
              <w:rPr>
                <w:sz w:val="20"/>
                <w:szCs w:val="20"/>
                <w:color w:val="auto"/>
              </w:rPr>
            </w:pPr>
            <w:r>
              <w:rPr>
                <w:rFonts w:ascii="Arial" w:cs="Arial" w:eastAsia="Arial" w:hAnsi="Arial"/>
                <w:sz w:val="20"/>
                <w:szCs w:val="20"/>
                <w:color w:val="auto"/>
                <w:w w:val="84"/>
              </w:rPr>
              <w:t>August 30, 2023, among ESCO Technologies Inc., the</w:t>
            </w:r>
          </w:p>
        </w:tc>
      </w:tr>
      <w:tr>
        <w:trPr>
          <w:trHeight w:val="230"/>
        </w:trPr>
        <w:tc>
          <w:tcPr>
            <w:tcW w:w="80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w w:val="85"/>
              </w:rPr>
              <w:t>foreign subsidiary Borrowers party thereto, JPMorgan</w:t>
            </w:r>
          </w:p>
        </w:tc>
      </w:tr>
      <w:tr>
        <w:trPr>
          <w:trHeight w:val="230"/>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w w:val="83"/>
              </w:rPr>
              <w:t>Chase Bank, N.A. as Administrative Agent, and certain</w:t>
            </w:r>
          </w:p>
        </w:tc>
      </w:tr>
      <w:tr>
        <w:trPr>
          <w:trHeight w:val="231"/>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w w:val="81"/>
              </w:rPr>
              <w:t>other Lenders and Departing Lenders as defined therein</w:t>
            </w:r>
          </w:p>
        </w:tc>
      </w:tr>
      <w:tr>
        <w:trPr>
          <w:trHeight w:val="350"/>
        </w:trPr>
        <w:tc>
          <w:tcPr>
            <w:tcW w:w="800" w:type="dxa"/>
            <w:vAlign w:val="bottom"/>
          </w:tcPr>
          <w:p>
            <w:pPr>
              <w:spacing w:after="0"/>
              <w:rPr>
                <w:sz w:val="20"/>
                <w:szCs w:val="20"/>
                <w:color w:val="auto"/>
              </w:rPr>
            </w:pPr>
            <w:r>
              <w:rPr>
                <w:rFonts w:ascii="Arial" w:cs="Arial" w:eastAsia="Arial" w:hAnsi="Arial"/>
                <w:sz w:val="20"/>
                <w:szCs w:val="20"/>
                <w:color w:val="auto"/>
              </w:rPr>
              <w:t>10.2</w:t>
            </w:r>
          </w:p>
        </w:tc>
        <w:tc>
          <w:tcPr>
            <w:tcW w:w="4560" w:type="dxa"/>
            <w:vAlign w:val="bottom"/>
          </w:tcPr>
          <w:p>
            <w:pPr>
              <w:ind w:left="480"/>
              <w:spacing w:after="0"/>
              <w:rPr>
                <w:sz w:val="20"/>
                <w:szCs w:val="20"/>
                <w:color w:val="auto"/>
              </w:rPr>
            </w:pPr>
            <w:r>
              <w:rPr>
                <w:rFonts w:ascii="Arial" w:cs="Arial" w:eastAsia="Arial" w:hAnsi="Arial"/>
                <w:sz w:val="20"/>
                <w:szCs w:val="20"/>
                <w:color w:val="auto"/>
                <w:w w:val="95"/>
              </w:rPr>
              <w:t>Form of Indemnification Agreement with each of</w:t>
            </w:r>
          </w:p>
        </w:tc>
      </w:tr>
      <w:tr>
        <w:trPr>
          <w:trHeight w:val="230"/>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rPr>
              <w:t>ESCO’s non-employee directors</w:t>
            </w:r>
          </w:p>
        </w:tc>
      </w:tr>
      <w:tr>
        <w:trPr>
          <w:trHeight w:val="346"/>
        </w:trPr>
        <w:tc>
          <w:tcPr>
            <w:tcW w:w="800" w:type="dxa"/>
            <w:vAlign w:val="bottom"/>
          </w:tcPr>
          <w:p>
            <w:pPr>
              <w:spacing w:after="0"/>
              <w:rPr>
                <w:sz w:val="20"/>
                <w:szCs w:val="20"/>
                <w:color w:val="auto"/>
              </w:rPr>
            </w:pPr>
            <w:r>
              <w:rPr>
                <w:rFonts w:ascii="Arial" w:cs="Arial" w:eastAsia="Arial" w:hAnsi="Arial"/>
                <w:sz w:val="20"/>
                <w:szCs w:val="20"/>
                <w:color w:val="auto"/>
              </w:rPr>
              <w:t>10.3(a)</w:t>
            </w:r>
          </w:p>
        </w:tc>
        <w:tc>
          <w:tcPr>
            <w:tcW w:w="4560" w:type="dxa"/>
            <w:vAlign w:val="bottom"/>
          </w:tcPr>
          <w:p>
            <w:pPr>
              <w:ind w:left="280"/>
              <w:spacing w:after="0"/>
              <w:rPr>
                <w:sz w:val="20"/>
                <w:szCs w:val="20"/>
                <w:color w:val="auto"/>
              </w:rPr>
            </w:pPr>
            <w:r>
              <w:rPr>
                <w:rFonts w:ascii="Arial" w:cs="Arial" w:eastAsia="Arial" w:hAnsi="Arial"/>
                <w:sz w:val="20"/>
                <w:szCs w:val="20"/>
                <w:color w:val="auto"/>
                <w:w w:val="84"/>
              </w:rPr>
              <w:t>*  First Amendment to the ESCO Electronics Corporation</w:t>
            </w:r>
          </w:p>
        </w:tc>
      </w:tr>
      <w:tr>
        <w:trPr>
          <w:trHeight w:val="230"/>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w w:val="90"/>
              </w:rPr>
              <w:t>Supplemental Executive Retirement Plan, effective</w:t>
            </w:r>
          </w:p>
        </w:tc>
      </w:tr>
      <w:tr>
        <w:trPr>
          <w:trHeight w:val="230"/>
        </w:trPr>
        <w:tc>
          <w:tcPr>
            <w:tcW w:w="80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20"/>
                <w:szCs w:val="20"/>
                <w:color w:val="auto"/>
                <w:w w:val="83"/>
              </w:rPr>
              <w:t>August 2, 1993 (comprising restatement of entire Plan)</w:t>
            </w:r>
          </w:p>
        </w:tc>
      </w:tr>
    </w:tbl>
    <w:p>
      <w:pPr>
        <w:spacing w:after="0" w:line="20" w:lineRule="exact"/>
        <w:rPr>
          <w:sz w:val="20"/>
          <w:szCs w:val="20"/>
          <w:color w:val="auto"/>
        </w:rPr>
      </w:pPr>
      <w:r>
        <w:rPr>
          <w:sz w:val="20"/>
          <w:szCs w:val="20"/>
          <w:color w:val="auto"/>
        </w:rPr>
        <w:br w:type="column"/>
      </w:r>
    </w:p>
    <w:p>
      <w:pPr>
        <w:ind w:right="280"/>
        <w:spacing w:after="0" w:line="293" w:lineRule="auto"/>
        <w:rPr>
          <w:sz w:val="20"/>
          <w:szCs w:val="20"/>
          <w:color w:val="auto"/>
        </w:rPr>
      </w:pPr>
      <w:r>
        <w:rPr>
          <w:rFonts w:ascii="Arial" w:cs="Arial" w:eastAsia="Arial" w:hAnsi="Arial"/>
          <w:sz w:val="18"/>
          <w:szCs w:val="18"/>
          <w:color w:val="auto"/>
        </w:rPr>
        <w:t>Exhibit 3(c) to the Company’s Form 10-Q for the fiscal quarter ended June 30, 2000</w:t>
      </w:r>
    </w:p>
    <w:p>
      <w:pPr>
        <w:spacing w:after="0" w:line="75" w:lineRule="exact"/>
        <w:rPr>
          <w:sz w:val="20"/>
          <w:szCs w:val="20"/>
          <w:color w:val="auto"/>
        </w:rPr>
      </w:pPr>
    </w:p>
    <w:p>
      <w:pPr>
        <w:ind w:right="600"/>
        <w:spacing w:after="0"/>
        <w:rPr>
          <w:sz w:val="20"/>
          <w:szCs w:val="20"/>
          <w:color w:val="auto"/>
        </w:rPr>
      </w:pPr>
      <w:r>
        <w:rPr>
          <w:rFonts w:ascii="Arial" w:cs="Arial" w:eastAsia="Arial" w:hAnsi="Arial"/>
          <w:sz w:val="20"/>
          <w:szCs w:val="20"/>
          <w:color w:val="auto"/>
        </w:rPr>
        <w:t>Exhibit 3.1 to the Company’s Form 8-K filed February 7, 2018</w:t>
      </w:r>
    </w:p>
    <w:p>
      <w:pPr>
        <w:spacing w:after="0" w:line="121" w:lineRule="exact"/>
        <w:rPr>
          <w:sz w:val="20"/>
          <w:szCs w:val="20"/>
          <w:color w:val="auto"/>
        </w:rPr>
      </w:pPr>
    </w:p>
    <w:p>
      <w:pPr>
        <w:ind w:right="600"/>
        <w:spacing w:after="0" w:line="237" w:lineRule="auto"/>
        <w:rPr>
          <w:sz w:val="20"/>
          <w:szCs w:val="20"/>
          <w:color w:val="auto"/>
        </w:rPr>
      </w:pPr>
      <w:r>
        <w:rPr>
          <w:rFonts w:ascii="Arial" w:cs="Arial" w:eastAsia="Arial" w:hAnsi="Arial"/>
          <w:sz w:val="20"/>
          <w:szCs w:val="20"/>
          <w:color w:val="auto"/>
        </w:rPr>
        <w:t>Exhibit 3.1 to the Company’s Form 8-K filed November 22, 2022</w:t>
      </w:r>
    </w:p>
    <w:p>
      <w:pPr>
        <w:spacing w:after="0" w:line="12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Exhibit 4.1(a) to the Company’s Form 10-K for the fiscal year ended September 30, 2019</w:t>
      </w:r>
    </w:p>
    <w:p>
      <w:pPr>
        <w:spacing w:after="0" w:line="75" w:lineRule="exact"/>
        <w:rPr>
          <w:sz w:val="20"/>
          <w:szCs w:val="20"/>
          <w:color w:val="auto"/>
        </w:rPr>
      </w:pPr>
    </w:p>
    <w:p>
      <w:pPr>
        <w:ind w:right="340"/>
        <w:spacing w:after="0" w:line="324" w:lineRule="auto"/>
        <w:rPr>
          <w:sz w:val="20"/>
          <w:szCs w:val="20"/>
          <w:color w:val="auto"/>
        </w:rPr>
      </w:pPr>
      <w:r>
        <w:rPr>
          <w:rFonts w:ascii="Arial" w:cs="Arial" w:eastAsia="Arial" w:hAnsi="Arial"/>
          <w:sz w:val="17"/>
          <w:szCs w:val="17"/>
          <w:color w:val="auto"/>
        </w:rPr>
        <w:t>Exhibit 4.1 to the Company’s Form 10-Q for the fiscal quarter ended March 31, 2010</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Exhibit 10.1 hereto</w:t>
      </w:r>
    </w:p>
    <w:p>
      <w:pPr>
        <w:spacing w:after="0" w:line="200" w:lineRule="exact"/>
        <w:rPr>
          <w:sz w:val="20"/>
          <w:szCs w:val="20"/>
          <w:color w:val="auto"/>
        </w:rPr>
      </w:pPr>
    </w:p>
    <w:p>
      <w:pPr>
        <w:spacing w:after="0" w:line="382"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Exhibit 10.1 to the Company’s Form 8-K filed September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spacing w:after="0" w:line="324" w:lineRule="auto"/>
        <w:rPr>
          <w:sz w:val="20"/>
          <w:szCs w:val="20"/>
          <w:color w:val="auto"/>
        </w:rPr>
      </w:pPr>
      <w:r>
        <w:rPr>
          <w:rFonts w:ascii="Arial" w:cs="Arial" w:eastAsia="Arial" w:hAnsi="Arial"/>
          <w:sz w:val="17"/>
          <w:szCs w:val="17"/>
          <w:color w:val="auto"/>
        </w:rPr>
        <w:t>Exhibit 10.1 to the Company’s Form 10-K for the fiscal year ended September 30, 2012</w:t>
      </w:r>
    </w:p>
    <w:p>
      <w:pPr>
        <w:spacing w:after="0" w:line="4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Exhibit 10.2(a) to the Company’s Form 10-K for the fiscal year ended September 30, 2012</w:t>
      </w:r>
    </w:p>
    <w:p>
      <w:pPr>
        <w:spacing w:after="0" w:line="306" w:lineRule="exact"/>
        <w:rPr>
          <w:sz w:val="20"/>
          <w:szCs w:val="20"/>
          <w:color w:val="auto"/>
        </w:rPr>
      </w:pPr>
    </w:p>
    <w:p>
      <w:pPr>
        <w:sectPr>
          <w:pgSz w:w="12240" w:h="15840" w:orient="portrait"/>
          <w:cols w:equalWidth="0" w:num="2">
            <w:col w:w="5360" w:space="360"/>
            <w:col w:w="3780"/>
          </w:cols>
          <w:pgMar w:left="1300" w:top="1440" w:right="1440" w:bottom="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20"/>
                <w:szCs w:val="20"/>
                <w:color w:val="auto"/>
              </w:rPr>
              <w:t>10.3(b)</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4160" w:type="dxa"/>
            <w:vAlign w:val="bottom"/>
          </w:tcPr>
          <w:p>
            <w:pPr>
              <w:ind w:left="60"/>
              <w:spacing w:after="0"/>
              <w:rPr>
                <w:sz w:val="20"/>
                <w:szCs w:val="20"/>
                <w:color w:val="auto"/>
              </w:rPr>
            </w:pPr>
            <w:r>
              <w:rPr>
                <w:rFonts w:ascii="Arial" w:cs="Arial" w:eastAsia="Arial" w:hAnsi="Arial"/>
                <w:sz w:val="20"/>
                <w:szCs w:val="20"/>
                <w:color w:val="auto"/>
                <w:w w:val="96"/>
              </w:rPr>
              <w:t>Second Amendment to Supplemental Executive</w:t>
            </w:r>
          </w:p>
        </w:tc>
        <w:tc>
          <w:tcPr>
            <w:tcW w:w="3960" w:type="dxa"/>
            <w:vAlign w:val="bottom"/>
          </w:tcPr>
          <w:p>
            <w:pPr>
              <w:ind w:left="340"/>
              <w:spacing w:after="0"/>
              <w:rPr>
                <w:sz w:val="20"/>
                <w:szCs w:val="20"/>
                <w:color w:val="auto"/>
              </w:rPr>
            </w:pPr>
            <w:r>
              <w:rPr>
                <w:rFonts w:ascii="Arial" w:cs="Arial" w:eastAsia="Arial" w:hAnsi="Arial"/>
                <w:sz w:val="20"/>
                <w:szCs w:val="20"/>
                <w:color w:val="auto"/>
                <w:w w:val="84"/>
              </w:rPr>
              <w:t>Exhibit 10.4 to the Company’s Form 10-K for the</w:t>
            </w:r>
          </w:p>
        </w:tc>
      </w:tr>
      <w:tr>
        <w:trPr>
          <w:trHeight w:val="230"/>
        </w:trPr>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60" w:type="dxa"/>
            <w:vAlign w:val="bottom"/>
          </w:tcPr>
          <w:p>
            <w:pPr>
              <w:ind w:left="60"/>
              <w:spacing w:after="0"/>
              <w:rPr>
                <w:sz w:val="20"/>
                <w:szCs w:val="20"/>
                <w:color w:val="auto"/>
              </w:rPr>
            </w:pPr>
            <w:r>
              <w:rPr>
                <w:rFonts w:ascii="Arial" w:cs="Arial" w:eastAsia="Arial" w:hAnsi="Arial"/>
                <w:sz w:val="20"/>
                <w:szCs w:val="20"/>
                <w:color w:val="auto"/>
              </w:rPr>
              <w:t>Retirement Plan, effective May 1, 2001</w:t>
            </w:r>
          </w:p>
        </w:tc>
        <w:tc>
          <w:tcPr>
            <w:tcW w:w="3960" w:type="dxa"/>
            <w:vAlign w:val="bottom"/>
          </w:tcPr>
          <w:p>
            <w:pPr>
              <w:ind w:left="340"/>
              <w:spacing w:after="0"/>
              <w:rPr>
                <w:sz w:val="20"/>
                <w:szCs w:val="20"/>
                <w:color w:val="auto"/>
              </w:rPr>
            </w:pPr>
            <w:r>
              <w:rPr>
                <w:rFonts w:ascii="Arial" w:cs="Arial" w:eastAsia="Arial" w:hAnsi="Arial"/>
                <w:sz w:val="20"/>
                <w:szCs w:val="20"/>
                <w:color w:val="auto"/>
              </w:rPr>
              <w:t>fiscal year ended September 30, 2001</w:t>
            </w:r>
          </w:p>
        </w:tc>
      </w:tr>
      <w:tr>
        <w:trPr>
          <w:trHeight w:val="346"/>
        </w:trPr>
        <w:tc>
          <w:tcPr>
            <w:tcW w:w="800" w:type="dxa"/>
            <w:vAlign w:val="bottom"/>
          </w:tcPr>
          <w:p>
            <w:pPr>
              <w:spacing w:after="0"/>
              <w:rPr>
                <w:sz w:val="20"/>
                <w:szCs w:val="20"/>
                <w:color w:val="auto"/>
              </w:rPr>
            </w:pPr>
            <w:r>
              <w:rPr>
                <w:rFonts w:ascii="Arial" w:cs="Arial" w:eastAsia="Arial" w:hAnsi="Arial"/>
                <w:sz w:val="20"/>
                <w:szCs w:val="20"/>
                <w:color w:val="auto"/>
              </w:rPr>
              <w:t>10.3(c)</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4160" w:type="dxa"/>
            <w:vAlign w:val="bottom"/>
          </w:tcPr>
          <w:p>
            <w:pPr>
              <w:ind w:left="60"/>
              <w:spacing w:after="0"/>
              <w:rPr>
                <w:sz w:val="20"/>
                <w:szCs w:val="20"/>
                <w:color w:val="auto"/>
              </w:rPr>
            </w:pPr>
            <w:r>
              <w:rPr>
                <w:rFonts w:ascii="Arial" w:cs="Arial" w:eastAsia="Arial" w:hAnsi="Arial"/>
                <w:sz w:val="20"/>
                <w:szCs w:val="20"/>
                <w:color w:val="auto"/>
                <w:w w:val="93"/>
              </w:rPr>
              <w:t>Form of Supplemental Executive Retirement Plan</w:t>
            </w:r>
          </w:p>
        </w:tc>
        <w:tc>
          <w:tcPr>
            <w:tcW w:w="3960" w:type="dxa"/>
            <w:vAlign w:val="bottom"/>
          </w:tcPr>
          <w:p>
            <w:pPr>
              <w:ind w:left="340"/>
              <w:spacing w:after="0"/>
              <w:rPr>
                <w:sz w:val="20"/>
                <w:szCs w:val="20"/>
                <w:color w:val="auto"/>
              </w:rPr>
            </w:pPr>
            <w:r>
              <w:rPr>
                <w:rFonts w:ascii="Arial" w:cs="Arial" w:eastAsia="Arial" w:hAnsi="Arial"/>
                <w:sz w:val="20"/>
                <w:szCs w:val="20"/>
                <w:color w:val="auto"/>
                <w:w w:val="81"/>
              </w:rPr>
              <w:t>Exhibit 10.28 to the Company’s Form 10-K for the</w:t>
            </w:r>
          </w:p>
        </w:tc>
      </w:tr>
      <w:tr>
        <w:trPr>
          <w:trHeight w:val="230"/>
        </w:trPr>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60" w:type="dxa"/>
            <w:vAlign w:val="bottom"/>
          </w:tcPr>
          <w:p>
            <w:pPr>
              <w:ind w:left="60"/>
              <w:spacing w:after="0"/>
              <w:rPr>
                <w:sz w:val="20"/>
                <w:szCs w:val="20"/>
                <w:color w:val="auto"/>
              </w:rPr>
            </w:pPr>
            <w:r>
              <w:rPr>
                <w:rFonts w:ascii="Arial" w:cs="Arial" w:eastAsia="Arial" w:hAnsi="Arial"/>
                <w:sz w:val="20"/>
                <w:szCs w:val="20"/>
                <w:color w:val="auto"/>
              </w:rPr>
              <w:t>Agreement</w:t>
            </w:r>
          </w:p>
        </w:tc>
        <w:tc>
          <w:tcPr>
            <w:tcW w:w="3960" w:type="dxa"/>
            <w:vAlign w:val="bottom"/>
          </w:tcPr>
          <w:p>
            <w:pPr>
              <w:ind w:left="340"/>
              <w:spacing w:after="0"/>
              <w:rPr>
                <w:sz w:val="20"/>
                <w:szCs w:val="20"/>
                <w:color w:val="auto"/>
              </w:rPr>
            </w:pPr>
            <w:r>
              <w:rPr>
                <w:rFonts w:ascii="Arial" w:cs="Arial" w:eastAsia="Arial" w:hAnsi="Arial"/>
                <w:sz w:val="20"/>
                <w:szCs w:val="20"/>
                <w:color w:val="auto"/>
              </w:rPr>
              <w:t>fiscal year ended September 30, 2002</w:t>
            </w:r>
          </w:p>
        </w:tc>
      </w:tr>
      <w:tr>
        <w:trPr>
          <w:trHeight w:val="956"/>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60" w:type="dxa"/>
            <w:vAlign w:val="bottom"/>
          </w:tcPr>
          <w:p>
            <w:pPr>
              <w:ind w:left="3580"/>
              <w:spacing w:after="0"/>
              <w:rPr>
                <w:sz w:val="20"/>
                <w:szCs w:val="20"/>
                <w:color w:val="auto"/>
              </w:rPr>
            </w:pPr>
            <w:r>
              <w:rPr>
                <w:rFonts w:ascii="Arial" w:cs="Arial" w:eastAsia="Arial" w:hAnsi="Arial"/>
                <w:sz w:val="20"/>
                <w:szCs w:val="20"/>
                <w:color w:val="auto"/>
              </w:rPr>
              <w:t>28</w:t>
            </w:r>
          </w:p>
        </w:tc>
        <w:tc>
          <w:tcPr>
            <w:tcW w:w="3960" w:type="dxa"/>
            <w:vAlign w:val="bottom"/>
          </w:tcPr>
          <w:p>
            <w:pPr>
              <w:spacing w:after="0"/>
              <w:rPr>
                <w:sz w:val="24"/>
                <w:szCs w:val="24"/>
                <w:color w:val="auto"/>
              </w:rPr>
            </w:pPr>
          </w:p>
        </w:tc>
      </w:tr>
    </w:tbl>
    <w:p>
      <w:pPr>
        <w:sectPr>
          <w:pgSz w:w="12240" w:h="15840" w:orient="portrait"/>
          <w:cols w:equalWidth="0" w:num="1">
            <w:col w:w="9500"/>
          </w:cols>
          <w:pgMar w:left="1300" w:top="1440" w:right="1440" w:bottom="0" w:gutter="0" w:footer="0" w:header="0"/>
          <w:type w:val="continuous"/>
        </w:sectPr>
      </w:pPr>
    </w:p>
    <w:bookmarkStart w:id="38" w:name="page39"/>
    <w:bookmarkEnd w:id="38"/>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20"/>
                <w:szCs w:val="20"/>
                <w:b w:val="1"/>
                <w:bCs w:val="1"/>
                <w:color w:val="auto"/>
                <w:w w:val="88"/>
              </w:rPr>
              <w:t>Exhibit No.</w:t>
            </w: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50"/>
        </w:trPr>
        <w:tc>
          <w:tcPr>
            <w:tcW w:w="900" w:type="dxa"/>
            <w:vAlign w:val="bottom"/>
            <w:gridSpan w:val="2"/>
          </w:tcPr>
          <w:p>
            <w:pPr>
              <w:spacing w:after="0"/>
              <w:rPr>
                <w:sz w:val="20"/>
                <w:szCs w:val="20"/>
                <w:color w:val="auto"/>
              </w:rPr>
            </w:pPr>
            <w:r>
              <w:rPr>
                <w:rFonts w:ascii="Arial" w:cs="Arial" w:eastAsia="Arial" w:hAnsi="Arial"/>
                <w:sz w:val="20"/>
                <w:szCs w:val="20"/>
                <w:color w:val="auto"/>
              </w:rPr>
              <w:t>10.4</w:t>
            </w:r>
          </w:p>
        </w:tc>
        <w:tc>
          <w:tcPr>
            <w:tcW w:w="80" w:type="dxa"/>
            <w:vAlign w:val="bottom"/>
          </w:tcPr>
          <w:p>
            <w:pPr>
              <w:spacing w:after="0"/>
              <w:rPr>
                <w:sz w:val="24"/>
                <w:szCs w:val="24"/>
                <w:color w:val="auto"/>
              </w:rPr>
            </w:pP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4"/>
              </w:rPr>
              <w:t>*  Directors’ Extended Compensation Plan, adopted</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94"/>
              </w:rPr>
              <w:t>effective October 11, 1993, restated to include all</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90"/>
              </w:rPr>
              <w:t>amendments through August 7, 2013 (current as of</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November 2021)</w:t>
            </w:r>
          </w:p>
        </w:tc>
      </w:tr>
      <w:tr>
        <w:trPr>
          <w:trHeight w:val="350"/>
        </w:trPr>
        <w:tc>
          <w:tcPr>
            <w:tcW w:w="980" w:type="dxa"/>
            <w:vAlign w:val="bottom"/>
            <w:gridSpan w:val="3"/>
          </w:tcPr>
          <w:p>
            <w:pPr>
              <w:spacing w:after="0"/>
              <w:rPr>
                <w:sz w:val="20"/>
                <w:szCs w:val="20"/>
                <w:color w:val="auto"/>
              </w:rPr>
            </w:pPr>
            <w:r>
              <w:rPr>
                <w:rFonts w:ascii="Arial" w:cs="Arial" w:eastAsia="Arial" w:hAnsi="Arial"/>
                <w:sz w:val="20"/>
                <w:szCs w:val="20"/>
                <w:color w:val="auto"/>
              </w:rPr>
              <w:t>10.5(a)</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8"/>
              </w:rPr>
              <w:t>*  Compensation Plan For Non-Employee Directors, as</w:t>
            </w:r>
          </w:p>
        </w:tc>
      </w:tr>
      <w:tr>
        <w:trPr>
          <w:trHeight w:val="226"/>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line="227" w:lineRule="exact"/>
              <w:rPr>
                <w:sz w:val="20"/>
                <w:szCs w:val="20"/>
                <w:color w:val="auto"/>
              </w:rPr>
            </w:pPr>
            <w:r>
              <w:rPr>
                <w:rFonts w:ascii="Arial" w:cs="Arial" w:eastAsia="Arial" w:hAnsi="Arial"/>
                <w:sz w:val="20"/>
                <w:szCs w:val="20"/>
                <w:color w:val="auto"/>
                <w:w w:val="95"/>
              </w:rPr>
              <w:t>amended and restated to reflect all amendments</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through December 8, 2020</w:t>
            </w:r>
          </w:p>
        </w:tc>
      </w:tr>
      <w:tr>
        <w:trPr>
          <w:trHeight w:val="351"/>
        </w:trPr>
        <w:tc>
          <w:tcPr>
            <w:tcW w:w="980" w:type="dxa"/>
            <w:vAlign w:val="bottom"/>
            <w:gridSpan w:val="3"/>
          </w:tcPr>
          <w:p>
            <w:pPr>
              <w:spacing w:after="0"/>
              <w:rPr>
                <w:sz w:val="20"/>
                <w:szCs w:val="20"/>
                <w:color w:val="auto"/>
              </w:rPr>
            </w:pPr>
            <w:r>
              <w:rPr>
                <w:rFonts w:ascii="Arial" w:cs="Arial" w:eastAsia="Arial" w:hAnsi="Arial"/>
                <w:sz w:val="20"/>
                <w:szCs w:val="20"/>
                <w:color w:val="auto"/>
              </w:rPr>
              <w:t>10.5(b)</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4"/>
              </w:rPr>
              <w:t>*  Sub-Plan for Compensation of Non-Employee Directors</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under 2018 Omnibus Incentive Plan</w:t>
            </w:r>
          </w:p>
        </w:tc>
      </w:tr>
      <w:tr>
        <w:trPr>
          <w:trHeight w:val="350"/>
        </w:trPr>
        <w:tc>
          <w:tcPr>
            <w:tcW w:w="980" w:type="dxa"/>
            <w:vAlign w:val="bottom"/>
            <w:gridSpan w:val="3"/>
          </w:tcPr>
          <w:p>
            <w:pPr>
              <w:spacing w:after="0"/>
              <w:rPr>
                <w:sz w:val="20"/>
                <w:szCs w:val="20"/>
                <w:color w:val="auto"/>
              </w:rPr>
            </w:pPr>
            <w:r>
              <w:rPr>
                <w:rFonts w:ascii="Arial" w:cs="Arial" w:eastAsia="Arial" w:hAnsi="Arial"/>
                <w:sz w:val="20"/>
                <w:szCs w:val="20"/>
                <w:color w:val="auto"/>
              </w:rPr>
              <w:t>10.5(c)</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rPr>
              <w:t>*  Form of Director Share Award Agreement</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(Non-Employee Director)</w:t>
            </w:r>
          </w:p>
        </w:tc>
      </w:tr>
      <w:tr>
        <w:trPr>
          <w:trHeight w:val="346"/>
        </w:trPr>
        <w:tc>
          <w:tcPr>
            <w:tcW w:w="980" w:type="dxa"/>
            <w:vAlign w:val="bottom"/>
            <w:gridSpan w:val="3"/>
          </w:tcPr>
          <w:p>
            <w:pPr>
              <w:spacing w:after="0"/>
              <w:rPr>
                <w:sz w:val="20"/>
                <w:szCs w:val="20"/>
                <w:color w:val="auto"/>
              </w:rPr>
            </w:pPr>
            <w:r>
              <w:rPr>
                <w:rFonts w:ascii="Arial" w:cs="Arial" w:eastAsia="Arial" w:hAnsi="Arial"/>
                <w:sz w:val="20"/>
                <w:szCs w:val="20"/>
                <w:color w:val="auto"/>
              </w:rPr>
              <w:t>10.6(a)</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8"/>
              </w:rPr>
              <w:t>*  2018 Omnibus Incentive Plan as Amended and</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Restated November 17, 2020</w:t>
            </w:r>
          </w:p>
        </w:tc>
      </w:tr>
      <w:tr>
        <w:trPr>
          <w:trHeight w:val="351"/>
        </w:trPr>
        <w:tc>
          <w:tcPr>
            <w:tcW w:w="980" w:type="dxa"/>
            <w:vAlign w:val="bottom"/>
            <w:gridSpan w:val="3"/>
          </w:tcPr>
          <w:p>
            <w:pPr>
              <w:spacing w:after="0"/>
              <w:rPr>
                <w:sz w:val="20"/>
                <w:szCs w:val="20"/>
                <w:color w:val="auto"/>
              </w:rPr>
            </w:pPr>
            <w:r>
              <w:rPr>
                <w:rFonts w:ascii="Arial" w:cs="Arial" w:eastAsia="Arial" w:hAnsi="Arial"/>
                <w:sz w:val="20"/>
                <w:szCs w:val="20"/>
                <w:color w:val="auto"/>
              </w:rPr>
              <w:t>10.6(b)</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8"/>
              </w:rPr>
              <w:t>*  2018 Omnibus Incentive Plan as Amended and</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Restated February 3, 2023</w:t>
            </w:r>
          </w:p>
        </w:tc>
      </w:tr>
      <w:tr>
        <w:trPr>
          <w:trHeight w:val="350"/>
        </w:trPr>
        <w:tc>
          <w:tcPr>
            <w:tcW w:w="980" w:type="dxa"/>
            <w:vAlign w:val="bottom"/>
            <w:gridSpan w:val="3"/>
          </w:tcPr>
          <w:p>
            <w:pPr>
              <w:spacing w:after="0"/>
              <w:rPr>
                <w:sz w:val="20"/>
                <w:szCs w:val="20"/>
                <w:color w:val="auto"/>
              </w:rPr>
            </w:pPr>
            <w:r>
              <w:rPr>
                <w:rFonts w:ascii="Arial" w:cs="Arial" w:eastAsia="Arial" w:hAnsi="Arial"/>
                <w:sz w:val="20"/>
                <w:szCs w:val="20"/>
                <w:color w:val="auto"/>
              </w:rPr>
              <w:t>10.7(a)</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7"/>
              </w:rPr>
              <w:t>*  Form of 2020-21 Awards of Performance-Accelerated</w:t>
            </w:r>
          </w:p>
        </w:tc>
      </w:tr>
      <w:tr>
        <w:trPr>
          <w:trHeight w:val="226"/>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line="227" w:lineRule="exact"/>
              <w:rPr>
                <w:sz w:val="20"/>
                <w:szCs w:val="20"/>
                <w:color w:val="auto"/>
              </w:rPr>
            </w:pPr>
            <w:r>
              <w:rPr>
                <w:rFonts w:ascii="Arial" w:cs="Arial" w:eastAsia="Arial" w:hAnsi="Arial"/>
                <w:sz w:val="20"/>
                <w:szCs w:val="20"/>
                <w:color w:val="auto"/>
                <w:w w:val="96"/>
              </w:rPr>
              <w:t>Restricted Shares (PARS) under 2018 Omnibus</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Incentive Plan</w:t>
            </w:r>
          </w:p>
        </w:tc>
      </w:tr>
      <w:tr>
        <w:trPr>
          <w:trHeight w:val="351"/>
        </w:trPr>
        <w:tc>
          <w:tcPr>
            <w:tcW w:w="980" w:type="dxa"/>
            <w:vAlign w:val="bottom"/>
            <w:gridSpan w:val="3"/>
          </w:tcPr>
          <w:p>
            <w:pPr>
              <w:spacing w:after="0"/>
              <w:rPr>
                <w:sz w:val="20"/>
                <w:szCs w:val="20"/>
                <w:color w:val="auto"/>
              </w:rPr>
            </w:pPr>
            <w:r>
              <w:rPr>
                <w:rFonts w:ascii="Arial" w:cs="Arial" w:eastAsia="Arial" w:hAnsi="Arial"/>
                <w:sz w:val="20"/>
                <w:szCs w:val="20"/>
                <w:color w:val="auto"/>
              </w:rPr>
              <w:t>10.7(b)</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7"/>
              </w:rPr>
              <w:t>*  Form of Restricted Share Unit (RSU) Awards to</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84"/>
              </w:rPr>
              <w:t>Executive Officers under 2018 Omnibus Incentive Plan</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(FY 2021)</w:t>
            </w:r>
          </w:p>
        </w:tc>
      </w:tr>
      <w:tr>
        <w:trPr>
          <w:trHeight w:val="346"/>
        </w:trPr>
        <w:tc>
          <w:tcPr>
            <w:tcW w:w="980" w:type="dxa"/>
            <w:vAlign w:val="bottom"/>
            <w:gridSpan w:val="3"/>
          </w:tcPr>
          <w:p>
            <w:pPr>
              <w:spacing w:after="0"/>
              <w:rPr>
                <w:sz w:val="20"/>
                <w:szCs w:val="20"/>
                <w:color w:val="auto"/>
              </w:rPr>
            </w:pPr>
            <w:r>
              <w:rPr>
                <w:rFonts w:ascii="Arial" w:cs="Arial" w:eastAsia="Arial" w:hAnsi="Arial"/>
                <w:sz w:val="20"/>
                <w:szCs w:val="20"/>
                <w:color w:val="auto"/>
              </w:rPr>
              <w:t>10.7(c)</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7"/>
              </w:rPr>
              <w:t>*  Form of Restricted Share Unit (RSU) Awards to</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84"/>
              </w:rPr>
              <w:t>Executive Officers under 2018 Omnibus Incentive Plan</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(FY 2022)</w:t>
            </w:r>
          </w:p>
        </w:tc>
      </w:tr>
      <w:tr>
        <w:trPr>
          <w:trHeight w:val="351"/>
        </w:trPr>
        <w:tc>
          <w:tcPr>
            <w:tcW w:w="980" w:type="dxa"/>
            <w:vAlign w:val="bottom"/>
            <w:gridSpan w:val="3"/>
          </w:tcPr>
          <w:p>
            <w:pPr>
              <w:spacing w:after="0"/>
              <w:rPr>
                <w:sz w:val="20"/>
                <w:szCs w:val="20"/>
                <w:color w:val="auto"/>
              </w:rPr>
            </w:pPr>
            <w:r>
              <w:rPr>
                <w:rFonts w:ascii="Arial" w:cs="Arial" w:eastAsia="Arial" w:hAnsi="Arial"/>
                <w:sz w:val="20"/>
                <w:szCs w:val="20"/>
                <w:color w:val="auto"/>
              </w:rPr>
              <w:t>10.7(d)</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7"/>
              </w:rPr>
              <w:t>*  Form of Restricted Share Unit (RSU) Awards to</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84"/>
              </w:rPr>
              <w:t>Executive Officers under 2018 Omnibus Incentive Plan</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(FY 2023)</w:t>
            </w:r>
          </w:p>
        </w:tc>
      </w:tr>
      <w:tr>
        <w:trPr>
          <w:trHeight w:val="346"/>
        </w:trPr>
        <w:tc>
          <w:tcPr>
            <w:tcW w:w="900" w:type="dxa"/>
            <w:vAlign w:val="bottom"/>
            <w:gridSpan w:val="2"/>
          </w:tcPr>
          <w:p>
            <w:pPr>
              <w:spacing w:after="0"/>
              <w:rPr>
                <w:sz w:val="20"/>
                <w:szCs w:val="20"/>
                <w:color w:val="auto"/>
              </w:rPr>
            </w:pPr>
            <w:r>
              <w:rPr>
                <w:rFonts w:ascii="Arial" w:cs="Arial" w:eastAsia="Arial" w:hAnsi="Arial"/>
                <w:sz w:val="20"/>
                <w:szCs w:val="20"/>
                <w:color w:val="auto"/>
              </w:rPr>
              <w:t>10.8</w:t>
            </w:r>
          </w:p>
        </w:tc>
        <w:tc>
          <w:tcPr>
            <w:tcW w:w="80" w:type="dxa"/>
            <w:vAlign w:val="bottom"/>
          </w:tcPr>
          <w:p>
            <w:pPr>
              <w:spacing w:after="0"/>
              <w:rPr>
                <w:sz w:val="24"/>
                <w:szCs w:val="24"/>
                <w:color w:val="auto"/>
              </w:rPr>
            </w:pP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2"/>
              </w:rPr>
              <w:t>*  Form of Performance Share Unit (PSU) Awards to</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84"/>
              </w:rPr>
              <w:t>Executive Officers under 2018 Omnibus Incentive Plan</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(FY 2022, 2023)</w:t>
            </w:r>
          </w:p>
        </w:tc>
      </w:tr>
      <w:tr>
        <w:trPr>
          <w:trHeight w:val="351"/>
        </w:trPr>
        <w:tc>
          <w:tcPr>
            <w:tcW w:w="980" w:type="dxa"/>
            <w:vAlign w:val="bottom"/>
            <w:gridSpan w:val="3"/>
          </w:tcPr>
          <w:p>
            <w:pPr>
              <w:spacing w:after="0"/>
              <w:rPr>
                <w:sz w:val="20"/>
                <w:szCs w:val="20"/>
                <w:color w:val="auto"/>
              </w:rPr>
            </w:pPr>
            <w:r>
              <w:rPr>
                <w:rFonts w:ascii="Arial" w:cs="Arial" w:eastAsia="Arial" w:hAnsi="Arial"/>
                <w:sz w:val="20"/>
                <w:szCs w:val="20"/>
                <w:color w:val="auto"/>
              </w:rPr>
              <w:t>10.9(a)</w:t>
            </w:r>
          </w:p>
        </w:tc>
        <w:tc>
          <w:tcPr>
            <w:tcW w:w="30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81"/>
              </w:rPr>
              <w:t>Eighth Amendment and Restatement of Employee Stock</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Purchase Plan, effective August 2, 2018</w:t>
            </w:r>
          </w:p>
        </w:tc>
      </w:tr>
      <w:tr>
        <w:trPr>
          <w:trHeight w:val="346"/>
        </w:trPr>
        <w:tc>
          <w:tcPr>
            <w:tcW w:w="980" w:type="dxa"/>
            <w:vAlign w:val="bottom"/>
            <w:gridSpan w:val="3"/>
          </w:tcPr>
          <w:p>
            <w:pPr>
              <w:spacing w:after="0"/>
              <w:rPr>
                <w:sz w:val="20"/>
                <w:szCs w:val="20"/>
                <w:color w:val="auto"/>
              </w:rPr>
            </w:pPr>
            <w:r>
              <w:rPr>
                <w:rFonts w:ascii="Arial" w:cs="Arial" w:eastAsia="Arial" w:hAnsi="Arial"/>
                <w:sz w:val="20"/>
                <w:szCs w:val="20"/>
                <w:color w:val="auto"/>
              </w:rPr>
              <w:t>10.9(b)</w:t>
            </w:r>
          </w:p>
        </w:tc>
        <w:tc>
          <w:tcPr>
            <w:tcW w:w="30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w w:val="83"/>
              </w:rPr>
              <w:t>Ninth Amendment and Restatement of Employee Stock</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Purchase Plan, effective February 5, 2019</w:t>
            </w:r>
          </w:p>
        </w:tc>
      </w:tr>
      <w:tr>
        <w:trPr>
          <w:trHeight w:val="350"/>
        </w:trPr>
        <w:tc>
          <w:tcPr>
            <w:tcW w:w="980" w:type="dxa"/>
            <w:vAlign w:val="bottom"/>
            <w:gridSpan w:val="3"/>
          </w:tcPr>
          <w:p>
            <w:pPr>
              <w:spacing w:after="0"/>
              <w:rPr>
                <w:sz w:val="20"/>
                <w:szCs w:val="20"/>
                <w:color w:val="auto"/>
              </w:rPr>
            </w:pPr>
            <w:r>
              <w:rPr>
                <w:rFonts w:ascii="Arial" w:cs="Arial" w:eastAsia="Arial" w:hAnsi="Arial"/>
                <w:sz w:val="20"/>
                <w:szCs w:val="20"/>
                <w:color w:val="auto"/>
              </w:rPr>
              <w:t>10.10(a)</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9"/>
              </w:rPr>
              <w:t>*  Performance Compensation Plan adopted August 2,</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1993 as amended through February 4, 2019</w:t>
            </w:r>
          </w:p>
        </w:tc>
      </w:tr>
      <w:tr>
        <w:trPr>
          <w:trHeight w:val="351"/>
        </w:trPr>
        <w:tc>
          <w:tcPr>
            <w:tcW w:w="980" w:type="dxa"/>
            <w:vAlign w:val="bottom"/>
            <w:gridSpan w:val="3"/>
          </w:tcPr>
          <w:p>
            <w:pPr>
              <w:spacing w:after="0"/>
              <w:rPr>
                <w:sz w:val="20"/>
                <w:szCs w:val="20"/>
                <w:color w:val="auto"/>
              </w:rPr>
            </w:pPr>
            <w:r>
              <w:rPr>
                <w:rFonts w:ascii="Arial" w:cs="Arial" w:eastAsia="Arial" w:hAnsi="Arial"/>
                <w:sz w:val="20"/>
                <w:szCs w:val="20"/>
                <w:color w:val="auto"/>
              </w:rPr>
              <w:t>10.10(b)</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2"/>
              </w:rPr>
              <w:t>*  Performance Compensation Plan as amended August 2,</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2023 effective October 2, 2023</w:t>
            </w:r>
          </w:p>
        </w:tc>
      </w:tr>
      <w:tr>
        <w:trPr>
          <w:trHeight w:val="346"/>
        </w:trPr>
        <w:tc>
          <w:tcPr>
            <w:tcW w:w="900" w:type="dxa"/>
            <w:vAlign w:val="bottom"/>
            <w:gridSpan w:val="2"/>
          </w:tcPr>
          <w:p>
            <w:pPr>
              <w:spacing w:after="0"/>
              <w:rPr>
                <w:sz w:val="20"/>
                <w:szCs w:val="20"/>
                <w:color w:val="auto"/>
              </w:rPr>
            </w:pPr>
            <w:r>
              <w:rPr>
                <w:rFonts w:ascii="Arial" w:cs="Arial" w:eastAsia="Arial" w:hAnsi="Arial"/>
                <w:sz w:val="20"/>
                <w:szCs w:val="20"/>
                <w:color w:val="auto"/>
              </w:rPr>
              <w:t>10.11</w:t>
            </w:r>
          </w:p>
        </w:tc>
        <w:tc>
          <w:tcPr>
            <w:tcW w:w="80" w:type="dxa"/>
            <w:vAlign w:val="bottom"/>
          </w:tcPr>
          <w:p>
            <w:pPr>
              <w:spacing w:after="0"/>
              <w:rPr>
                <w:sz w:val="24"/>
                <w:szCs w:val="24"/>
                <w:color w:val="auto"/>
              </w:rPr>
            </w:pP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6"/>
              </w:rPr>
              <w:t>*  Fourth Amended and Restated Severance Plan dated</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November 17, 2020</w:t>
            </w:r>
          </w:p>
        </w:tc>
      </w:tr>
      <w:tr>
        <w:trPr>
          <w:trHeight w:val="350"/>
        </w:trPr>
        <w:tc>
          <w:tcPr>
            <w:tcW w:w="980" w:type="dxa"/>
            <w:vAlign w:val="bottom"/>
            <w:gridSpan w:val="3"/>
          </w:tcPr>
          <w:p>
            <w:pPr>
              <w:spacing w:after="0"/>
              <w:rPr>
                <w:sz w:val="20"/>
                <w:szCs w:val="20"/>
                <w:color w:val="auto"/>
              </w:rPr>
            </w:pPr>
            <w:r>
              <w:rPr>
                <w:rFonts w:ascii="Arial" w:cs="Arial" w:eastAsia="Arial" w:hAnsi="Arial"/>
                <w:sz w:val="20"/>
                <w:szCs w:val="20"/>
                <w:color w:val="auto"/>
              </w:rPr>
              <w:t>10.12(a)</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5"/>
              </w:rPr>
              <w:t>*  Employment and Compensation Agreement with Victor</w:t>
            </w:r>
          </w:p>
        </w:tc>
      </w:tr>
      <w:tr>
        <w:trPr>
          <w:trHeight w:val="231"/>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L. Richey effective May 10, 2021</w:t>
            </w:r>
          </w:p>
        </w:tc>
      </w:tr>
      <w:tr>
        <w:trPr>
          <w:trHeight w:val="346"/>
        </w:trPr>
        <w:tc>
          <w:tcPr>
            <w:tcW w:w="980" w:type="dxa"/>
            <w:vAlign w:val="bottom"/>
            <w:gridSpan w:val="3"/>
          </w:tcPr>
          <w:p>
            <w:pPr>
              <w:spacing w:after="0"/>
              <w:rPr>
                <w:sz w:val="20"/>
                <w:szCs w:val="20"/>
                <w:color w:val="auto"/>
              </w:rPr>
            </w:pPr>
            <w:r>
              <w:rPr>
                <w:rFonts w:ascii="Arial" w:cs="Arial" w:eastAsia="Arial" w:hAnsi="Arial"/>
                <w:sz w:val="20"/>
                <w:szCs w:val="20"/>
                <w:color w:val="auto"/>
              </w:rPr>
              <w:t>10.12(b)</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87"/>
              </w:rPr>
              <w:t>*  Amendment to Employment Agreement with Victor L.</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Richey effective January 1, 2023</w:t>
            </w:r>
          </w:p>
        </w:tc>
      </w:tr>
      <w:tr>
        <w:trPr>
          <w:trHeight w:val="350"/>
        </w:trPr>
        <w:tc>
          <w:tcPr>
            <w:tcW w:w="980" w:type="dxa"/>
            <w:vAlign w:val="bottom"/>
            <w:gridSpan w:val="3"/>
          </w:tcPr>
          <w:p>
            <w:pPr>
              <w:spacing w:after="0"/>
              <w:rPr>
                <w:sz w:val="20"/>
                <w:szCs w:val="20"/>
                <w:color w:val="auto"/>
              </w:rPr>
            </w:pPr>
            <w:r>
              <w:rPr>
                <w:rFonts w:ascii="Arial" w:cs="Arial" w:eastAsia="Arial" w:hAnsi="Arial"/>
                <w:sz w:val="20"/>
                <w:szCs w:val="20"/>
                <w:color w:val="auto"/>
              </w:rPr>
              <w:t>10.12(c)</w:t>
            </w:r>
          </w:p>
        </w:tc>
        <w:tc>
          <w:tcPr>
            <w:tcW w:w="4420" w:type="dxa"/>
            <w:vAlign w:val="bottom"/>
            <w:gridSpan w:val="3"/>
          </w:tcPr>
          <w:p>
            <w:pPr>
              <w:ind w:left="100"/>
              <w:spacing w:after="0"/>
              <w:rPr>
                <w:sz w:val="20"/>
                <w:szCs w:val="20"/>
                <w:color w:val="auto"/>
              </w:rPr>
            </w:pPr>
            <w:r>
              <w:rPr>
                <w:rFonts w:ascii="Arial" w:cs="Arial" w:eastAsia="Arial" w:hAnsi="Arial"/>
                <w:sz w:val="20"/>
                <w:szCs w:val="20"/>
                <w:color w:val="auto"/>
                <w:w w:val="93"/>
              </w:rPr>
              <w:t>*  Transition Award Agreement with Victor L. Richey</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effective January 3, 2023</w:t>
            </w:r>
          </w:p>
        </w:tc>
      </w:tr>
      <w:tr>
        <w:trPr>
          <w:trHeight w:val="783"/>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gridSpan w:val="3"/>
          </w:tcPr>
          <w:p>
            <w:pPr>
              <w:ind w:left="3820"/>
              <w:spacing w:after="0"/>
              <w:rPr>
                <w:sz w:val="20"/>
                <w:szCs w:val="20"/>
                <w:color w:val="auto"/>
              </w:rPr>
            </w:pPr>
            <w:r>
              <w:rPr>
                <w:rFonts w:ascii="Arial" w:cs="Arial" w:eastAsia="Arial" w:hAnsi="Arial"/>
                <w:sz w:val="20"/>
                <w:szCs w:val="20"/>
                <w:color w:val="auto"/>
              </w:rPr>
              <w:t>29</w:t>
            </w: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Document Location</w:t>
      </w:r>
    </w:p>
    <w:p>
      <w:pPr>
        <w:spacing w:after="0" w:line="121" w:lineRule="exact"/>
        <w:rPr>
          <w:sz w:val="20"/>
          <w:szCs w:val="20"/>
          <w:color w:val="auto"/>
        </w:rPr>
      </w:pPr>
    </w:p>
    <w:p>
      <w:pPr>
        <w:ind w:right="260"/>
        <w:spacing w:after="0" w:line="319" w:lineRule="auto"/>
        <w:rPr>
          <w:sz w:val="20"/>
          <w:szCs w:val="20"/>
          <w:color w:val="auto"/>
        </w:rPr>
      </w:pPr>
      <w:r>
        <w:rPr>
          <w:rFonts w:ascii="Arial" w:cs="Arial" w:eastAsia="Arial" w:hAnsi="Arial"/>
          <w:sz w:val="17"/>
          <w:szCs w:val="17"/>
          <w:color w:val="auto"/>
        </w:rPr>
        <w:t>Exhibit 10.5 to the Company’s Form 10-K for the fiscal year ended September 30, 2019</w:t>
      </w:r>
    </w:p>
    <w:p>
      <w:pPr>
        <w:spacing w:after="0" w:line="200" w:lineRule="exact"/>
        <w:rPr>
          <w:sz w:val="20"/>
          <w:szCs w:val="20"/>
          <w:color w:val="auto"/>
        </w:rPr>
      </w:pPr>
    </w:p>
    <w:p>
      <w:pPr>
        <w:spacing w:after="0" w:line="318"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Exhibit 10.1 to the Company’s Form 8-K filed December 9, 2020</w:t>
      </w:r>
    </w:p>
    <w:p>
      <w:pPr>
        <w:spacing w:after="0" w:line="347" w:lineRule="exact"/>
        <w:rPr>
          <w:sz w:val="20"/>
          <w:szCs w:val="20"/>
          <w:color w:val="auto"/>
        </w:rPr>
      </w:pPr>
    </w:p>
    <w:p>
      <w:pPr>
        <w:ind w:right="40"/>
        <w:spacing w:after="0"/>
        <w:rPr>
          <w:sz w:val="20"/>
          <w:szCs w:val="20"/>
          <w:color w:val="auto"/>
        </w:rPr>
      </w:pPr>
      <w:r>
        <w:rPr>
          <w:rFonts w:ascii="Arial" w:cs="Arial" w:eastAsia="Arial" w:hAnsi="Arial"/>
          <w:sz w:val="20"/>
          <w:szCs w:val="20"/>
          <w:color w:val="auto"/>
        </w:rPr>
        <w:t>Exhibit 10.1 to the Company’s Form 10-Q filed May 10, 2022</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20"/>
          <w:szCs w:val="20"/>
          <w:color w:val="auto"/>
        </w:rPr>
        <w:t>Exhibit 10.2 to the Company’s Form 10-Q filed May 10, 2022</w:t>
      </w:r>
    </w:p>
    <w:p>
      <w:pPr>
        <w:spacing w:after="0" w:line="121" w:lineRule="exact"/>
        <w:rPr>
          <w:sz w:val="20"/>
          <w:szCs w:val="20"/>
          <w:color w:val="auto"/>
        </w:rPr>
      </w:pPr>
    </w:p>
    <w:p>
      <w:pPr>
        <w:ind w:right="520"/>
        <w:spacing w:after="0" w:line="237" w:lineRule="auto"/>
        <w:rPr>
          <w:sz w:val="20"/>
          <w:szCs w:val="20"/>
          <w:color w:val="auto"/>
        </w:rPr>
      </w:pPr>
      <w:r>
        <w:rPr>
          <w:rFonts w:ascii="Arial" w:cs="Arial" w:eastAsia="Arial" w:hAnsi="Arial"/>
          <w:sz w:val="20"/>
          <w:szCs w:val="20"/>
          <w:color w:val="auto"/>
        </w:rPr>
        <w:t>Exhibit 10.3 to the Company’s Form 8-K filed November 19, 2020</w:t>
      </w:r>
    </w:p>
    <w:p>
      <w:pPr>
        <w:spacing w:after="0" w:line="122"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Exhibit 10.1 to the Company’s Form 8-K filed February 8, 2023</w:t>
      </w:r>
    </w:p>
    <w:p>
      <w:pPr>
        <w:spacing w:after="0" w:line="121" w:lineRule="exact"/>
        <w:rPr>
          <w:sz w:val="20"/>
          <w:szCs w:val="20"/>
          <w:color w:val="auto"/>
        </w:rPr>
      </w:pPr>
    </w:p>
    <w:p>
      <w:pPr>
        <w:ind w:right="400"/>
        <w:spacing w:after="0"/>
        <w:rPr>
          <w:sz w:val="20"/>
          <w:szCs w:val="20"/>
          <w:color w:val="auto"/>
        </w:rPr>
      </w:pPr>
      <w:r>
        <w:rPr>
          <w:rFonts w:ascii="Arial" w:cs="Arial" w:eastAsia="Arial" w:hAnsi="Arial"/>
          <w:sz w:val="20"/>
          <w:szCs w:val="20"/>
          <w:color w:val="auto"/>
        </w:rPr>
        <w:t>Exhibit 10.1 to the Company’s Form 10-Q filed August 9, 2021</w:t>
      </w:r>
    </w:p>
    <w:p>
      <w:pPr>
        <w:spacing w:after="0" w:line="347" w:lineRule="exact"/>
        <w:rPr>
          <w:sz w:val="20"/>
          <w:szCs w:val="20"/>
          <w:color w:val="auto"/>
        </w:rPr>
      </w:pPr>
    </w:p>
    <w:p>
      <w:pPr>
        <w:ind w:right="400"/>
        <w:spacing w:after="0"/>
        <w:rPr>
          <w:sz w:val="20"/>
          <w:szCs w:val="20"/>
          <w:color w:val="auto"/>
        </w:rPr>
      </w:pPr>
      <w:r>
        <w:rPr>
          <w:rFonts w:ascii="Arial" w:cs="Arial" w:eastAsia="Arial" w:hAnsi="Arial"/>
          <w:sz w:val="20"/>
          <w:szCs w:val="20"/>
          <w:color w:val="auto"/>
        </w:rPr>
        <w:t>Exhibit 10.2 to the Company’s Form 10-Q filed August 9, 2021</w:t>
      </w:r>
    </w:p>
    <w:p>
      <w:pPr>
        <w:spacing w:after="0" w:line="351"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color w:val="auto"/>
        </w:rPr>
        <w:t>Exhibit 10.1 to the Company’s Form 10-Q filed August 9, 2022</w:t>
      </w:r>
    </w:p>
    <w:p>
      <w:pPr>
        <w:spacing w:after="0" w:line="353" w:lineRule="exact"/>
        <w:rPr>
          <w:sz w:val="20"/>
          <w:szCs w:val="20"/>
          <w:color w:val="auto"/>
        </w:rPr>
      </w:pPr>
    </w:p>
    <w:p>
      <w:pPr>
        <w:ind w:right="400"/>
        <w:spacing w:after="0"/>
        <w:rPr>
          <w:sz w:val="20"/>
          <w:szCs w:val="20"/>
          <w:color w:val="auto"/>
        </w:rPr>
      </w:pPr>
      <w:r>
        <w:rPr>
          <w:rFonts w:ascii="Arial" w:cs="Arial" w:eastAsia="Arial" w:hAnsi="Arial"/>
          <w:sz w:val="20"/>
          <w:szCs w:val="20"/>
          <w:color w:val="auto"/>
        </w:rPr>
        <w:t>Exhibit 10.1 to the Company’s Form 10-Q filed August 9, 2023</w:t>
      </w:r>
    </w:p>
    <w:p>
      <w:pPr>
        <w:spacing w:after="0" w:line="351"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color w:val="auto"/>
        </w:rPr>
        <w:t>Exhibit 10.1 to the Company’s Form 10-Q filed February 9, 2022</w:t>
      </w:r>
    </w:p>
    <w:p>
      <w:pPr>
        <w:spacing w:after="0" w:line="353" w:lineRule="exact"/>
        <w:rPr>
          <w:sz w:val="20"/>
          <w:szCs w:val="20"/>
          <w:color w:val="auto"/>
        </w:rPr>
      </w:pPr>
    </w:p>
    <w:p>
      <w:pPr>
        <w:ind w:right="260"/>
        <w:spacing w:after="0" w:line="324" w:lineRule="auto"/>
        <w:rPr>
          <w:sz w:val="20"/>
          <w:szCs w:val="20"/>
          <w:color w:val="auto"/>
        </w:rPr>
      </w:pPr>
      <w:r>
        <w:rPr>
          <w:rFonts w:ascii="Arial" w:cs="Arial" w:eastAsia="Arial" w:hAnsi="Arial"/>
          <w:sz w:val="17"/>
          <w:szCs w:val="17"/>
          <w:color w:val="auto"/>
        </w:rPr>
        <w:t>Exhibit 10.7 to the Company’s Form 10-K for the fiscal year ended September 30, 2018</w:t>
      </w:r>
    </w:p>
    <w:p>
      <w:pPr>
        <w:spacing w:after="0" w:line="53" w:lineRule="exact"/>
        <w:rPr>
          <w:sz w:val="20"/>
          <w:szCs w:val="20"/>
          <w:color w:val="auto"/>
        </w:rPr>
      </w:pPr>
    </w:p>
    <w:p>
      <w:pPr>
        <w:ind w:right="520"/>
        <w:spacing w:after="0" w:line="237" w:lineRule="auto"/>
        <w:rPr>
          <w:sz w:val="20"/>
          <w:szCs w:val="20"/>
          <w:color w:val="auto"/>
        </w:rPr>
      </w:pPr>
      <w:r>
        <w:rPr>
          <w:rFonts w:ascii="Arial" w:cs="Arial" w:eastAsia="Arial" w:hAnsi="Arial"/>
          <w:sz w:val="20"/>
          <w:szCs w:val="20"/>
          <w:color w:val="auto"/>
        </w:rPr>
        <w:t>Exhibit 10.1 to the Company’s Form 8-K filed February 7, 2019</w:t>
      </w:r>
    </w:p>
    <w:p>
      <w:pPr>
        <w:spacing w:after="0" w:line="122"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Exhibit 10.1 to the Company’s Form 8-K filed November 19, 2019</w:t>
      </w:r>
    </w:p>
    <w:p>
      <w:pPr>
        <w:spacing w:after="0" w:line="121"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Exhibit 10.2 to the Company’s Form 8-K filed October 3, 2023</w:t>
      </w:r>
    </w:p>
    <w:p>
      <w:pPr>
        <w:spacing w:after="0" w:line="116"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Exhibit 10.2 to the Company’s Form 8-K filed November 19, 2020</w:t>
      </w:r>
    </w:p>
    <w:p>
      <w:pPr>
        <w:spacing w:after="0" w:line="121" w:lineRule="exact"/>
        <w:rPr>
          <w:sz w:val="20"/>
          <w:szCs w:val="20"/>
          <w:color w:val="auto"/>
        </w:rPr>
      </w:pPr>
    </w:p>
    <w:p>
      <w:pPr>
        <w:ind w:right="400"/>
        <w:spacing w:after="0"/>
        <w:rPr>
          <w:sz w:val="20"/>
          <w:szCs w:val="20"/>
          <w:color w:val="auto"/>
        </w:rPr>
      </w:pPr>
      <w:r>
        <w:rPr>
          <w:rFonts w:ascii="Arial" w:cs="Arial" w:eastAsia="Arial" w:hAnsi="Arial"/>
          <w:sz w:val="20"/>
          <w:szCs w:val="20"/>
          <w:color w:val="auto"/>
        </w:rPr>
        <w:t>Exhibit 10.3 to the Company’s Form 10-Q filed August 9, 2021</w:t>
      </w:r>
    </w:p>
    <w:p>
      <w:pPr>
        <w:spacing w:after="0" w:line="121" w:lineRule="exact"/>
        <w:rPr>
          <w:sz w:val="20"/>
          <w:szCs w:val="20"/>
          <w:color w:val="auto"/>
        </w:rPr>
      </w:pPr>
    </w:p>
    <w:p>
      <w:pPr>
        <w:ind w:right="520"/>
        <w:spacing w:after="0" w:line="237" w:lineRule="auto"/>
        <w:rPr>
          <w:sz w:val="20"/>
          <w:szCs w:val="20"/>
          <w:color w:val="auto"/>
        </w:rPr>
      </w:pPr>
      <w:r>
        <w:rPr>
          <w:rFonts w:ascii="Arial" w:cs="Arial" w:eastAsia="Arial" w:hAnsi="Arial"/>
          <w:sz w:val="20"/>
          <w:szCs w:val="20"/>
          <w:color w:val="auto"/>
        </w:rPr>
        <w:t>Exhibit 10.1 to the Company’s Form 8-K filed January 6, 2023</w:t>
      </w:r>
    </w:p>
    <w:p>
      <w:pPr>
        <w:spacing w:after="0" w:line="122" w:lineRule="exact"/>
        <w:rPr>
          <w:sz w:val="20"/>
          <w:szCs w:val="20"/>
          <w:color w:val="auto"/>
        </w:rPr>
      </w:pPr>
    </w:p>
    <w:p>
      <w:pPr>
        <w:ind w:right="520"/>
        <w:spacing w:after="0"/>
        <w:rPr>
          <w:sz w:val="20"/>
          <w:szCs w:val="20"/>
          <w:color w:val="auto"/>
        </w:rPr>
      </w:pPr>
      <w:r>
        <w:rPr>
          <w:rFonts w:ascii="Arial" w:cs="Arial" w:eastAsia="Arial" w:hAnsi="Arial"/>
          <w:sz w:val="20"/>
          <w:szCs w:val="20"/>
          <w:color w:val="auto"/>
        </w:rPr>
        <w:t>Exhibit 10.2 to the Company’s Form 8-K filed January 6, 2023</w:t>
      </w:r>
    </w:p>
    <w:p>
      <w:pPr>
        <w:sectPr>
          <w:pgSz w:w="12240" w:h="15840" w:orient="portrait"/>
          <w:cols w:equalWidth="0" w:num="2">
            <w:col w:w="5400" w:space="320"/>
            <w:col w:w="3780"/>
          </w:cols>
          <w:pgMar w:left="1300" w:top="1440" w:right="1440" w:bottom="0" w:gutter="0" w:footer="0" w:header="0"/>
        </w:sectPr>
      </w:pPr>
    </w:p>
    <w:bookmarkStart w:id="39" w:name="page40"/>
    <w:bookmarkEnd w:id="39"/>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20"/>
                <w:szCs w:val="20"/>
                <w:b w:val="1"/>
                <w:bCs w:val="1"/>
                <w:color w:val="auto"/>
                <w:w w:val="84"/>
              </w:rPr>
              <w:t>Exhibit No.</w:t>
            </w:r>
          </w:p>
        </w:tc>
        <w:tc>
          <w:tcPr>
            <w:tcW w:w="3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c>
          <w:tcPr>
            <w:tcW w:w="3740" w:type="dxa"/>
            <w:vAlign w:val="bottom"/>
            <w:gridSpan w:val="2"/>
          </w:tcPr>
          <w:p>
            <w:pPr>
              <w:spacing w:after="0"/>
              <w:rPr>
                <w:sz w:val="20"/>
                <w:szCs w:val="20"/>
                <w:color w:val="auto"/>
              </w:rPr>
            </w:pPr>
            <w:r>
              <w:rPr>
                <w:rFonts w:ascii="Arial" w:cs="Arial" w:eastAsia="Arial" w:hAnsi="Arial"/>
                <w:sz w:val="20"/>
                <w:szCs w:val="20"/>
                <w:b w:val="1"/>
                <w:bCs w:val="1"/>
                <w:color w:val="auto"/>
              </w:rPr>
              <w:t>Document Location</w:t>
            </w: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50"/>
        </w:trPr>
        <w:tc>
          <w:tcPr>
            <w:tcW w:w="900" w:type="dxa"/>
            <w:vAlign w:val="bottom"/>
            <w:gridSpan w:val="2"/>
          </w:tcPr>
          <w:p>
            <w:pPr>
              <w:spacing w:after="0"/>
              <w:rPr>
                <w:sz w:val="20"/>
                <w:szCs w:val="20"/>
                <w:color w:val="auto"/>
              </w:rPr>
            </w:pPr>
            <w:r>
              <w:rPr>
                <w:rFonts w:ascii="Arial" w:cs="Arial" w:eastAsia="Arial" w:hAnsi="Arial"/>
                <w:sz w:val="20"/>
                <w:szCs w:val="20"/>
                <w:color w:val="auto"/>
              </w:rPr>
              <w:t>10.13</w:t>
            </w:r>
          </w:p>
        </w:tc>
        <w:tc>
          <w:tcPr>
            <w:tcW w:w="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4440" w:type="dxa"/>
            <w:vAlign w:val="bottom"/>
            <w:gridSpan w:val="2"/>
          </w:tcPr>
          <w:p>
            <w:pPr>
              <w:spacing w:after="0"/>
              <w:rPr>
                <w:sz w:val="20"/>
                <w:szCs w:val="20"/>
                <w:color w:val="auto"/>
              </w:rPr>
            </w:pPr>
            <w:r>
              <w:rPr>
                <w:rFonts w:ascii="Arial" w:cs="Arial" w:eastAsia="Arial" w:hAnsi="Arial"/>
                <w:sz w:val="20"/>
                <w:szCs w:val="20"/>
                <w:color w:val="auto"/>
                <w:w w:val="90"/>
              </w:rPr>
              <w:t>Employment and Compensation Agreement with Bryan</w:t>
            </w:r>
          </w:p>
        </w:tc>
        <w:tc>
          <w:tcPr>
            <w:tcW w:w="3740" w:type="dxa"/>
            <w:vAlign w:val="bottom"/>
            <w:gridSpan w:val="2"/>
          </w:tcPr>
          <w:p>
            <w:pPr>
              <w:spacing w:after="0"/>
              <w:rPr>
                <w:sz w:val="20"/>
                <w:szCs w:val="20"/>
                <w:color w:val="auto"/>
              </w:rPr>
            </w:pPr>
            <w:r>
              <w:rPr>
                <w:rFonts w:ascii="Arial" w:cs="Arial" w:eastAsia="Arial" w:hAnsi="Arial"/>
                <w:sz w:val="20"/>
                <w:szCs w:val="20"/>
                <w:color w:val="auto"/>
                <w:w w:val="93"/>
              </w:rPr>
              <w:t>Exhibit 10.3 to the Company’s Form 8-K filed</w:t>
            </w:r>
          </w:p>
        </w:tc>
      </w:tr>
      <w:tr>
        <w:trPr>
          <w:trHeight w:val="230"/>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H. Sayler effective January 1, 2023</w:t>
            </w:r>
          </w:p>
        </w:tc>
        <w:tc>
          <w:tcPr>
            <w:tcW w:w="3740" w:type="dxa"/>
            <w:vAlign w:val="bottom"/>
            <w:gridSpan w:val="2"/>
          </w:tcPr>
          <w:p>
            <w:pPr>
              <w:spacing w:after="0"/>
              <w:rPr>
                <w:sz w:val="20"/>
                <w:szCs w:val="20"/>
                <w:color w:val="auto"/>
              </w:rPr>
            </w:pPr>
            <w:r>
              <w:rPr>
                <w:rFonts w:ascii="Arial" w:cs="Arial" w:eastAsia="Arial" w:hAnsi="Arial"/>
                <w:sz w:val="20"/>
                <w:szCs w:val="20"/>
                <w:color w:val="auto"/>
              </w:rPr>
              <w:t>January 6, 2023</w:t>
            </w:r>
          </w:p>
        </w:tc>
      </w:tr>
      <w:tr>
        <w:trPr>
          <w:trHeight w:val="350"/>
        </w:trPr>
        <w:tc>
          <w:tcPr>
            <w:tcW w:w="940" w:type="dxa"/>
            <w:vAlign w:val="bottom"/>
            <w:gridSpan w:val="3"/>
          </w:tcPr>
          <w:p>
            <w:pPr>
              <w:spacing w:after="0"/>
              <w:rPr>
                <w:sz w:val="20"/>
                <w:szCs w:val="20"/>
                <w:color w:val="auto"/>
              </w:rPr>
            </w:pPr>
            <w:r>
              <w:rPr>
                <w:rFonts w:ascii="Arial" w:cs="Arial" w:eastAsia="Arial" w:hAnsi="Arial"/>
                <w:sz w:val="20"/>
                <w:szCs w:val="20"/>
                <w:color w:val="auto"/>
              </w:rPr>
              <w:t>10.14(a)</w:t>
            </w:r>
          </w:p>
        </w:tc>
        <w:tc>
          <w:tcPr>
            <w:tcW w:w="34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Employment and Compensation Agreement with</w:t>
            </w:r>
          </w:p>
        </w:tc>
        <w:tc>
          <w:tcPr>
            <w:tcW w:w="3740" w:type="dxa"/>
            <w:vAlign w:val="bottom"/>
            <w:gridSpan w:val="2"/>
          </w:tcPr>
          <w:p>
            <w:pPr>
              <w:spacing w:after="0"/>
              <w:rPr>
                <w:sz w:val="20"/>
                <w:szCs w:val="20"/>
                <w:color w:val="auto"/>
              </w:rPr>
            </w:pPr>
            <w:r>
              <w:rPr>
                <w:rFonts w:ascii="Arial" w:cs="Arial" w:eastAsia="Arial" w:hAnsi="Arial"/>
                <w:sz w:val="20"/>
                <w:szCs w:val="20"/>
                <w:color w:val="auto"/>
                <w:w w:val="90"/>
              </w:rPr>
              <w:t>Exhibit 10.4 to the Company’s Form 10-Q filed</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Christopher L. Tucker effective April 30, 2021</w:t>
            </w:r>
          </w:p>
        </w:tc>
        <w:tc>
          <w:tcPr>
            <w:tcW w:w="3740" w:type="dxa"/>
            <w:vAlign w:val="bottom"/>
            <w:gridSpan w:val="2"/>
          </w:tcPr>
          <w:p>
            <w:pPr>
              <w:spacing w:after="0"/>
              <w:rPr>
                <w:sz w:val="20"/>
                <w:szCs w:val="20"/>
                <w:color w:val="auto"/>
              </w:rPr>
            </w:pPr>
            <w:r>
              <w:rPr>
                <w:rFonts w:ascii="Arial" w:cs="Arial" w:eastAsia="Arial" w:hAnsi="Arial"/>
                <w:sz w:val="20"/>
                <w:szCs w:val="20"/>
                <w:color w:val="auto"/>
              </w:rPr>
              <w:t>August 9, 2021</w:t>
            </w:r>
          </w:p>
        </w:tc>
      </w:tr>
      <w:tr>
        <w:trPr>
          <w:trHeight w:val="350"/>
        </w:trPr>
        <w:tc>
          <w:tcPr>
            <w:tcW w:w="940" w:type="dxa"/>
            <w:vAlign w:val="bottom"/>
            <w:gridSpan w:val="3"/>
          </w:tcPr>
          <w:p>
            <w:pPr>
              <w:spacing w:after="0"/>
              <w:rPr>
                <w:sz w:val="20"/>
                <w:szCs w:val="20"/>
                <w:color w:val="auto"/>
              </w:rPr>
            </w:pPr>
            <w:r>
              <w:rPr>
                <w:rFonts w:ascii="Arial" w:cs="Arial" w:eastAsia="Arial" w:hAnsi="Arial"/>
                <w:sz w:val="20"/>
                <w:szCs w:val="20"/>
                <w:color w:val="auto"/>
              </w:rPr>
              <w:t>10.14(b)</w:t>
            </w:r>
          </w:p>
        </w:tc>
        <w:tc>
          <w:tcPr>
            <w:tcW w:w="34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4440" w:type="dxa"/>
            <w:vAlign w:val="bottom"/>
            <w:gridSpan w:val="2"/>
          </w:tcPr>
          <w:p>
            <w:pPr>
              <w:spacing w:after="0"/>
              <w:rPr>
                <w:sz w:val="20"/>
                <w:szCs w:val="20"/>
                <w:color w:val="auto"/>
              </w:rPr>
            </w:pPr>
            <w:r>
              <w:rPr>
                <w:rFonts w:ascii="Arial" w:cs="Arial" w:eastAsia="Arial" w:hAnsi="Arial"/>
                <w:sz w:val="20"/>
                <w:szCs w:val="20"/>
                <w:color w:val="auto"/>
                <w:w w:val="92"/>
              </w:rPr>
              <w:t>Form of Restricted Stock Unit Award to Christopher L.</w:t>
            </w:r>
          </w:p>
        </w:tc>
        <w:tc>
          <w:tcPr>
            <w:tcW w:w="3740" w:type="dxa"/>
            <w:vAlign w:val="bottom"/>
            <w:gridSpan w:val="2"/>
          </w:tcPr>
          <w:p>
            <w:pPr>
              <w:spacing w:after="0"/>
              <w:rPr>
                <w:sz w:val="20"/>
                <w:szCs w:val="20"/>
                <w:color w:val="auto"/>
              </w:rPr>
            </w:pPr>
            <w:r>
              <w:rPr>
                <w:rFonts w:ascii="Arial" w:cs="Arial" w:eastAsia="Arial" w:hAnsi="Arial"/>
                <w:sz w:val="20"/>
                <w:szCs w:val="20"/>
                <w:color w:val="auto"/>
                <w:w w:val="82"/>
              </w:rPr>
              <w:t>Exhibit 10.5 to the Company’s Form 10-Q filed May</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Tucker dated February 3, 2023</w:t>
            </w:r>
          </w:p>
        </w:tc>
        <w:tc>
          <w:tcPr>
            <w:tcW w:w="1540" w:type="dxa"/>
            <w:vAlign w:val="bottom"/>
          </w:tcPr>
          <w:p>
            <w:pPr>
              <w:spacing w:after="0"/>
              <w:rPr>
                <w:sz w:val="20"/>
                <w:szCs w:val="20"/>
                <w:color w:val="auto"/>
              </w:rPr>
            </w:pPr>
            <w:r>
              <w:rPr>
                <w:rFonts w:ascii="Arial" w:cs="Arial" w:eastAsia="Arial" w:hAnsi="Arial"/>
                <w:sz w:val="20"/>
                <w:szCs w:val="20"/>
                <w:color w:val="auto"/>
              </w:rPr>
              <w:t>10, 2023</w:t>
            </w:r>
          </w:p>
        </w:tc>
        <w:tc>
          <w:tcPr>
            <w:tcW w:w="2200" w:type="dxa"/>
            <w:vAlign w:val="bottom"/>
          </w:tcPr>
          <w:p>
            <w:pPr>
              <w:spacing w:after="0"/>
              <w:rPr>
                <w:sz w:val="20"/>
                <w:szCs w:val="20"/>
                <w:color w:val="auto"/>
              </w:rPr>
            </w:pPr>
          </w:p>
        </w:tc>
      </w:tr>
      <w:tr>
        <w:trPr>
          <w:trHeight w:val="346"/>
        </w:trPr>
        <w:tc>
          <w:tcPr>
            <w:tcW w:w="900" w:type="dxa"/>
            <w:vAlign w:val="bottom"/>
            <w:gridSpan w:val="2"/>
          </w:tcPr>
          <w:p>
            <w:pPr>
              <w:spacing w:after="0"/>
              <w:rPr>
                <w:sz w:val="20"/>
                <w:szCs w:val="20"/>
                <w:color w:val="auto"/>
              </w:rPr>
            </w:pPr>
            <w:r>
              <w:rPr>
                <w:rFonts w:ascii="Arial" w:cs="Arial" w:eastAsia="Arial" w:hAnsi="Arial"/>
                <w:sz w:val="20"/>
                <w:szCs w:val="20"/>
                <w:color w:val="auto"/>
              </w:rPr>
              <w:t>10.15</w:t>
            </w:r>
          </w:p>
        </w:tc>
        <w:tc>
          <w:tcPr>
            <w:tcW w:w="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4440" w:type="dxa"/>
            <w:vAlign w:val="bottom"/>
            <w:gridSpan w:val="2"/>
          </w:tcPr>
          <w:p>
            <w:pPr>
              <w:spacing w:after="0"/>
              <w:rPr>
                <w:sz w:val="20"/>
                <w:szCs w:val="20"/>
                <w:color w:val="auto"/>
              </w:rPr>
            </w:pPr>
            <w:r>
              <w:rPr>
                <w:rFonts w:ascii="Arial" w:cs="Arial" w:eastAsia="Arial" w:hAnsi="Arial"/>
                <w:sz w:val="20"/>
                <w:szCs w:val="20"/>
                <w:color w:val="auto"/>
                <w:w w:val="90"/>
              </w:rPr>
              <w:t>Employment and Compensation Agreement with David</w:t>
            </w:r>
          </w:p>
        </w:tc>
        <w:tc>
          <w:tcPr>
            <w:tcW w:w="3740" w:type="dxa"/>
            <w:vAlign w:val="bottom"/>
            <w:gridSpan w:val="2"/>
          </w:tcPr>
          <w:p>
            <w:pPr>
              <w:spacing w:after="0"/>
              <w:rPr>
                <w:sz w:val="20"/>
                <w:szCs w:val="20"/>
                <w:color w:val="auto"/>
              </w:rPr>
            </w:pPr>
            <w:r>
              <w:rPr>
                <w:rFonts w:ascii="Arial" w:cs="Arial" w:eastAsia="Arial" w:hAnsi="Arial"/>
                <w:sz w:val="20"/>
                <w:szCs w:val="20"/>
                <w:color w:val="auto"/>
                <w:w w:val="90"/>
              </w:rPr>
              <w:t>Exhibit 10.5 to the Company’s Form 10-Q filed</w:t>
            </w:r>
          </w:p>
        </w:tc>
      </w:tr>
      <w:tr>
        <w:trPr>
          <w:trHeight w:val="231"/>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M. Schatz effective April 30, 2021</w:t>
            </w:r>
          </w:p>
        </w:tc>
        <w:tc>
          <w:tcPr>
            <w:tcW w:w="3740" w:type="dxa"/>
            <w:vAlign w:val="bottom"/>
            <w:gridSpan w:val="2"/>
          </w:tcPr>
          <w:p>
            <w:pPr>
              <w:spacing w:after="0"/>
              <w:rPr>
                <w:sz w:val="20"/>
                <w:szCs w:val="20"/>
                <w:color w:val="auto"/>
              </w:rPr>
            </w:pPr>
            <w:r>
              <w:rPr>
                <w:rFonts w:ascii="Arial" w:cs="Arial" w:eastAsia="Arial" w:hAnsi="Arial"/>
                <w:sz w:val="20"/>
                <w:szCs w:val="20"/>
                <w:color w:val="auto"/>
              </w:rPr>
              <w:t>August 9, 2021</w:t>
            </w:r>
          </w:p>
        </w:tc>
      </w:tr>
      <w:tr>
        <w:trPr>
          <w:trHeight w:val="350"/>
        </w:trPr>
        <w:tc>
          <w:tcPr>
            <w:tcW w:w="900" w:type="dxa"/>
            <w:vAlign w:val="bottom"/>
            <w:gridSpan w:val="2"/>
          </w:tcPr>
          <w:p>
            <w:pPr>
              <w:spacing w:after="0"/>
              <w:rPr>
                <w:sz w:val="20"/>
                <w:szCs w:val="20"/>
                <w:color w:val="auto"/>
              </w:rPr>
            </w:pPr>
            <w:r>
              <w:rPr>
                <w:rFonts w:ascii="Arial" w:cs="Arial" w:eastAsia="Arial" w:hAnsi="Arial"/>
                <w:sz w:val="20"/>
                <w:szCs w:val="20"/>
                <w:color w:val="auto"/>
              </w:rPr>
              <w:t>21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Subsidiaries of the Company</w:t>
            </w:r>
          </w:p>
        </w:tc>
        <w:tc>
          <w:tcPr>
            <w:tcW w:w="3740" w:type="dxa"/>
            <w:vAlign w:val="bottom"/>
            <w:gridSpan w:val="2"/>
          </w:tcPr>
          <w:p>
            <w:pPr>
              <w:spacing w:after="0"/>
              <w:rPr>
                <w:sz w:val="20"/>
                <w:szCs w:val="20"/>
                <w:color w:val="auto"/>
              </w:rPr>
            </w:pPr>
            <w:r>
              <w:rPr>
                <w:rFonts w:ascii="Arial" w:cs="Arial" w:eastAsia="Arial" w:hAnsi="Arial"/>
                <w:sz w:val="20"/>
                <w:szCs w:val="20"/>
                <w:color w:val="auto"/>
              </w:rPr>
              <w:t>Filed herewith</w:t>
            </w:r>
          </w:p>
        </w:tc>
      </w:tr>
      <w:tr>
        <w:trPr>
          <w:trHeight w:val="350"/>
        </w:trPr>
        <w:tc>
          <w:tcPr>
            <w:tcW w:w="900" w:type="dxa"/>
            <w:vAlign w:val="bottom"/>
            <w:gridSpan w:val="2"/>
          </w:tcPr>
          <w:p>
            <w:pPr>
              <w:spacing w:after="0"/>
              <w:rPr>
                <w:sz w:val="20"/>
                <w:szCs w:val="20"/>
                <w:color w:val="auto"/>
              </w:rPr>
            </w:pPr>
            <w:r>
              <w:rPr>
                <w:rFonts w:ascii="Arial" w:cs="Arial" w:eastAsia="Arial" w:hAnsi="Arial"/>
                <w:sz w:val="20"/>
                <w:szCs w:val="20"/>
                <w:color w:val="auto"/>
              </w:rPr>
              <w:t>23</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w w:val="92"/>
              </w:rPr>
              <w:t>Consent of Independent Registered Public Accounting</w:t>
            </w:r>
          </w:p>
        </w:tc>
        <w:tc>
          <w:tcPr>
            <w:tcW w:w="3740" w:type="dxa"/>
            <w:vAlign w:val="bottom"/>
            <w:gridSpan w:val="2"/>
          </w:tcPr>
          <w:p>
            <w:pPr>
              <w:spacing w:after="0"/>
              <w:rPr>
                <w:sz w:val="20"/>
                <w:szCs w:val="20"/>
                <w:color w:val="auto"/>
              </w:rPr>
            </w:pPr>
            <w:r>
              <w:rPr>
                <w:rFonts w:ascii="Arial" w:cs="Arial" w:eastAsia="Arial" w:hAnsi="Arial"/>
                <w:sz w:val="20"/>
                <w:szCs w:val="20"/>
                <w:color w:val="auto"/>
              </w:rPr>
              <w:t>Filed herewith</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Firm</w:t>
            </w:r>
          </w:p>
        </w:tc>
        <w:tc>
          <w:tcPr>
            <w:tcW w:w="154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50"/>
        </w:trPr>
        <w:tc>
          <w:tcPr>
            <w:tcW w:w="900" w:type="dxa"/>
            <w:vAlign w:val="bottom"/>
            <w:gridSpan w:val="2"/>
          </w:tcPr>
          <w:p>
            <w:pPr>
              <w:spacing w:after="0"/>
              <w:rPr>
                <w:sz w:val="20"/>
                <w:szCs w:val="20"/>
                <w:color w:val="auto"/>
              </w:rPr>
            </w:pPr>
            <w:r>
              <w:rPr>
                <w:rFonts w:ascii="Arial" w:cs="Arial" w:eastAsia="Arial" w:hAnsi="Arial"/>
                <w:sz w:val="20"/>
                <w:szCs w:val="20"/>
                <w:color w:val="auto"/>
              </w:rPr>
              <w:t>31.1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Certification of Chief Executive Officer</w:t>
            </w:r>
          </w:p>
        </w:tc>
        <w:tc>
          <w:tcPr>
            <w:tcW w:w="3740" w:type="dxa"/>
            <w:vAlign w:val="bottom"/>
            <w:gridSpan w:val="2"/>
          </w:tcPr>
          <w:p>
            <w:pPr>
              <w:spacing w:after="0"/>
              <w:rPr>
                <w:sz w:val="20"/>
                <w:szCs w:val="20"/>
                <w:color w:val="auto"/>
              </w:rPr>
            </w:pPr>
            <w:r>
              <w:rPr>
                <w:rFonts w:ascii="Arial" w:cs="Arial" w:eastAsia="Arial" w:hAnsi="Arial"/>
                <w:sz w:val="20"/>
                <w:szCs w:val="20"/>
                <w:color w:val="auto"/>
              </w:rPr>
              <w:t>Filed herewith</w:t>
            </w:r>
          </w:p>
        </w:tc>
      </w:tr>
      <w:tr>
        <w:trPr>
          <w:trHeight w:val="346"/>
        </w:trPr>
        <w:tc>
          <w:tcPr>
            <w:tcW w:w="900" w:type="dxa"/>
            <w:vAlign w:val="bottom"/>
            <w:gridSpan w:val="2"/>
          </w:tcPr>
          <w:p>
            <w:pPr>
              <w:spacing w:after="0"/>
              <w:rPr>
                <w:sz w:val="20"/>
                <w:szCs w:val="20"/>
                <w:color w:val="auto"/>
              </w:rPr>
            </w:pPr>
            <w:r>
              <w:rPr>
                <w:rFonts w:ascii="Arial" w:cs="Arial" w:eastAsia="Arial" w:hAnsi="Arial"/>
                <w:sz w:val="20"/>
                <w:szCs w:val="20"/>
                <w:color w:val="auto"/>
              </w:rPr>
              <w:t>31.2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Certification of Chief Financial Officer</w:t>
            </w:r>
          </w:p>
        </w:tc>
        <w:tc>
          <w:tcPr>
            <w:tcW w:w="3740" w:type="dxa"/>
            <w:vAlign w:val="bottom"/>
            <w:gridSpan w:val="2"/>
          </w:tcPr>
          <w:p>
            <w:pPr>
              <w:spacing w:after="0"/>
              <w:rPr>
                <w:sz w:val="20"/>
                <w:szCs w:val="20"/>
                <w:color w:val="auto"/>
              </w:rPr>
            </w:pPr>
            <w:r>
              <w:rPr>
                <w:rFonts w:ascii="Arial" w:cs="Arial" w:eastAsia="Arial" w:hAnsi="Arial"/>
                <w:sz w:val="20"/>
                <w:szCs w:val="20"/>
                <w:color w:val="auto"/>
              </w:rPr>
              <w:t>Filed herewith</w:t>
            </w:r>
          </w:p>
        </w:tc>
      </w:tr>
      <w:tr>
        <w:trPr>
          <w:trHeight w:val="350"/>
        </w:trPr>
        <w:tc>
          <w:tcPr>
            <w:tcW w:w="900" w:type="dxa"/>
            <w:vAlign w:val="bottom"/>
            <w:gridSpan w:val="2"/>
          </w:tcPr>
          <w:p>
            <w:pPr>
              <w:spacing w:after="0"/>
              <w:rPr>
                <w:sz w:val="20"/>
                <w:szCs w:val="20"/>
                <w:color w:val="auto"/>
              </w:rPr>
            </w:pPr>
            <w:r>
              <w:rPr>
                <w:rFonts w:ascii="Arial" w:cs="Arial" w:eastAsia="Arial" w:hAnsi="Arial"/>
                <w:sz w:val="20"/>
                <w:szCs w:val="20"/>
                <w:color w:val="auto"/>
              </w:rPr>
              <w:t>32</w:t>
            </w:r>
          </w:p>
        </w:tc>
        <w:tc>
          <w:tcPr>
            <w:tcW w:w="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Certification of Chief Executive Officer and</w:t>
            </w:r>
          </w:p>
        </w:tc>
        <w:tc>
          <w:tcPr>
            <w:tcW w:w="3740" w:type="dxa"/>
            <w:vAlign w:val="bottom"/>
            <w:gridSpan w:val="2"/>
          </w:tcPr>
          <w:p>
            <w:pPr>
              <w:spacing w:after="0"/>
              <w:rPr>
                <w:sz w:val="20"/>
                <w:szCs w:val="20"/>
                <w:color w:val="auto"/>
              </w:rPr>
            </w:pPr>
            <w:r>
              <w:rPr>
                <w:rFonts w:ascii="Arial" w:cs="Arial" w:eastAsia="Arial" w:hAnsi="Arial"/>
                <w:sz w:val="20"/>
                <w:szCs w:val="20"/>
                <w:color w:val="auto"/>
              </w:rPr>
              <w:t>Furnished herewith</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Chief Financial Officer</w:t>
            </w:r>
          </w:p>
        </w:tc>
        <w:tc>
          <w:tcPr>
            <w:tcW w:w="154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50"/>
        </w:trPr>
        <w:tc>
          <w:tcPr>
            <w:tcW w:w="900" w:type="dxa"/>
            <w:vAlign w:val="bottom"/>
            <w:gridSpan w:val="2"/>
          </w:tcPr>
          <w:p>
            <w:pPr>
              <w:spacing w:after="0"/>
              <w:rPr>
                <w:sz w:val="20"/>
                <w:szCs w:val="20"/>
                <w:color w:val="auto"/>
              </w:rPr>
            </w:pPr>
            <w:r>
              <w:rPr>
                <w:rFonts w:ascii="Arial" w:cs="Arial" w:eastAsia="Arial" w:hAnsi="Arial"/>
                <w:sz w:val="20"/>
                <w:szCs w:val="20"/>
                <w:color w:val="auto"/>
              </w:rPr>
              <w:t>97.1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Compensation Recovery Policy, adopted effective</w:t>
            </w:r>
          </w:p>
        </w:tc>
        <w:tc>
          <w:tcPr>
            <w:tcW w:w="3740" w:type="dxa"/>
            <w:vAlign w:val="bottom"/>
            <w:gridSpan w:val="2"/>
          </w:tcPr>
          <w:p>
            <w:pPr>
              <w:spacing w:after="0"/>
              <w:rPr>
                <w:sz w:val="20"/>
                <w:szCs w:val="20"/>
                <w:color w:val="auto"/>
              </w:rPr>
            </w:pPr>
            <w:r>
              <w:rPr>
                <w:rFonts w:ascii="Arial" w:cs="Arial" w:eastAsia="Arial" w:hAnsi="Arial"/>
                <w:sz w:val="20"/>
                <w:szCs w:val="20"/>
                <w:color w:val="auto"/>
                <w:w w:val="93"/>
              </w:rPr>
              <w:t>Exhibit 10.6 to the Company’s Form 8-K filed</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February 4, 2010</w:t>
            </w:r>
          </w:p>
        </w:tc>
        <w:tc>
          <w:tcPr>
            <w:tcW w:w="3740" w:type="dxa"/>
            <w:vAlign w:val="bottom"/>
            <w:gridSpan w:val="2"/>
          </w:tcPr>
          <w:p>
            <w:pPr>
              <w:spacing w:after="0"/>
              <w:rPr>
                <w:sz w:val="20"/>
                <w:szCs w:val="20"/>
                <w:color w:val="auto"/>
              </w:rPr>
            </w:pPr>
            <w:r>
              <w:rPr>
                <w:rFonts w:ascii="Arial" w:cs="Arial" w:eastAsia="Arial" w:hAnsi="Arial"/>
                <w:sz w:val="20"/>
                <w:szCs w:val="20"/>
                <w:color w:val="auto"/>
              </w:rPr>
              <w:t>February 10, 2010</w:t>
            </w:r>
          </w:p>
        </w:tc>
      </w:tr>
      <w:tr>
        <w:trPr>
          <w:trHeight w:val="346"/>
        </w:trPr>
        <w:tc>
          <w:tcPr>
            <w:tcW w:w="900" w:type="dxa"/>
            <w:vAlign w:val="bottom"/>
            <w:gridSpan w:val="2"/>
          </w:tcPr>
          <w:p>
            <w:pPr>
              <w:spacing w:after="0"/>
              <w:rPr>
                <w:sz w:val="20"/>
                <w:szCs w:val="20"/>
                <w:color w:val="auto"/>
              </w:rPr>
            </w:pPr>
            <w:r>
              <w:rPr>
                <w:rFonts w:ascii="Arial" w:cs="Arial" w:eastAsia="Arial" w:hAnsi="Arial"/>
                <w:sz w:val="20"/>
                <w:szCs w:val="20"/>
                <w:color w:val="auto"/>
              </w:rPr>
              <w:t>97.2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w w:val="88"/>
              </w:rPr>
              <w:t>Supplemental Clawback Policy, adopted August 2, 2023</w:t>
            </w:r>
          </w:p>
        </w:tc>
        <w:tc>
          <w:tcPr>
            <w:tcW w:w="3740" w:type="dxa"/>
            <w:vAlign w:val="bottom"/>
            <w:gridSpan w:val="2"/>
          </w:tcPr>
          <w:p>
            <w:pPr>
              <w:spacing w:after="0"/>
              <w:rPr>
                <w:sz w:val="20"/>
                <w:szCs w:val="20"/>
                <w:color w:val="auto"/>
              </w:rPr>
            </w:pPr>
            <w:r>
              <w:rPr>
                <w:rFonts w:ascii="Arial" w:cs="Arial" w:eastAsia="Arial" w:hAnsi="Arial"/>
                <w:sz w:val="20"/>
                <w:szCs w:val="20"/>
                <w:color w:val="auto"/>
                <w:w w:val="93"/>
              </w:rPr>
              <w:t>Exhibit 10.1 to the Company’s Form 8-K filed</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effective October 2, 2023</w:t>
            </w:r>
          </w:p>
        </w:tc>
        <w:tc>
          <w:tcPr>
            <w:tcW w:w="3740" w:type="dxa"/>
            <w:vAlign w:val="bottom"/>
            <w:gridSpan w:val="2"/>
          </w:tcPr>
          <w:p>
            <w:pPr>
              <w:spacing w:after="0"/>
              <w:rPr>
                <w:sz w:val="20"/>
                <w:szCs w:val="20"/>
                <w:color w:val="auto"/>
              </w:rPr>
            </w:pPr>
            <w:r>
              <w:rPr>
                <w:rFonts w:ascii="Arial" w:cs="Arial" w:eastAsia="Arial" w:hAnsi="Arial"/>
                <w:sz w:val="20"/>
                <w:szCs w:val="20"/>
                <w:color w:val="auto"/>
              </w:rPr>
              <w:t>October 3, 2023</w:t>
            </w:r>
          </w:p>
        </w:tc>
      </w:tr>
      <w:tr>
        <w:trPr>
          <w:trHeight w:val="350"/>
        </w:trPr>
        <w:tc>
          <w:tcPr>
            <w:tcW w:w="940" w:type="dxa"/>
            <w:vAlign w:val="bottom"/>
            <w:gridSpan w:val="3"/>
          </w:tcPr>
          <w:p>
            <w:pPr>
              <w:spacing w:after="0"/>
              <w:rPr>
                <w:sz w:val="20"/>
                <w:szCs w:val="20"/>
                <w:color w:val="auto"/>
              </w:rPr>
            </w:pPr>
            <w:r>
              <w:rPr>
                <w:rFonts w:ascii="Arial" w:cs="Arial" w:eastAsia="Arial" w:hAnsi="Arial"/>
                <w:sz w:val="20"/>
                <w:szCs w:val="20"/>
                <w:color w:val="auto"/>
              </w:rPr>
              <w:t>101.INS</w:t>
            </w:r>
          </w:p>
        </w:tc>
        <w:tc>
          <w:tcPr>
            <w:tcW w:w="340" w:type="dxa"/>
            <w:vAlign w:val="bottom"/>
          </w:tcPr>
          <w:p>
            <w:pPr>
              <w:jc w:val="center"/>
              <w:spacing w:after="0"/>
              <w:rPr>
                <w:sz w:val="20"/>
                <w:szCs w:val="20"/>
                <w:color w:val="auto"/>
              </w:rPr>
            </w:pPr>
            <w:r>
              <w:rPr>
                <w:rFonts w:ascii="Arial" w:cs="Arial" w:eastAsia="Arial" w:hAnsi="Arial"/>
                <w:sz w:val="20"/>
                <w:szCs w:val="20"/>
                <w:color w:val="auto"/>
                <w:w w:val="85"/>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Inline XBRL Instance Document</w:t>
            </w:r>
          </w:p>
        </w:tc>
        <w:tc>
          <w:tcPr>
            <w:tcW w:w="3740" w:type="dxa"/>
            <w:vAlign w:val="bottom"/>
            <w:gridSpan w:val="2"/>
          </w:tcPr>
          <w:p>
            <w:pPr>
              <w:spacing w:after="0"/>
              <w:rPr>
                <w:sz w:val="20"/>
                <w:szCs w:val="20"/>
                <w:color w:val="auto"/>
              </w:rPr>
            </w:pPr>
            <w:r>
              <w:rPr>
                <w:rFonts w:ascii="Arial" w:cs="Arial" w:eastAsia="Arial" w:hAnsi="Arial"/>
                <w:sz w:val="20"/>
                <w:szCs w:val="20"/>
                <w:color w:val="auto"/>
              </w:rPr>
              <w:t>Submitted herewith</w:t>
            </w:r>
          </w:p>
        </w:tc>
      </w:tr>
      <w:tr>
        <w:trPr>
          <w:trHeight w:val="350"/>
        </w:trPr>
        <w:tc>
          <w:tcPr>
            <w:tcW w:w="940" w:type="dxa"/>
            <w:vAlign w:val="bottom"/>
            <w:gridSpan w:val="3"/>
          </w:tcPr>
          <w:p>
            <w:pPr>
              <w:spacing w:after="0"/>
              <w:rPr>
                <w:sz w:val="20"/>
                <w:szCs w:val="20"/>
                <w:color w:val="auto"/>
              </w:rPr>
            </w:pPr>
            <w:r>
              <w:rPr>
                <w:rFonts w:ascii="Arial" w:cs="Arial" w:eastAsia="Arial" w:hAnsi="Arial"/>
                <w:sz w:val="20"/>
                <w:szCs w:val="20"/>
                <w:color w:val="auto"/>
              </w:rPr>
              <w:t>101.SCH</w:t>
            </w:r>
          </w:p>
        </w:tc>
        <w:tc>
          <w:tcPr>
            <w:tcW w:w="340" w:type="dxa"/>
            <w:vAlign w:val="bottom"/>
          </w:tcPr>
          <w:p>
            <w:pPr>
              <w:jc w:val="center"/>
              <w:spacing w:after="0"/>
              <w:rPr>
                <w:sz w:val="20"/>
                <w:szCs w:val="20"/>
                <w:color w:val="auto"/>
              </w:rPr>
            </w:pPr>
            <w:r>
              <w:rPr>
                <w:rFonts w:ascii="Arial" w:cs="Arial" w:eastAsia="Arial" w:hAnsi="Arial"/>
                <w:sz w:val="20"/>
                <w:szCs w:val="20"/>
                <w:color w:val="auto"/>
                <w:w w:val="85"/>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Inline XBRL Schema Document</w:t>
            </w:r>
          </w:p>
        </w:tc>
        <w:tc>
          <w:tcPr>
            <w:tcW w:w="3740" w:type="dxa"/>
            <w:vAlign w:val="bottom"/>
            <w:gridSpan w:val="2"/>
          </w:tcPr>
          <w:p>
            <w:pPr>
              <w:spacing w:after="0"/>
              <w:rPr>
                <w:sz w:val="20"/>
                <w:szCs w:val="20"/>
                <w:color w:val="auto"/>
              </w:rPr>
            </w:pPr>
            <w:r>
              <w:rPr>
                <w:rFonts w:ascii="Arial" w:cs="Arial" w:eastAsia="Arial" w:hAnsi="Arial"/>
                <w:sz w:val="20"/>
                <w:szCs w:val="20"/>
                <w:color w:val="auto"/>
              </w:rPr>
              <w:t>Submitted herewith</w:t>
            </w:r>
          </w:p>
        </w:tc>
      </w:tr>
      <w:tr>
        <w:trPr>
          <w:trHeight w:val="350"/>
        </w:trPr>
        <w:tc>
          <w:tcPr>
            <w:tcW w:w="940" w:type="dxa"/>
            <w:vAlign w:val="bottom"/>
            <w:gridSpan w:val="3"/>
          </w:tcPr>
          <w:p>
            <w:pPr>
              <w:spacing w:after="0"/>
              <w:rPr>
                <w:sz w:val="20"/>
                <w:szCs w:val="20"/>
                <w:color w:val="auto"/>
              </w:rPr>
            </w:pPr>
            <w:r>
              <w:rPr>
                <w:rFonts w:ascii="Arial" w:cs="Arial" w:eastAsia="Arial" w:hAnsi="Arial"/>
                <w:sz w:val="20"/>
                <w:szCs w:val="20"/>
                <w:color w:val="auto"/>
              </w:rPr>
              <w:t>101.CAL</w:t>
            </w:r>
          </w:p>
        </w:tc>
        <w:tc>
          <w:tcPr>
            <w:tcW w:w="340" w:type="dxa"/>
            <w:vAlign w:val="bottom"/>
          </w:tcPr>
          <w:p>
            <w:pPr>
              <w:jc w:val="center"/>
              <w:spacing w:after="0"/>
              <w:rPr>
                <w:sz w:val="20"/>
                <w:szCs w:val="20"/>
                <w:color w:val="auto"/>
              </w:rPr>
            </w:pPr>
            <w:r>
              <w:rPr>
                <w:rFonts w:ascii="Arial" w:cs="Arial" w:eastAsia="Arial" w:hAnsi="Arial"/>
                <w:sz w:val="20"/>
                <w:szCs w:val="20"/>
                <w:color w:val="auto"/>
                <w:w w:val="85"/>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Inline XBRL Calculation Linkbase Document</w:t>
            </w:r>
          </w:p>
        </w:tc>
        <w:tc>
          <w:tcPr>
            <w:tcW w:w="3740" w:type="dxa"/>
            <w:vAlign w:val="bottom"/>
            <w:gridSpan w:val="2"/>
          </w:tcPr>
          <w:p>
            <w:pPr>
              <w:spacing w:after="0"/>
              <w:rPr>
                <w:sz w:val="20"/>
                <w:szCs w:val="20"/>
                <w:color w:val="auto"/>
              </w:rPr>
            </w:pPr>
            <w:r>
              <w:rPr>
                <w:rFonts w:ascii="Arial" w:cs="Arial" w:eastAsia="Arial" w:hAnsi="Arial"/>
                <w:sz w:val="20"/>
                <w:szCs w:val="20"/>
                <w:color w:val="auto"/>
              </w:rPr>
              <w:t>Submitted herewith</w:t>
            </w:r>
          </w:p>
        </w:tc>
      </w:tr>
      <w:tr>
        <w:trPr>
          <w:trHeight w:val="346"/>
        </w:trPr>
        <w:tc>
          <w:tcPr>
            <w:tcW w:w="940" w:type="dxa"/>
            <w:vAlign w:val="bottom"/>
            <w:gridSpan w:val="3"/>
          </w:tcPr>
          <w:p>
            <w:pPr>
              <w:spacing w:after="0"/>
              <w:rPr>
                <w:sz w:val="20"/>
                <w:szCs w:val="20"/>
                <w:color w:val="auto"/>
              </w:rPr>
            </w:pPr>
            <w:r>
              <w:rPr>
                <w:rFonts w:ascii="Arial" w:cs="Arial" w:eastAsia="Arial" w:hAnsi="Arial"/>
                <w:sz w:val="20"/>
                <w:szCs w:val="20"/>
                <w:color w:val="auto"/>
              </w:rPr>
              <w:t>101.LAB</w:t>
            </w:r>
          </w:p>
        </w:tc>
        <w:tc>
          <w:tcPr>
            <w:tcW w:w="340" w:type="dxa"/>
            <w:vAlign w:val="bottom"/>
          </w:tcPr>
          <w:p>
            <w:pPr>
              <w:jc w:val="center"/>
              <w:spacing w:after="0"/>
              <w:rPr>
                <w:sz w:val="20"/>
                <w:szCs w:val="20"/>
                <w:color w:val="auto"/>
              </w:rPr>
            </w:pPr>
            <w:r>
              <w:rPr>
                <w:rFonts w:ascii="Arial" w:cs="Arial" w:eastAsia="Arial" w:hAnsi="Arial"/>
                <w:sz w:val="20"/>
                <w:szCs w:val="20"/>
                <w:color w:val="auto"/>
                <w:w w:val="85"/>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Inline XBRL Label Linkbase Document</w:t>
            </w:r>
          </w:p>
        </w:tc>
        <w:tc>
          <w:tcPr>
            <w:tcW w:w="3740" w:type="dxa"/>
            <w:vAlign w:val="bottom"/>
            <w:gridSpan w:val="2"/>
          </w:tcPr>
          <w:p>
            <w:pPr>
              <w:spacing w:after="0"/>
              <w:rPr>
                <w:sz w:val="20"/>
                <w:szCs w:val="20"/>
                <w:color w:val="auto"/>
              </w:rPr>
            </w:pPr>
            <w:r>
              <w:rPr>
                <w:rFonts w:ascii="Arial" w:cs="Arial" w:eastAsia="Arial" w:hAnsi="Arial"/>
                <w:sz w:val="20"/>
                <w:szCs w:val="20"/>
                <w:color w:val="auto"/>
              </w:rPr>
              <w:t>Submitted herewith</w:t>
            </w:r>
          </w:p>
        </w:tc>
      </w:tr>
      <w:tr>
        <w:trPr>
          <w:trHeight w:val="350"/>
        </w:trPr>
        <w:tc>
          <w:tcPr>
            <w:tcW w:w="940" w:type="dxa"/>
            <w:vAlign w:val="bottom"/>
            <w:gridSpan w:val="3"/>
          </w:tcPr>
          <w:p>
            <w:pPr>
              <w:spacing w:after="0"/>
              <w:rPr>
                <w:sz w:val="20"/>
                <w:szCs w:val="20"/>
                <w:color w:val="auto"/>
              </w:rPr>
            </w:pPr>
            <w:r>
              <w:rPr>
                <w:rFonts w:ascii="Arial" w:cs="Arial" w:eastAsia="Arial" w:hAnsi="Arial"/>
                <w:sz w:val="20"/>
                <w:szCs w:val="20"/>
                <w:color w:val="auto"/>
              </w:rPr>
              <w:t>101.PRE</w:t>
            </w:r>
          </w:p>
        </w:tc>
        <w:tc>
          <w:tcPr>
            <w:tcW w:w="340" w:type="dxa"/>
            <w:vAlign w:val="bottom"/>
          </w:tcPr>
          <w:p>
            <w:pPr>
              <w:jc w:val="center"/>
              <w:spacing w:after="0"/>
              <w:rPr>
                <w:sz w:val="20"/>
                <w:szCs w:val="20"/>
                <w:color w:val="auto"/>
              </w:rPr>
            </w:pPr>
            <w:r>
              <w:rPr>
                <w:rFonts w:ascii="Arial" w:cs="Arial" w:eastAsia="Arial" w:hAnsi="Arial"/>
                <w:sz w:val="20"/>
                <w:szCs w:val="20"/>
                <w:color w:val="auto"/>
                <w:w w:val="85"/>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Inline XBRL Presentation Linkbase Document</w:t>
            </w:r>
          </w:p>
        </w:tc>
        <w:tc>
          <w:tcPr>
            <w:tcW w:w="3740" w:type="dxa"/>
            <w:vAlign w:val="bottom"/>
            <w:gridSpan w:val="2"/>
          </w:tcPr>
          <w:p>
            <w:pPr>
              <w:spacing w:after="0"/>
              <w:rPr>
                <w:sz w:val="20"/>
                <w:szCs w:val="20"/>
                <w:color w:val="auto"/>
              </w:rPr>
            </w:pPr>
            <w:r>
              <w:rPr>
                <w:rFonts w:ascii="Arial" w:cs="Arial" w:eastAsia="Arial" w:hAnsi="Arial"/>
                <w:sz w:val="20"/>
                <w:szCs w:val="20"/>
                <w:color w:val="auto"/>
              </w:rPr>
              <w:t>Submitted herewith</w:t>
            </w:r>
          </w:p>
        </w:tc>
      </w:tr>
      <w:tr>
        <w:trPr>
          <w:trHeight w:val="350"/>
        </w:trPr>
        <w:tc>
          <w:tcPr>
            <w:tcW w:w="940" w:type="dxa"/>
            <w:vAlign w:val="bottom"/>
            <w:gridSpan w:val="3"/>
          </w:tcPr>
          <w:p>
            <w:pPr>
              <w:spacing w:after="0"/>
              <w:rPr>
                <w:sz w:val="20"/>
                <w:szCs w:val="20"/>
                <w:color w:val="auto"/>
              </w:rPr>
            </w:pPr>
            <w:r>
              <w:rPr>
                <w:rFonts w:ascii="Arial" w:cs="Arial" w:eastAsia="Arial" w:hAnsi="Arial"/>
                <w:sz w:val="20"/>
                <w:szCs w:val="20"/>
                <w:color w:val="auto"/>
              </w:rPr>
              <w:t>101.DEF</w:t>
            </w:r>
          </w:p>
        </w:tc>
        <w:tc>
          <w:tcPr>
            <w:tcW w:w="340" w:type="dxa"/>
            <w:vAlign w:val="bottom"/>
          </w:tcPr>
          <w:p>
            <w:pPr>
              <w:jc w:val="center"/>
              <w:spacing w:after="0"/>
              <w:rPr>
                <w:sz w:val="20"/>
                <w:szCs w:val="20"/>
                <w:color w:val="auto"/>
              </w:rPr>
            </w:pPr>
            <w:r>
              <w:rPr>
                <w:rFonts w:ascii="Arial" w:cs="Arial" w:eastAsia="Arial" w:hAnsi="Arial"/>
                <w:sz w:val="20"/>
                <w:szCs w:val="20"/>
                <w:color w:val="auto"/>
                <w:w w:val="85"/>
              </w:rPr>
              <w:t>***</w:t>
            </w:r>
          </w:p>
        </w:tc>
        <w:tc>
          <w:tcPr>
            <w:tcW w:w="4440" w:type="dxa"/>
            <w:vAlign w:val="bottom"/>
            <w:gridSpan w:val="2"/>
          </w:tcPr>
          <w:p>
            <w:pPr>
              <w:spacing w:after="0"/>
              <w:rPr>
                <w:sz w:val="20"/>
                <w:szCs w:val="20"/>
                <w:color w:val="auto"/>
              </w:rPr>
            </w:pPr>
            <w:r>
              <w:rPr>
                <w:rFonts w:ascii="Arial" w:cs="Arial" w:eastAsia="Arial" w:hAnsi="Arial"/>
                <w:sz w:val="20"/>
                <w:szCs w:val="20"/>
                <w:color w:val="auto"/>
              </w:rPr>
              <w:t>Inline XBRL Definition Linkbase Document</w:t>
            </w:r>
          </w:p>
        </w:tc>
        <w:tc>
          <w:tcPr>
            <w:tcW w:w="3740" w:type="dxa"/>
            <w:vAlign w:val="bottom"/>
            <w:gridSpan w:val="2"/>
          </w:tcPr>
          <w:p>
            <w:pPr>
              <w:spacing w:after="0"/>
              <w:rPr>
                <w:sz w:val="20"/>
                <w:szCs w:val="20"/>
                <w:color w:val="auto"/>
              </w:rPr>
            </w:pPr>
            <w:r>
              <w:rPr>
                <w:rFonts w:ascii="Arial" w:cs="Arial" w:eastAsia="Arial" w:hAnsi="Arial"/>
                <w:sz w:val="20"/>
                <w:szCs w:val="20"/>
                <w:color w:val="auto"/>
              </w:rPr>
              <w:t>Submitted herewith</w:t>
            </w:r>
          </w:p>
        </w:tc>
      </w:tr>
      <w:tr>
        <w:trPr>
          <w:trHeight w:val="350"/>
        </w:trPr>
        <w:tc>
          <w:tcPr>
            <w:tcW w:w="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104</w:t>
            </w:r>
          </w:p>
        </w:tc>
        <w:tc>
          <w:tcPr>
            <w:tcW w:w="40" w:type="dxa"/>
            <w:vAlign w:val="bottom"/>
          </w:tcPr>
          <w:p>
            <w:pPr>
              <w:spacing w:after="0"/>
              <w:rPr>
                <w:sz w:val="24"/>
                <w:szCs w:val="24"/>
                <w:color w:val="auto"/>
              </w:rPr>
            </w:pPr>
          </w:p>
        </w:tc>
        <w:tc>
          <w:tcPr>
            <w:tcW w:w="4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Cover Page Inline Interactive Data File</w:t>
            </w:r>
          </w:p>
        </w:tc>
        <w:tc>
          <w:tcPr>
            <w:tcW w:w="3740" w:type="dxa"/>
            <w:vAlign w:val="bottom"/>
            <w:gridSpan w:val="2"/>
          </w:tcPr>
          <w:p>
            <w:pPr>
              <w:spacing w:after="0"/>
              <w:rPr>
                <w:sz w:val="20"/>
                <w:szCs w:val="20"/>
                <w:color w:val="auto"/>
              </w:rPr>
            </w:pPr>
            <w:r>
              <w:rPr>
                <w:rFonts w:ascii="Arial" w:cs="Arial" w:eastAsia="Arial" w:hAnsi="Arial"/>
                <w:sz w:val="20"/>
                <w:szCs w:val="20"/>
                <w:color w:val="auto"/>
              </w:rPr>
              <w:t>Submitted herewith</w:t>
            </w: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(contained in Exhibit 101)</w:t>
            </w:r>
          </w:p>
        </w:tc>
        <w:tc>
          <w:tcPr>
            <w:tcW w:w="154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7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w:t>
      </w:r>
    </w:p>
    <w:p>
      <w:pPr>
        <w:spacing w:after="0" w:line="77" w:lineRule="exact"/>
        <w:rPr>
          <w:sz w:val="20"/>
          <w:szCs w:val="20"/>
          <w:color w:val="auto"/>
        </w:rPr>
      </w:pPr>
    </w:p>
    <w:p>
      <w:pPr>
        <w:ind w:left="1400" w:hanging="352"/>
        <w:spacing w:after="0"/>
        <w:tabs>
          <w:tab w:leader="none" w:pos="14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Indicates a management contract or compensatory plan or arrangement.</w:t>
      </w:r>
    </w:p>
    <w:p>
      <w:pPr>
        <w:spacing w:after="0" w:line="82" w:lineRule="exact"/>
        <w:rPr>
          <w:rFonts w:ascii="Arial" w:cs="Arial" w:eastAsia="Arial" w:hAnsi="Arial"/>
          <w:sz w:val="20"/>
          <w:szCs w:val="20"/>
          <w:color w:val="auto"/>
        </w:rPr>
      </w:pPr>
    </w:p>
    <w:p>
      <w:pPr>
        <w:ind w:left="1400" w:hanging="352"/>
        <w:spacing w:after="0"/>
        <w:tabs>
          <w:tab w:leader="none" w:pos="14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Furnished (and not filed) herewith pursuant to Item 601(b)(32)(ii) of Regulation S-K.</w:t>
      </w:r>
    </w:p>
    <w:p>
      <w:pPr>
        <w:spacing w:after="0" w:line="77" w:lineRule="exact"/>
        <w:rPr>
          <w:rFonts w:ascii="Arial" w:cs="Arial" w:eastAsia="Arial" w:hAnsi="Arial"/>
          <w:sz w:val="20"/>
          <w:szCs w:val="20"/>
          <w:color w:val="auto"/>
        </w:rPr>
      </w:pPr>
    </w:p>
    <w:p>
      <w:pPr>
        <w:jc w:val="both"/>
        <w:ind w:left="1400" w:hanging="352"/>
        <w:spacing w:after="0"/>
        <w:tabs>
          <w:tab w:leader="none" w:pos="1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Exhibits 101 and 104 to this report consist of documents formatted in XBRL (Extensible Business Reporting Language) and filed with the Securities and Exchange Commission; they are not included in printed copies of this Report.</w:t>
      </w:r>
    </w:p>
    <w:p>
      <w:pPr>
        <w:spacing w:after="0" w:line="36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Item 16. Form 10-K Summary</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9680"/>
          </w:cols>
          <w:pgMar w:left="1300" w:top="1440" w:right="1260" w:bottom="0" w:gutter="0" w:footer="0" w:header="0"/>
        </w:sectPr>
      </w:pPr>
    </w:p>
    <w:bookmarkStart w:id="40" w:name="page41"/>
    <w:bookmarkEnd w:id="40"/>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24"/>
          <w:szCs w:val="2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609854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extLst>
                    </a:blip>
                    <a:srcRect/>
                    <a:stretch>
                      <a:fillRect/>
                    </a:stretch>
                  </pic:blipFill>
                  <pic:spPr bwMode="auto">
                    <a:xfrm>
                      <a:off x="0" y="0"/>
                      <a:ext cx="6098540" cy="6350"/>
                    </a:xfrm>
                    <a:prstGeom prst="rect">
                      <a:avLst/>
                    </a:prstGeom>
                    <a:noFill/>
                  </pic:spPr>
                </pic:pic>
              </a:graphicData>
            </a:graphic>
          </wp:anchor>
        </w:drawing>
      </w:r>
    </w:p>
    <w:p>
      <w:pPr>
        <w:sectPr>
          <w:pgSz w:w="12240" w:h="15840" w:orient="portrait"/>
          <w:cols w:equalWidth="0" w:num="1">
            <w:col w:w="9360"/>
          </w:cols>
          <w:pgMar w:left="1440" w:top="1440" w:right="1440" w:bottom="0" w:gutter="0" w:footer="0" w:header="0"/>
        </w:sectPr>
      </w:pPr>
    </w:p>
    <w:p>
      <w:pPr>
        <w:spacing w:after="0" w:line="337"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ESCO TECHNOLOGIES INC.</w:t>
      </w:r>
    </w:p>
    <w:p>
      <w:pPr>
        <w:spacing w:after="0" w:line="36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By: /s/ Bryan H. Sayler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3387725</wp:posOffset>
                </wp:positionH>
                <wp:positionV relativeFrom="paragraph">
                  <wp:posOffset>-8255</wp:posOffset>
                </wp:positionV>
                <wp:extent cx="164338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338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75pt,-0.6499pt" to="396.15pt,-0.6499pt" o:allowincell="f" strokecolor="#000000" strokeweight="0.48pt"/>
            </w:pict>
          </mc:Fallback>
        </mc:AlternateContent>
      </w:r>
    </w:p>
    <w:p>
      <w:pPr>
        <w:ind w:left="5400"/>
        <w:spacing w:after="0"/>
        <w:rPr>
          <w:sz w:val="20"/>
          <w:szCs w:val="20"/>
          <w:color w:val="auto"/>
        </w:rPr>
      </w:pPr>
      <w:r>
        <w:rPr>
          <w:rFonts w:ascii="Times New Roman" w:cs="Times New Roman" w:eastAsia="Times New Roman" w:hAnsi="Times New Roman"/>
          <w:sz w:val="20"/>
          <w:szCs w:val="20"/>
          <w:color w:val="auto"/>
        </w:rPr>
        <w:t>Bryan H. Sayler</w:t>
      </w:r>
    </w:p>
    <w:p>
      <w:pPr>
        <w:ind w:left="540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1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Date: November 29, 2023</w:t>
      </w:r>
    </w:p>
    <w:p>
      <w:pPr>
        <w:spacing w:after="0" w:line="360" w:lineRule="exact"/>
        <w:rPr>
          <w:sz w:val="20"/>
          <w:szCs w:val="20"/>
          <w:color w:val="auto"/>
        </w:rPr>
      </w:pPr>
    </w:p>
    <w:p>
      <w:pPr>
        <w:ind w:right="560"/>
        <w:spacing w:after="0" w:line="23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Signature</w:t>
            </w:r>
          </w:p>
        </w:tc>
        <w:tc>
          <w:tcPr>
            <w:tcW w:w="2760" w:type="dxa"/>
            <w:vAlign w:val="bottom"/>
            <w:gridSpan w:val="2"/>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w w:val="95"/>
              </w:rPr>
              <w:t>Title</w:t>
            </w:r>
          </w:p>
        </w:tc>
        <w:tc>
          <w:tcPr>
            <w:tcW w:w="328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r>
      <w:tr>
        <w:trPr>
          <w:trHeight w:val="20"/>
        </w:trPr>
        <w:tc>
          <w:tcPr>
            <w:tcW w:w="7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90"/>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Bryan H. Sayler</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 (Principal</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8"/>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Bryan H. Sayler</w:t>
            </w:r>
          </w:p>
        </w:tc>
        <w:tc>
          <w:tcPr>
            <w:tcW w:w="3660" w:type="dxa"/>
            <w:vAlign w:val="bottom"/>
            <w:gridSpan w:val="2"/>
          </w:tcPr>
          <w:p>
            <w:pPr>
              <w:ind w:left="140"/>
              <w:spacing w:after="0" w:line="229" w:lineRule="exact"/>
              <w:rPr>
                <w:sz w:val="20"/>
                <w:szCs w:val="20"/>
                <w:color w:val="auto"/>
              </w:rPr>
            </w:pPr>
            <w:r>
              <w:rPr>
                <w:rFonts w:ascii="Times New Roman" w:cs="Times New Roman" w:eastAsia="Times New Roman" w:hAnsi="Times New Roman"/>
                <w:sz w:val="20"/>
                <w:szCs w:val="20"/>
                <w:color w:val="auto"/>
              </w:rPr>
              <w:t>Executive Officer), President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6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20"/>
                <w:szCs w:val="20"/>
                <w:color w:val="auto"/>
              </w:rPr>
              <w:t>Director</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93"/>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Christopher L. Tucker</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Senior Vice President and Chief Financial</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8"/>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Christopher L. Tucker</w:t>
            </w:r>
          </w:p>
        </w:tc>
        <w:tc>
          <w:tcPr>
            <w:tcW w:w="3660" w:type="dxa"/>
            <w:vAlign w:val="bottom"/>
            <w:gridSpan w:val="2"/>
          </w:tcPr>
          <w:p>
            <w:pPr>
              <w:ind w:left="140"/>
              <w:spacing w:after="0" w:line="229" w:lineRule="exact"/>
              <w:rPr>
                <w:sz w:val="20"/>
                <w:szCs w:val="20"/>
                <w:color w:val="auto"/>
              </w:rPr>
            </w:pPr>
            <w:r>
              <w:rPr>
                <w:rFonts w:ascii="Times New Roman" w:cs="Times New Roman" w:eastAsia="Times New Roman" w:hAnsi="Times New Roman"/>
                <w:sz w:val="20"/>
                <w:szCs w:val="20"/>
                <w:color w:val="auto"/>
              </w:rPr>
              <w:t>Officer (Principal Accounting Officer)</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92"/>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Patrick M. Dewar</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9"/>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Patrick M. Dewar</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92"/>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Janice L. Hess</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8"/>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Janice L. Hess</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93"/>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Vinod M. Khilnani</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8"/>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Vinod M. Khilnani</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92"/>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Leon J. Olivier</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8"/>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Leon J. Olivier</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88"/>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Robert J. Phillippy</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8"/>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Robert J. Phillippy</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92"/>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James M. Stolze</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9"/>
        </w:trPr>
        <w:tc>
          <w:tcPr>
            <w:tcW w:w="3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James M. Stolze</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92"/>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Gloria L. Valdez</w:t>
            </w:r>
          </w:p>
        </w:tc>
        <w:tc>
          <w:tcPr>
            <w:tcW w:w="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November 29, 2023</w:t>
            </w:r>
          </w:p>
        </w:tc>
      </w:tr>
      <w:tr>
        <w:trPr>
          <w:trHeight w:val="228"/>
        </w:trPr>
        <w:tc>
          <w:tcPr>
            <w:tcW w:w="354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Gloria L. Valdez</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9360"/>
          </w:cols>
          <w:pgMar w:left="1440" w:top="1440" w:right="1440" w:bottom="0" w:gutter="0" w:footer="0" w:header="0"/>
          <w:type w:val="continuous"/>
        </w:sectPr>
      </w:pPr>
    </w:p>
    <w:bookmarkStart w:id="41" w:name="page42"/>
    <w:bookmarkEnd w:id="41"/>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607377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extLst>
                    </a:blip>
                    <a:srcRect/>
                    <a:stretch>
                      <a:fillRect/>
                    </a:stretch>
                  </pic:blipFill>
                  <pic:spPr bwMode="auto">
                    <a:xfrm>
                      <a:off x="0" y="0"/>
                      <a:ext cx="6073775" cy="6350"/>
                    </a:xfrm>
                    <a:prstGeom prst="rect">
                      <a:avLst/>
                    </a:prstGeom>
                    <a:noFill/>
                  </pic:spPr>
                </pic:pic>
              </a:graphicData>
            </a:graphic>
          </wp:anchor>
        </w:drawing>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INDEX</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20"/>
                <w:szCs w:val="20"/>
                <w:color w:val="auto"/>
                <w:w w:val="87"/>
              </w:rPr>
              <w:t>Reports of Independent Registered Public Accounting Firm [Grant Thornton LLP, PCAOB ID Number 248]</w:t>
            </w:r>
          </w:p>
        </w:tc>
        <w:tc>
          <w:tcPr>
            <w:tcW w:w="520" w:type="dxa"/>
            <w:vAlign w:val="bottom"/>
          </w:tcPr>
          <w:p>
            <w:pPr>
              <w:jc w:val="right"/>
              <w:spacing w:after="0"/>
              <w:rPr>
                <w:sz w:val="20"/>
                <w:szCs w:val="20"/>
                <w:color w:val="auto"/>
              </w:rPr>
            </w:pPr>
            <w:r>
              <w:rPr>
                <w:rFonts w:ascii="Arial" w:cs="Arial" w:eastAsia="Arial" w:hAnsi="Arial"/>
                <w:sz w:val="20"/>
                <w:szCs w:val="20"/>
                <w:color w:val="auto"/>
              </w:rPr>
              <w:t>F-2</w:t>
            </w:r>
          </w:p>
        </w:tc>
      </w:tr>
      <w:tr>
        <w:trPr>
          <w:trHeight w:val="230"/>
        </w:trPr>
        <w:tc>
          <w:tcPr>
            <w:tcW w:w="8220" w:type="dxa"/>
            <w:vAlign w:val="bottom"/>
          </w:tcPr>
          <w:p>
            <w:pPr>
              <w:spacing w:after="0"/>
              <w:rPr>
                <w:sz w:val="20"/>
                <w:szCs w:val="20"/>
                <w:color w:val="auto"/>
              </w:rPr>
            </w:pPr>
            <w:r>
              <w:rPr>
                <w:rFonts w:ascii="Arial" w:cs="Arial" w:eastAsia="Arial" w:hAnsi="Arial"/>
                <w:sz w:val="20"/>
                <w:szCs w:val="20"/>
                <w:color w:val="auto"/>
                <w:w w:val="96"/>
              </w:rPr>
              <w:t>Report of Independent Registered Public Accounting Firm [KPMG LLP, PCAOB ID Number 185]</w:t>
            </w:r>
          </w:p>
        </w:tc>
        <w:tc>
          <w:tcPr>
            <w:tcW w:w="520" w:type="dxa"/>
            <w:vAlign w:val="bottom"/>
          </w:tcPr>
          <w:p>
            <w:pPr>
              <w:jc w:val="right"/>
              <w:spacing w:after="0"/>
              <w:rPr>
                <w:sz w:val="20"/>
                <w:szCs w:val="20"/>
                <w:color w:val="auto"/>
              </w:rPr>
            </w:pPr>
            <w:r>
              <w:rPr>
                <w:rFonts w:ascii="Arial" w:cs="Arial" w:eastAsia="Arial" w:hAnsi="Arial"/>
                <w:sz w:val="20"/>
                <w:szCs w:val="20"/>
                <w:color w:val="auto"/>
              </w:rPr>
              <w:t>F-5</w:t>
            </w:r>
          </w:p>
        </w:tc>
      </w:tr>
      <w:tr>
        <w:trPr>
          <w:trHeight w:val="230"/>
        </w:trPr>
        <w:tc>
          <w:tcPr>
            <w:tcW w:w="8220" w:type="dxa"/>
            <w:vAlign w:val="bottom"/>
          </w:tcPr>
          <w:p>
            <w:pPr>
              <w:spacing w:after="0"/>
              <w:rPr>
                <w:sz w:val="20"/>
                <w:szCs w:val="20"/>
                <w:color w:val="auto"/>
              </w:rPr>
            </w:pPr>
            <w:r>
              <w:rPr>
                <w:rFonts w:ascii="Arial" w:cs="Arial" w:eastAsia="Arial" w:hAnsi="Arial"/>
                <w:sz w:val="20"/>
                <w:szCs w:val="20"/>
                <w:color w:val="auto"/>
                <w:w w:val="94"/>
              </w:rPr>
              <w:t>Consolidated Statements of Operations for the Years Ended September 30, 2023, 2022 and 2021</w:t>
            </w:r>
          </w:p>
        </w:tc>
        <w:tc>
          <w:tcPr>
            <w:tcW w:w="520" w:type="dxa"/>
            <w:vAlign w:val="bottom"/>
          </w:tcPr>
          <w:p>
            <w:pPr>
              <w:jc w:val="right"/>
              <w:spacing w:after="0"/>
              <w:rPr>
                <w:sz w:val="20"/>
                <w:szCs w:val="20"/>
                <w:color w:val="auto"/>
              </w:rPr>
            </w:pPr>
            <w:r>
              <w:rPr>
                <w:rFonts w:ascii="Arial" w:cs="Arial" w:eastAsia="Arial" w:hAnsi="Arial"/>
                <w:sz w:val="20"/>
                <w:szCs w:val="20"/>
                <w:color w:val="auto"/>
              </w:rPr>
              <w:t>F-6</w:t>
            </w:r>
          </w:p>
        </w:tc>
      </w:tr>
      <w:tr>
        <w:trPr>
          <w:trHeight w:val="231"/>
        </w:trPr>
        <w:tc>
          <w:tcPr>
            <w:tcW w:w="8220" w:type="dxa"/>
            <w:vAlign w:val="bottom"/>
          </w:tcPr>
          <w:p>
            <w:pPr>
              <w:spacing w:after="0"/>
              <w:rPr>
                <w:sz w:val="20"/>
                <w:szCs w:val="20"/>
                <w:color w:val="auto"/>
              </w:rPr>
            </w:pPr>
            <w:r>
              <w:rPr>
                <w:rFonts w:ascii="Arial" w:cs="Arial" w:eastAsia="Arial" w:hAnsi="Arial"/>
                <w:sz w:val="20"/>
                <w:szCs w:val="20"/>
                <w:color w:val="auto"/>
                <w:w w:val="83"/>
              </w:rPr>
              <w:t>Consolidated Statements of Comprehensive Income for the Years Ended September 30, 2023, 2022 and 2021</w:t>
            </w:r>
          </w:p>
        </w:tc>
        <w:tc>
          <w:tcPr>
            <w:tcW w:w="520" w:type="dxa"/>
            <w:vAlign w:val="bottom"/>
          </w:tcPr>
          <w:p>
            <w:pPr>
              <w:jc w:val="right"/>
              <w:spacing w:after="0"/>
              <w:rPr>
                <w:sz w:val="20"/>
                <w:szCs w:val="20"/>
                <w:color w:val="auto"/>
              </w:rPr>
            </w:pPr>
            <w:r>
              <w:rPr>
                <w:rFonts w:ascii="Arial" w:cs="Arial" w:eastAsia="Arial" w:hAnsi="Arial"/>
                <w:sz w:val="20"/>
                <w:szCs w:val="20"/>
                <w:color w:val="auto"/>
              </w:rPr>
              <w:t>F-6</w:t>
            </w:r>
          </w:p>
        </w:tc>
      </w:tr>
      <w:tr>
        <w:trPr>
          <w:trHeight w:val="226"/>
        </w:trPr>
        <w:tc>
          <w:tcPr>
            <w:tcW w:w="8220" w:type="dxa"/>
            <w:vAlign w:val="bottom"/>
          </w:tcPr>
          <w:p>
            <w:pPr>
              <w:spacing w:after="0" w:line="227" w:lineRule="exact"/>
              <w:rPr>
                <w:sz w:val="20"/>
                <w:szCs w:val="20"/>
                <w:color w:val="auto"/>
              </w:rPr>
            </w:pPr>
            <w:r>
              <w:rPr>
                <w:rFonts w:ascii="Arial" w:cs="Arial" w:eastAsia="Arial" w:hAnsi="Arial"/>
                <w:sz w:val="20"/>
                <w:szCs w:val="20"/>
                <w:color w:val="auto"/>
              </w:rPr>
              <w:t>Consolidated Balance Sheets as of September 30, 2023 and 2022</w:t>
            </w:r>
          </w:p>
        </w:tc>
        <w:tc>
          <w:tcPr>
            <w:tcW w:w="520" w:type="dxa"/>
            <w:vAlign w:val="bottom"/>
          </w:tcPr>
          <w:p>
            <w:pPr>
              <w:jc w:val="right"/>
              <w:spacing w:after="0" w:line="227" w:lineRule="exact"/>
              <w:rPr>
                <w:sz w:val="20"/>
                <w:szCs w:val="20"/>
                <w:color w:val="auto"/>
              </w:rPr>
            </w:pPr>
            <w:r>
              <w:rPr>
                <w:rFonts w:ascii="Arial" w:cs="Arial" w:eastAsia="Arial" w:hAnsi="Arial"/>
                <w:sz w:val="20"/>
                <w:szCs w:val="20"/>
                <w:color w:val="auto"/>
              </w:rPr>
              <w:t>F-7</w:t>
            </w:r>
          </w:p>
        </w:tc>
      </w:tr>
      <w:tr>
        <w:trPr>
          <w:trHeight w:val="230"/>
        </w:trPr>
        <w:tc>
          <w:tcPr>
            <w:tcW w:w="8220" w:type="dxa"/>
            <w:vAlign w:val="bottom"/>
          </w:tcPr>
          <w:p>
            <w:pPr>
              <w:spacing w:after="0"/>
              <w:rPr>
                <w:sz w:val="20"/>
                <w:szCs w:val="20"/>
                <w:color w:val="auto"/>
              </w:rPr>
            </w:pPr>
            <w:r>
              <w:rPr>
                <w:rFonts w:ascii="Arial" w:cs="Arial" w:eastAsia="Arial" w:hAnsi="Arial"/>
                <w:sz w:val="20"/>
                <w:szCs w:val="20"/>
                <w:color w:val="auto"/>
                <w:w w:val="86"/>
              </w:rPr>
              <w:t>Consolidated Statements of Shareholders’ Equity for the Years Ended September 30, 2023, 2022 and 2021</w:t>
            </w:r>
          </w:p>
        </w:tc>
        <w:tc>
          <w:tcPr>
            <w:tcW w:w="520" w:type="dxa"/>
            <w:vAlign w:val="bottom"/>
          </w:tcPr>
          <w:p>
            <w:pPr>
              <w:jc w:val="right"/>
              <w:spacing w:after="0"/>
              <w:rPr>
                <w:sz w:val="20"/>
                <w:szCs w:val="20"/>
                <w:color w:val="auto"/>
              </w:rPr>
            </w:pPr>
            <w:r>
              <w:rPr>
                <w:rFonts w:ascii="Arial" w:cs="Arial" w:eastAsia="Arial" w:hAnsi="Arial"/>
                <w:sz w:val="20"/>
                <w:szCs w:val="20"/>
                <w:color w:val="auto"/>
              </w:rPr>
              <w:t>F-9</w:t>
            </w:r>
          </w:p>
        </w:tc>
      </w:tr>
      <w:tr>
        <w:trPr>
          <w:trHeight w:val="230"/>
        </w:trPr>
        <w:tc>
          <w:tcPr>
            <w:tcW w:w="8220" w:type="dxa"/>
            <w:vAlign w:val="bottom"/>
          </w:tcPr>
          <w:p>
            <w:pPr>
              <w:spacing w:after="0"/>
              <w:rPr>
                <w:sz w:val="20"/>
                <w:szCs w:val="20"/>
                <w:color w:val="auto"/>
              </w:rPr>
            </w:pPr>
            <w:r>
              <w:rPr>
                <w:rFonts w:ascii="Arial" w:cs="Arial" w:eastAsia="Arial" w:hAnsi="Arial"/>
                <w:sz w:val="20"/>
                <w:szCs w:val="20"/>
                <w:color w:val="auto"/>
                <w:w w:val="94"/>
              </w:rPr>
              <w:t>Consolidated Statements of Cash Flows for the Years Ended September 30, 2023, 2022 and 2021</w:t>
            </w:r>
          </w:p>
        </w:tc>
        <w:tc>
          <w:tcPr>
            <w:tcW w:w="520" w:type="dxa"/>
            <w:vAlign w:val="bottom"/>
          </w:tcPr>
          <w:p>
            <w:pPr>
              <w:jc w:val="right"/>
              <w:spacing w:after="0"/>
              <w:rPr>
                <w:sz w:val="20"/>
                <w:szCs w:val="20"/>
                <w:color w:val="auto"/>
              </w:rPr>
            </w:pPr>
            <w:r>
              <w:rPr>
                <w:rFonts w:ascii="Arial" w:cs="Arial" w:eastAsia="Arial" w:hAnsi="Arial"/>
                <w:sz w:val="20"/>
                <w:szCs w:val="20"/>
                <w:color w:val="auto"/>
              </w:rPr>
              <w:t>F-10</w:t>
            </w:r>
          </w:p>
        </w:tc>
      </w:tr>
      <w:tr>
        <w:trPr>
          <w:trHeight w:val="230"/>
        </w:trPr>
        <w:tc>
          <w:tcPr>
            <w:tcW w:w="822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520" w:type="dxa"/>
            <w:vAlign w:val="bottom"/>
          </w:tcPr>
          <w:p>
            <w:pPr>
              <w:jc w:val="right"/>
              <w:spacing w:after="0"/>
              <w:rPr>
                <w:sz w:val="20"/>
                <w:szCs w:val="20"/>
                <w:color w:val="auto"/>
              </w:rPr>
            </w:pPr>
            <w:r>
              <w:rPr>
                <w:rFonts w:ascii="Arial" w:cs="Arial" w:eastAsia="Arial" w:hAnsi="Arial"/>
                <w:sz w:val="20"/>
                <w:szCs w:val="20"/>
                <w:color w:val="auto"/>
              </w:rPr>
              <w:t>F-11</w:t>
            </w:r>
          </w:p>
        </w:tc>
      </w:tr>
      <w:tr>
        <w:trPr>
          <w:trHeight w:val="230"/>
        </w:trPr>
        <w:tc>
          <w:tcPr>
            <w:tcW w:w="8220" w:type="dxa"/>
            <w:vAlign w:val="bottom"/>
          </w:tcPr>
          <w:p>
            <w:pPr>
              <w:spacing w:after="0"/>
              <w:rPr>
                <w:sz w:val="20"/>
                <w:szCs w:val="20"/>
                <w:color w:val="auto"/>
              </w:rPr>
            </w:pPr>
            <w:r>
              <w:rPr>
                <w:rFonts w:ascii="Arial" w:cs="Arial" w:eastAsia="Arial" w:hAnsi="Arial"/>
                <w:sz w:val="20"/>
                <w:szCs w:val="20"/>
                <w:color w:val="auto"/>
              </w:rPr>
              <w:t>Management’s Statement of Financial Responsibility</w:t>
            </w:r>
          </w:p>
        </w:tc>
        <w:tc>
          <w:tcPr>
            <w:tcW w:w="520" w:type="dxa"/>
            <w:vAlign w:val="bottom"/>
          </w:tcPr>
          <w:p>
            <w:pPr>
              <w:jc w:val="right"/>
              <w:spacing w:after="0"/>
              <w:rPr>
                <w:sz w:val="20"/>
                <w:szCs w:val="20"/>
                <w:color w:val="auto"/>
              </w:rPr>
            </w:pPr>
            <w:r>
              <w:rPr>
                <w:rFonts w:ascii="Arial" w:cs="Arial" w:eastAsia="Arial" w:hAnsi="Arial"/>
                <w:sz w:val="20"/>
                <w:szCs w:val="20"/>
                <w:color w:val="auto"/>
              </w:rPr>
              <w:t>F-30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F-1</w:t>
      </w:r>
    </w:p>
    <w:p>
      <w:pPr>
        <w:sectPr>
          <w:pgSz w:w="12240" w:h="15840" w:orient="portrait"/>
          <w:cols w:equalWidth="0" w:num="1">
            <w:col w:w="9360"/>
          </w:cols>
          <w:pgMar w:left="1440" w:top="1440" w:right="1440" w:bottom="0" w:gutter="0" w:footer="0" w:header="0"/>
          <w:type w:val="continuous"/>
        </w:sectPr>
      </w:pPr>
    </w:p>
    <w:bookmarkStart w:id="42" w:name="page43"/>
    <w:bookmarkEnd w:id="42"/>
    <w:p>
      <w:pPr>
        <w:ind w:left="88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119380</wp:posOffset>
                </wp:positionV>
                <wp:extent cx="585216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216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4pt" to="460.8pt,9.4pt" o:allowincell="f" strokecolor="#000000" strokeweight="0.95pt"/>
            </w:pict>
          </mc:Fallback>
        </mc:AlternateConten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rPr>
          <w:sz w:val="20"/>
          <w:szCs w:val="20"/>
          <w:color w:val="auto"/>
        </w:rPr>
      </w:pPr>
      <w:r>
        <w:rPr>
          <w:rFonts w:ascii="Times New Roman" w:cs="Times New Roman" w:eastAsia="Times New Roman" w:hAnsi="Times New Roman"/>
          <w:sz w:val="20"/>
          <w:szCs w:val="20"/>
          <w:color w:val="auto"/>
        </w:rPr>
        <w:t>ESCO Technologies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sheets of ESCO Technologies Inc. (a Missouri corporation) </w:t>
      </w:r>
      <w:r>
        <w:rPr>
          <w:rFonts w:ascii="Arial" w:cs="Arial" w:eastAsia="Arial" w:hAnsi="Arial"/>
          <w:sz w:val="19"/>
          <w:szCs w:val="19"/>
          <w:color w:val="auto"/>
        </w:rPr>
        <w:t>and subsidiaries (the “Company”) as of September 30, 202</w:t>
      </w:r>
      <w:r>
        <w:rPr>
          <w:rFonts w:ascii="Times New Roman" w:cs="Times New Roman" w:eastAsia="Times New Roman" w:hAnsi="Times New Roman"/>
          <w:sz w:val="19"/>
          <w:szCs w:val="19"/>
          <w:color w:val="auto"/>
        </w:rPr>
        <w:t>3 and 2022, the related consolidated statements of</w:t>
      </w:r>
      <w:r>
        <w:rPr>
          <w:rFonts w:ascii="Arial" w:cs="Arial" w:eastAsia="Arial" w:hAnsi="Arial"/>
          <w:sz w:val="19"/>
          <w:szCs w:val="19"/>
          <w:color w:val="auto"/>
        </w:rPr>
        <w:t xml:space="preserve"> operations, comprehensive income, shareholders’ equity, and cash flows for </w:t>
      </w:r>
      <w:r>
        <w:rPr>
          <w:rFonts w:ascii="Times New Roman" w:cs="Times New Roman" w:eastAsia="Times New Roman" w:hAnsi="Times New Roman"/>
          <w:sz w:val="19"/>
          <w:szCs w:val="19"/>
          <w:color w:val="auto"/>
        </w:rPr>
        <w:t>each of the two years in the period ended</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September 30, 2023</w:t>
      </w:r>
      <w:r>
        <w:rPr>
          <w:rFonts w:ascii="Arial" w:cs="Arial" w:eastAsia="Arial" w:hAnsi="Arial"/>
          <w:sz w:val="19"/>
          <w:szCs w:val="19"/>
          <w:color w:val="auto"/>
        </w:rPr>
        <w:t>, and the related notes (collectively referred to as the “financial statements”). In our opinion, the</w:t>
      </w:r>
      <w:r>
        <w:rPr>
          <w:rFonts w:ascii="Times New Roman" w:cs="Times New Roman" w:eastAsia="Times New Roman" w:hAnsi="Times New Roman"/>
          <w:sz w:val="19"/>
          <w:szCs w:val="19"/>
          <w:color w:val="auto"/>
        </w:rPr>
        <w:t xml:space="preserv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25"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w:t>
      </w:r>
      <w:r>
        <w:rPr>
          <w:rFonts w:ascii="Arial" w:cs="Arial" w:eastAsia="Arial" w:hAnsi="Arial"/>
          <w:sz w:val="20"/>
          <w:szCs w:val="20"/>
          <w:color w:val="auto"/>
        </w:rPr>
        <w:t>States) (“PCAOB”), the Company’s internal control over financial reporting as of September 30, 202</w:t>
      </w:r>
      <w:r>
        <w:rPr>
          <w:rFonts w:ascii="Times New Roman" w:cs="Times New Roman" w:eastAsia="Times New Roman" w:hAnsi="Times New Roman"/>
          <w:sz w:val="20"/>
          <w:szCs w:val="20"/>
          <w:color w:val="auto"/>
        </w:rPr>
        <w:t>3, based on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 xml:space="preserve">criteria established in the 2013 </w:t>
      </w:r>
      <w:r>
        <w:rPr>
          <w:rFonts w:ascii="Times New Roman" w:cs="Times New Roman" w:eastAsia="Times New Roman" w:hAnsi="Times New Roman"/>
          <w:sz w:val="20"/>
          <w:szCs w:val="20"/>
          <w:i w:val="1"/>
          <w:iCs w:val="1"/>
          <w:color w:val="auto"/>
        </w:rPr>
        <w:t>Internal Control</w:t>
      </w:r>
      <w:r>
        <w:rPr>
          <w:rFonts w:ascii="Arial" w:cs="Arial" w:eastAsia="Arial" w:hAnsi="Arial"/>
          <w:sz w:val="20"/>
          <w:szCs w:val="20"/>
          <w:i w:val="1"/>
          <w:iCs w:val="1"/>
          <w:color w:val="auto"/>
        </w:rPr>
        <w:t>—</w:t>
      </w:r>
      <w:r>
        <w:rPr>
          <w:rFonts w:ascii="Times New Roman" w:cs="Times New Roman" w:eastAsia="Times New Roman" w:hAnsi="Times New Roman"/>
          <w:sz w:val="20"/>
          <w:szCs w:val="20"/>
          <w:i w:val="1"/>
          <w:iCs w:val="1"/>
          <w:color w:val="auto"/>
        </w:rPr>
        <w:t>Integrated Framework</w:t>
      </w:r>
      <w:r>
        <w:rPr>
          <w:rFonts w:ascii="Times New Roman" w:cs="Times New Roman" w:eastAsia="Times New Roman" w:hAnsi="Times New Roman"/>
          <w:sz w:val="20"/>
          <w:szCs w:val="20"/>
          <w:color w:val="auto"/>
        </w:rPr>
        <w:t xml:space="preserve"> issued by the Committee of Sponsoring </w:t>
      </w:r>
      <w:r>
        <w:rPr>
          <w:rFonts w:ascii="Arial" w:cs="Arial" w:eastAsia="Arial" w:hAnsi="Arial"/>
          <w:sz w:val="20"/>
          <w:szCs w:val="20"/>
          <w:color w:val="auto"/>
        </w:rPr>
        <w:t>Organizations of the Treadway Commission (“COSO”), and our report dated November 29, 202</w:t>
      </w:r>
      <w:r>
        <w:rPr>
          <w:rFonts w:ascii="Times New Roman" w:cs="Times New Roman" w:eastAsia="Times New Roman" w:hAnsi="Times New Roman"/>
          <w:sz w:val="20"/>
          <w:szCs w:val="20"/>
          <w:color w:val="auto"/>
        </w:rPr>
        <w:t>3, expressed an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unqualified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9"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 xml:space="preserve">These financial statements are the responsibility of the Company’s management. Our responsibility is to express an opinion on the Company’s financial statements based on our audits. We are a public accounting firm registered with </w:t>
      </w:r>
      <w:r>
        <w:rPr>
          <w:rFonts w:ascii="Times New Roman" w:cs="Times New Roman" w:eastAsia="Times New Roman" w:hAnsi="Times New Roman"/>
          <w:sz w:val="18"/>
          <w:szCs w:val="18"/>
          <w:color w:val="auto"/>
        </w:rPr>
        <w:t>the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9"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Revenue Recognition </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color w:val="auto"/>
        </w:rPr>
        <w:t xml:space="preserve"> Estimate of contract costs expected at completion</w:t>
      </w:r>
    </w:p>
    <w:p>
      <w:pPr>
        <w:spacing w:after="0" w:line="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As described further in note 1 and 12 </w:t>
      </w:r>
      <w:r>
        <w:rPr>
          <w:rFonts w:ascii="Arial" w:cs="Arial" w:eastAsia="Arial" w:hAnsi="Arial"/>
          <w:sz w:val="20"/>
          <w:szCs w:val="20"/>
          <w:color w:val="auto"/>
        </w:rPr>
        <w:t>to the financial statements, the Company’s Aerospace &amp; Defense and Test</w:t>
      </w:r>
      <w:r>
        <w:rPr>
          <w:rFonts w:ascii="Times New Roman" w:cs="Times New Roman" w:eastAsia="Times New Roman" w:hAnsi="Times New Roman"/>
          <w:sz w:val="20"/>
          <w:szCs w:val="20"/>
          <w:color w:val="auto"/>
        </w:rPr>
        <w:t xml:space="preserve"> segments enter into certain long-term fixed price contracts with their customers to produce certain products that do not have an alternative use to the Company and for which the Company has an enforceable right to payment for costs incurred to date plus a reasonable margin. For the Aerospace &amp; Defense segment, the Company uses a cost-to-cost method to recognize the revenue for these contracts over time. Using the cost-to-cost method, the Company measures progress to contract completion using the ratio of contracts costs incurred to date compared to estimated total contract cost at completion. Judgment is required in estimating the total contract cost at completion due to the unique specifications and requirements for each individual contract relating to the design, development, manufacturing, and installation of the build-to-spec products.</w:t>
      </w:r>
    </w:p>
    <w:p>
      <w:pPr>
        <w:spacing w:after="0" w:line="136"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0"/>
          <w:szCs w:val="20"/>
          <w:color w:val="auto"/>
        </w:rPr>
        <w:t>We identified the determination of the estimated total contract costs at completion for certain contracts in the Aerospace &amp; Defense segment for which revenue is recognized over time using the cost-to-cost method as a critical audit matter.</w:t>
      </w:r>
    </w:p>
    <w:p>
      <w:pPr>
        <w:spacing w:after="0" w:line="130"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0"/>
          <w:szCs w:val="20"/>
          <w:color w:val="auto"/>
        </w:rPr>
        <w:t>The principal considerations for our determination that the estimated total contract costs at completion are a critical audit matter are that the estimated total contract costs at completion require complex judgment to evaluate the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w:t>
      </w:r>
    </w:p>
    <w:p>
      <w:pPr>
        <w:sectPr>
          <w:pgSz w:w="12240" w:h="15840" w:orient="portrait"/>
          <w:cols w:equalWidth="0" w:num="1">
            <w:col w:w="9480"/>
          </w:cols>
          <w:pgMar w:left="1440" w:top="1439" w:right="1320" w:bottom="0" w:gutter="0" w:footer="0" w:header="0"/>
        </w:sectPr>
      </w:pPr>
    </w:p>
    <w:bookmarkStart w:id="43" w:name="page44"/>
    <w:bookmarkEnd w:id="43"/>
    <w:p>
      <w:pPr>
        <w:spacing w:after="0" w:line="8"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0"/>
          <w:szCs w:val="20"/>
          <w:color w:val="auto"/>
        </w:rPr>
        <w:t>engineering and production requirements of the contract and the related labor and material costs, which are assumptions with a high level of estimation uncertainty and susceptibility to potential management bias. Changes to the assumptions used in developing these estimates may significantly impact the net sales and earnings recorded during the fiscal year.</w:t>
      </w:r>
    </w:p>
    <w:p>
      <w:pPr>
        <w:spacing w:after="0" w:line="130"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0"/>
          <w:szCs w:val="20"/>
          <w:color w:val="auto"/>
        </w:rPr>
        <w:t xml:space="preserve">Our audit procedures related to the estimated total contract costs at completion include the following, among others. </w:t>
      </w:r>
      <w:r>
        <w:rPr>
          <w:rFonts w:ascii="Arial" w:cs="Arial" w:eastAsia="Arial" w:hAnsi="Arial"/>
          <w:sz w:val="20"/>
          <w:szCs w:val="20"/>
          <w:color w:val="auto"/>
        </w:rPr>
        <w:t xml:space="preserve">We evaluated the design and tested the operating effectiveness of certain internal controls related to the Company’s </w:t>
      </w:r>
      <w:r>
        <w:rPr>
          <w:rFonts w:ascii="Times New Roman" w:cs="Times New Roman" w:eastAsia="Times New Roman" w:hAnsi="Times New Roman"/>
          <w:sz w:val="20"/>
          <w:szCs w:val="20"/>
          <w:color w:val="auto"/>
        </w:rPr>
        <w:t xml:space="preserve">revenue recognition and job cost processes. This included controls over the accumulation and estimation of costs to </w:t>
      </w:r>
      <w:r>
        <w:rPr>
          <w:rFonts w:ascii="Arial" w:cs="Arial" w:eastAsia="Arial" w:hAnsi="Arial"/>
          <w:sz w:val="20"/>
          <w:szCs w:val="20"/>
          <w:color w:val="auto"/>
        </w:rPr>
        <w:t xml:space="preserve">complete the contracts. For a selection of completed contracts, we compared the Company’s </w:t>
      </w:r>
      <w:r>
        <w:rPr>
          <w:rFonts w:ascii="Times New Roman" w:cs="Times New Roman" w:eastAsia="Times New Roman" w:hAnsi="Times New Roman"/>
          <w:sz w:val="20"/>
          <w:szCs w:val="20"/>
          <w:color w:val="auto"/>
        </w:rPr>
        <w:t>initial estimated costs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and profit margin to the actual costs and profi</w:t>
      </w:r>
      <w:r>
        <w:rPr>
          <w:rFonts w:ascii="Arial" w:cs="Arial" w:eastAsia="Arial" w:hAnsi="Arial"/>
          <w:sz w:val="20"/>
          <w:szCs w:val="20"/>
          <w:color w:val="auto"/>
        </w:rPr>
        <w:t>t margin to assess the Company’s ability to accurately estimate costs.</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We also tested the Company’s assumptions for labor hours and materials to be incurred for a selection of in</w:t>
      </w:r>
      <w:r>
        <w:rPr>
          <w:rFonts w:ascii="Times New Roman" w:cs="Times New Roman" w:eastAsia="Times New Roman" w:hAnsi="Times New Roman"/>
          <w:sz w:val="20"/>
          <w:szCs w:val="20"/>
          <w:color w:val="auto"/>
        </w:rPr>
        <w:t>-process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contracts by:</w:t>
      </w:r>
    </w:p>
    <w:p>
      <w:pPr>
        <w:spacing w:after="0" w:line="148" w:lineRule="exact"/>
        <w:rPr>
          <w:sz w:val="20"/>
          <w:szCs w:val="20"/>
          <w:color w:val="auto"/>
        </w:rPr>
      </w:pPr>
    </w:p>
    <w:p>
      <w:pPr>
        <w:ind w:left="720" w:right="80" w:hanging="359"/>
        <w:spacing w:after="0" w:line="236"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inspecting a sample of underlying contracts, including any applicable amendments, to obtain an understanding of the contractual requirements and deliverables and the nature of the costs necessary to fulfill those contracts</w:t>
      </w:r>
    </w:p>
    <w:p>
      <w:pPr>
        <w:spacing w:after="0" w:line="146" w:lineRule="exact"/>
        <w:rPr>
          <w:rFonts w:ascii="Arial" w:cs="Arial" w:eastAsia="Arial" w:hAnsi="Arial"/>
          <w:sz w:val="20"/>
          <w:szCs w:val="20"/>
          <w:color w:val="auto"/>
        </w:rPr>
      </w:pPr>
    </w:p>
    <w:p>
      <w:pPr>
        <w:ind w:left="720" w:hanging="359"/>
        <w:spacing w:after="0" w:line="236"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assessing the progress towards completion by performing inquiries of key financial and operational executives to evaluate the progress to date and factors impacting the estimated total contract costs expected at completion as well as attending certain regular operational meetings to observe discussions over progress and total estimated remaining costs</w:t>
      </w:r>
    </w:p>
    <w:p>
      <w:pPr>
        <w:spacing w:after="0" w:line="146" w:lineRule="exact"/>
        <w:rPr>
          <w:rFonts w:ascii="Arial" w:cs="Arial" w:eastAsia="Arial" w:hAnsi="Arial"/>
          <w:sz w:val="20"/>
          <w:szCs w:val="20"/>
          <w:color w:val="auto"/>
        </w:rPr>
      </w:pPr>
    </w:p>
    <w:p>
      <w:pPr>
        <w:ind w:left="720" w:right="960" w:hanging="359"/>
        <w:spacing w:after="0" w:line="235"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comparing the actual costs incurred to date, as a percentage of the estimated total contract costs at completion, and comparing that to the revenue recognized to date</w:t>
      </w:r>
    </w:p>
    <w:p>
      <w:pPr>
        <w:spacing w:after="0" w:line="134" w:lineRule="exact"/>
        <w:rPr>
          <w:rFonts w:ascii="Arial" w:cs="Arial" w:eastAsia="Arial" w:hAnsi="Arial"/>
          <w:sz w:val="20"/>
          <w:szCs w:val="20"/>
          <w:color w:val="auto"/>
        </w:rPr>
      </w:pPr>
    </w:p>
    <w:p>
      <w:pPr>
        <w:ind w:left="720" w:hanging="359"/>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comparing the margins to date on selected contracts to similar products previously produced, if applicable</w:t>
      </w:r>
    </w:p>
    <w:p>
      <w:pPr>
        <w:spacing w:after="0" w:line="134" w:lineRule="exact"/>
        <w:rPr>
          <w:rFonts w:ascii="Arial" w:cs="Arial" w:eastAsia="Arial" w:hAnsi="Arial"/>
          <w:sz w:val="20"/>
          <w:szCs w:val="20"/>
          <w:color w:val="auto"/>
        </w:rPr>
      </w:pPr>
    </w:p>
    <w:p>
      <w:pPr>
        <w:ind w:left="720" w:hanging="359"/>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evaluating the estimates for indicators of management bias through the procedures described above.</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2021.</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 Louis, Missouri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F-3</w:t>
      </w:r>
    </w:p>
    <w:p>
      <w:pPr>
        <w:sectPr>
          <w:pgSz w:w="12240" w:h="15840" w:orient="portrait"/>
          <w:cols w:equalWidth="0" w:num="1">
            <w:col w:w="9500"/>
          </w:cols>
          <w:pgMar w:left="1440" w:top="1440" w:right="1300" w:bottom="0" w:gutter="0" w:footer="0" w:header="0"/>
        </w:sectPr>
      </w:pPr>
    </w:p>
    <w:bookmarkStart w:id="44" w:name="page45"/>
    <w:bookmarkEnd w:id="44"/>
    <w:p>
      <w:pPr>
        <w:ind w:left="13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12700</wp:posOffset>
            </wp:positionV>
            <wp:extent cx="607377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extLst>
                    </a:blip>
                    <a:srcRect/>
                    <a:stretch>
                      <a:fillRect/>
                    </a:stretch>
                  </pic:blipFill>
                  <pic:spPr bwMode="auto">
                    <a:xfrm>
                      <a:off x="0" y="0"/>
                      <a:ext cx="6073775" cy="63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ESCO Technologies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ESCO Technologies Inc. (a Missouri corporation) and </w:t>
      </w:r>
      <w:r>
        <w:rPr>
          <w:rFonts w:ascii="Arial" w:cs="Arial" w:eastAsia="Arial" w:hAnsi="Arial"/>
          <w:sz w:val="20"/>
          <w:szCs w:val="20"/>
          <w:color w:val="auto"/>
        </w:rPr>
        <w:t>subsidiaries (the “Company”) as of September 30, 202</w:t>
      </w:r>
      <w:r>
        <w:rPr>
          <w:rFonts w:ascii="Times New Roman" w:cs="Times New Roman" w:eastAsia="Times New Roman" w:hAnsi="Times New Roman"/>
          <w:sz w:val="20"/>
          <w:szCs w:val="20"/>
          <w:color w:val="auto"/>
        </w:rPr>
        <w:t>3, based on criteria established in the 2013</w:t>
      </w: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Internal Control</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Arial" w:cs="Arial" w:eastAsia="Arial" w:hAnsi="Arial"/>
          <w:sz w:val="20"/>
          <w:szCs w:val="20"/>
          <w:color w:val="auto"/>
        </w:rPr>
        <w:t xml:space="preserve">(“COSO”). In our opinion, the Company maintained, in all material respects, effective internal control over financial </w:t>
      </w:r>
      <w:r>
        <w:rPr>
          <w:rFonts w:ascii="Times New Roman" w:cs="Times New Roman" w:eastAsia="Times New Roman" w:hAnsi="Times New Roman"/>
          <w:sz w:val="20"/>
          <w:szCs w:val="20"/>
          <w:color w:val="auto"/>
        </w:rPr>
        <w:t xml:space="preserve">reporting as of September 30, 2023, based on criteria established in the 2013 </w:t>
      </w:r>
      <w:r>
        <w:rPr>
          <w:rFonts w:ascii="Times New Roman" w:cs="Times New Roman" w:eastAsia="Times New Roman" w:hAnsi="Times New Roman"/>
          <w:sz w:val="20"/>
          <w:szCs w:val="20"/>
          <w:i w:val="1"/>
          <w:iCs w:val="1"/>
          <w:color w:val="auto"/>
        </w:rPr>
        <w:t>Internal Control</w:t>
      </w:r>
      <w:r>
        <w:rPr>
          <w:rFonts w:ascii="Arial" w:cs="Arial" w:eastAsia="Arial" w:hAnsi="Arial"/>
          <w:sz w:val="20"/>
          <w:szCs w:val="20"/>
          <w:i w:val="1"/>
          <w:iCs w:val="1"/>
          <w:color w:val="auto"/>
        </w:rPr>
        <w:t>—</w:t>
      </w:r>
      <w:r>
        <w:rPr>
          <w:rFonts w:ascii="Times New Roman" w:cs="Times New Roman" w:eastAsia="Times New Roman" w:hAnsi="Times New Roman"/>
          <w:sz w:val="20"/>
          <w:szCs w:val="20"/>
          <w:i w:val="1"/>
          <w:iCs w:val="1"/>
          <w:color w:val="auto"/>
        </w:rPr>
        <w:t>Integrated Framework</w:t>
      </w:r>
      <w:r>
        <w:rPr>
          <w:rFonts w:ascii="Times New Roman" w:cs="Times New Roman" w:eastAsia="Times New Roman" w:hAnsi="Times New Roman"/>
          <w:sz w:val="20"/>
          <w:szCs w:val="20"/>
          <w:color w:val="auto"/>
        </w:rPr>
        <w:t xml:space="preserve"> issued by COSO.</w:t>
      </w:r>
    </w:p>
    <w:p>
      <w:pPr>
        <w:spacing w:after="0" w:line="13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w:t>
      </w:r>
      <w:r>
        <w:rPr>
          <w:rFonts w:ascii="Arial" w:cs="Arial" w:eastAsia="Arial" w:hAnsi="Arial"/>
          <w:sz w:val="18"/>
          <w:szCs w:val="18"/>
          <w:color w:val="auto"/>
        </w:rPr>
        <w:t xml:space="preserve">States) (“PCAOB”), the consolidated financial statements of the Company as of and for the year ended September 30, </w:t>
      </w:r>
      <w:r>
        <w:rPr>
          <w:rFonts w:ascii="Times New Roman" w:cs="Times New Roman" w:eastAsia="Times New Roman" w:hAnsi="Times New Roman"/>
          <w:sz w:val="18"/>
          <w:szCs w:val="18"/>
          <w:color w:val="auto"/>
        </w:rPr>
        <w:t>2023, and our report dated November 29, 2023 expressed an unqualified opinion on those 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0"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 xml:space="preserve">The Company’s management is responsible for maintaining effective internal control over financial reporting and for </w:t>
      </w:r>
      <w:r>
        <w:rPr>
          <w:rFonts w:ascii="Times New Roman" w:cs="Times New Roman" w:eastAsia="Times New Roman" w:hAnsi="Times New Roman"/>
          <w:sz w:val="19"/>
          <w:szCs w:val="19"/>
          <w:color w:val="auto"/>
        </w:rPr>
        <w:t xml:space="preserve">its assessment of the effectiveness of internal control over financial reporting, included in the accompanying </w:t>
      </w:r>
      <w:r>
        <w:rPr>
          <w:rFonts w:ascii="Arial" w:cs="Arial" w:eastAsia="Arial" w:hAnsi="Arial"/>
          <w:sz w:val="19"/>
          <w:szCs w:val="19"/>
          <w:color w:val="auto"/>
        </w:rPr>
        <w:t>Management’s Report on Intern</w:t>
      </w:r>
      <w:r>
        <w:rPr>
          <w:rFonts w:ascii="Times New Roman" w:cs="Times New Roman" w:eastAsia="Times New Roman" w:hAnsi="Times New Roman"/>
          <w:sz w:val="19"/>
          <w:szCs w:val="19"/>
          <w:color w:val="auto"/>
        </w:rPr>
        <w:t>al Control Over Financial Reporting. Our responsibility is to express an opinion on the</w:t>
      </w:r>
      <w:r>
        <w:rPr>
          <w:rFonts w:ascii="Arial" w:cs="Arial" w:eastAsia="Arial" w:hAnsi="Arial"/>
          <w:sz w:val="19"/>
          <w:szCs w:val="19"/>
          <w:color w:val="auto"/>
        </w:rPr>
        <w:t xml:space="preserve"> Company’s internal control over financial reporting based on our audit. We are a public accounting firm registered </w:t>
      </w:r>
      <w:r>
        <w:rPr>
          <w:rFonts w:ascii="Times New Roman" w:cs="Times New Roman" w:eastAsia="Times New Roman" w:hAnsi="Times New Roman"/>
          <w:sz w:val="19"/>
          <w:szCs w:val="19"/>
          <w:color w:val="auto"/>
        </w:rPr>
        <w:t>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0"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color w:val="auto"/>
        </w:rPr>
        <w:t xml:space="preserve">A company’s internal control over financial reporting is a process designed to provide reasonable assurance regarding </w:t>
      </w:r>
      <w:r>
        <w:rPr>
          <w:rFonts w:ascii="Times New Roman" w:cs="Times New Roman" w:eastAsia="Times New Roman" w:hAnsi="Times New Roman"/>
          <w:sz w:val="20"/>
          <w:szCs w:val="20"/>
          <w:color w:val="auto"/>
        </w:rPr>
        <w:t>the reliability of financial reporting and the preparation of financial statements for external purposes in accordance with generally acce</w:t>
      </w:r>
      <w:r>
        <w:rPr>
          <w:rFonts w:ascii="Arial" w:cs="Arial" w:eastAsia="Arial" w:hAnsi="Arial"/>
          <w:sz w:val="20"/>
          <w:szCs w:val="20"/>
          <w:color w:val="auto"/>
        </w:rPr>
        <w:t>pted accounting principles. A company’s internal control over financial reporting includes those</w:t>
      </w:r>
      <w:r>
        <w:rPr>
          <w:rFonts w:ascii="Times New Roman" w:cs="Times New Roman" w:eastAsia="Times New Roman" w:hAnsi="Times New Roman"/>
          <w:sz w:val="20"/>
          <w:szCs w:val="20"/>
          <w:color w:val="auto"/>
        </w:rPr>
        <w:t xml:space="preserv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w:t>
      </w:r>
      <w:r>
        <w:rPr>
          <w:rFonts w:ascii="Arial" w:cs="Arial" w:eastAsia="Arial" w:hAnsi="Arial"/>
          <w:sz w:val="20"/>
          <w:szCs w:val="20"/>
          <w:color w:val="auto"/>
        </w:rPr>
        <w:t>prevention or timely detection of unauthorized acquisition, use, or disposition of the company’s as</w:t>
      </w:r>
      <w:r>
        <w:rPr>
          <w:rFonts w:ascii="Times New Roman" w:cs="Times New Roman" w:eastAsia="Times New Roman" w:hAnsi="Times New Roman"/>
          <w:sz w:val="20"/>
          <w:szCs w:val="20"/>
          <w:color w:val="auto"/>
        </w:rPr>
        <w:t>sets that could have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 material effect on the financial statements.</w:t>
      </w:r>
    </w:p>
    <w:p>
      <w:pPr>
        <w:spacing w:after="0" w:line="13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 Louis, Missouri</w:t>
      </w:r>
    </w:p>
    <w:p>
      <w:pPr>
        <w:spacing w:after="0"/>
        <w:rPr>
          <w:sz w:val="20"/>
          <w:szCs w:val="20"/>
          <w:color w:val="auto"/>
        </w:rPr>
      </w:pPr>
      <w:r>
        <w:rPr>
          <w:rFonts w:ascii="Times New Roman" w:cs="Times New Roman" w:eastAsia="Times New Roman" w:hAnsi="Times New Roman"/>
          <w:sz w:val="20"/>
          <w:szCs w:val="20"/>
          <w:color w:val="auto"/>
        </w:rPr>
        <w:t>November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F-4</w:t>
      </w:r>
    </w:p>
    <w:p>
      <w:pPr>
        <w:sectPr>
          <w:pgSz w:w="12240" w:h="15840" w:orient="portrait"/>
          <w:cols w:equalWidth="0" w:num="1">
            <w:col w:w="9500"/>
          </w:cols>
          <w:pgMar w:left="1440" w:top="1439" w:right="1300" w:bottom="0" w:gutter="0" w:footer="0" w:header="0"/>
        </w:sectPr>
      </w:pPr>
    </w:p>
    <w:bookmarkStart w:id="45" w:name="page46"/>
    <w:bookmarkEnd w:id="45"/>
    <w:p>
      <w:pPr>
        <w:ind w:left="88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119380</wp:posOffset>
                </wp:positionV>
                <wp:extent cx="58521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216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4pt" to="460.8pt,9.4pt" o:allowincell="f" strokecolor="#000000" strokeweight="0.95pt"/>
            </w:pict>
          </mc:Fallback>
        </mc:AlternateConten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ESCO Technologies Inc.:</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 on the Consolidated Financial Statements</w:t>
      </w:r>
    </w:p>
    <w:p>
      <w:pPr>
        <w:spacing w:after="0" w:line="1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w:t>
      </w:r>
      <w:r>
        <w:rPr>
          <w:rFonts w:ascii="Arial" w:cs="Arial" w:eastAsia="Arial" w:hAnsi="Arial"/>
          <w:sz w:val="19"/>
          <w:szCs w:val="19"/>
          <w:color w:val="auto"/>
        </w:rPr>
        <w:t>statements of operations, comprehensive income, shareholders’</w:t>
      </w:r>
      <w:r>
        <w:rPr>
          <w:rFonts w:ascii="Times New Roman" w:cs="Times New Roman" w:eastAsia="Times New Roman" w:hAnsi="Times New Roman"/>
          <w:sz w:val="19"/>
          <w:szCs w:val="19"/>
          <w:color w:val="auto"/>
        </w:rPr>
        <w:t xml:space="preserve"> equity, and cash flows of ESCO Technologies Inc. and subsidiaries (the Company) for the year ended September 30, 2021, and the related notes (collectively, the consolidated financial statements). In our opinion, the consolidated financial statements present fairly, in all material respects, the results of </w:t>
      </w:r>
      <w:r>
        <w:rPr>
          <w:rFonts w:ascii="Arial" w:cs="Arial" w:eastAsia="Arial" w:hAnsi="Arial"/>
          <w:sz w:val="19"/>
          <w:szCs w:val="19"/>
          <w:color w:val="auto"/>
        </w:rPr>
        <w:t>the Company’s</w:t>
      </w:r>
      <w:r>
        <w:rPr>
          <w:rFonts w:ascii="Times New Roman" w:cs="Times New Roman" w:eastAsia="Times New Roman" w:hAnsi="Times New Roman"/>
          <w:sz w:val="19"/>
          <w:szCs w:val="19"/>
          <w:color w:val="auto"/>
        </w:rPr>
        <w:t xml:space="preserve"> operations and its cash flows for the year ended September 30, 2021,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for Opinion</w:t>
      </w:r>
    </w:p>
    <w:p>
      <w:pPr>
        <w:spacing w:after="0" w:line="131"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 xml:space="preserve">These consolidated financial statements are the responsibility of the Company’s management. Our responsibility is to </w:t>
      </w:r>
      <w:r>
        <w:rPr>
          <w:rFonts w:ascii="Times New Roman" w:cs="Times New Roman" w:eastAsia="Times New Roman" w:hAnsi="Times New Roman"/>
          <w:sz w:val="20"/>
          <w:szCs w:val="20"/>
          <w:color w:val="auto"/>
        </w:rPr>
        <w:t>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We served as the Company’s auditor </w:t>
      </w:r>
      <w:r>
        <w:rPr>
          <w:rFonts w:ascii="Times New Roman" w:cs="Times New Roman" w:eastAsia="Times New Roman" w:hAnsi="Times New Roman"/>
          <w:sz w:val="20"/>
          <w:szCs w:val="20"/>
          <w:color w:val="auto"/>
        </w:rPr>
        <w:t>since 1990 to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 Louis, Missouri</w:t>
      </w:r>
    </w:p>
    <w:p>
      <w:pPr>
        <w:spacing w:after="0"/>
        <w:rPr>
          <w:sz w:val="20"/>
          <w:szCs w:val="20"/>
          <w:color w:val="auto"/>
        </w:rPr>
      </w:pPr>
      <w:r>
        <w:rPr>
          <w:rFonts w:ascii="Times New Roman" w:cs="Times New Roman" w:eastAsia="Times New Roman" w:hAnsi="Times New Roman"/>
          <w:sz w:val="20"/>
          <w:szCs w:val="20"/>
          <w:color w:val="auto"/>
        </w:rPr>
        <w:t>November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F-5</w:t>
      </w:r>
    </w:p>
    <w:p>
      <w:pPr>
        <w:sectPr>
          <w:pgSz w:w="12240" w:h="15840" w:orient="portrait"/>
          <w:cols w:equalWidth="0" w:num="1">
            <w:col w:w="9400"/>
          </w:cols>
          <w:pgMar w:left="1440" w:top="1439" w:right="1400" w:bottom="0" w:gutter="0" w:footer="0" w:header="0"/>
        </w:sectPr>
      </w:pPr>
    </w:p>
    <w:bookmarkStart w:id="46" w:name="page47"/>
    <w:bookmarkEnd w:id="46"/>
    <w:p>
      <w:pPr>
        <w:jc w:val="center"/>
        <w:ind w:right="-13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20"/>
                <w:szCs w:val="20"/>
                <w:color w:val="auto"/>
              </w:rPr>
              <w:t>(Dollars in thousands, except per share amounts)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Years ended September 30,</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780" w:type="dxa"/>
            <w:vAlign w:val="bottom"/>
          </w:tcPr>
          <w:p>
            <w:pPr>
              <w:spacing w:after="0"/>
              <w:rPr>
                <w:sz w:val="20"/>
                <w:szCs w:val="20"/>
                <w:color w:val="auto"/>
              </w:rPr>
            </w:pPr>
            <w:r>
              <w:rPr>
                <w:rFonts w:ascii="Arial" w:cs="Arial" w:eastAsia="Arial" w:hAnsi="Arial"/>
                <w:sz w:val="20"/>
                <w:szCs w:val="20"/>
                <w:color w:val="auto"/>
              </w:rPr>
              <w:t>Net sales</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9"/>
              </w:rPr>
              <w:t>956,033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857,502</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715,440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80" w:type="dxa"/>
            <w:vAlign w:val="bottom"/>
          </w:tcPr>
          <w:p>
            <w:pPr>
              <w:spacing w:after="0"/>
              <w:rPr>
                <w:sz w:val="20"/>
                <w:szCs w:val="20"/>
                <w:color w:val="auto"/>
              </w:rPr>
            </w:pPr>
            <w:r>
              <w:rPr>
                <w:rFonts w:ascii="Arial" w:cs="Arial" w:eastAsia="Arial" w:hAnsi="Arial"/>
                <w:sz w:val="20"/>
                <w:szCs w:val="20"/>
                <w:color w:val="auto"/>
              </w:rPr>
              <w:t>Costs and expenses: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80" w:type="dxa"/>
            <w:vAlign w:val="bottom"/>
          </w:tcPr>
          <w:p>
            <w:pPr>
              <w:ind w:left="180"/>
              <w:spacing w:after="0"/>
              <w:rPr>
                <w:sz w:val="20"/>
                <w:szCs w:val="20"/>
                <w:color w:val="auto"/>
              </w:rPr>
            </w:pPr>
            <w:r>
              <w:rPr>
                <w:rFonts w:ascii="Arial" w:cs="Arial" w:eastAsia="Arial" w:hAnsi="Arial"/>
                <w:sz w:val="20"/>
                <w:szCs w:val="20"/>
                <w:color w:val="auto"/>
              </w:rPr>
              <w:t>Cost of sales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9"/>
              </w:rPr>
              <w:t>580,377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525,457</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445,045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780" w:type="dxa"/>
            <w:vAlign w:val="bottom"/>
          </w:tcPr>
          <w:p>
            <w:pPr>
              <w:ind w:left="180"/>
              <w:spacing w:after="0"/>
              <w:rPr>
                <w:sz w:val="20"/>
                <w:szCs w:val="20"/>
                <w:color w:val="auto"/>
              </w:rPr>
            </w:pPr>
            <w:r>
              <w:rPr>
                <w:rFonts w:ascii="Arial" w:cs="Arial" w:eastAsia="Arial" w:hAnsi="Arial"/>
                <w:sz w:val="20"/>
                <w:szCs w:val="20"/>
                <w:color w:val="auto"/>
              </w:rPr>
              <w:t>Selling, general and administrative expenses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9"/>
              </w:rPr>
              <w:t>217,110</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195,127</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167,534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80" w:type="dxa"/>
            <w:vAlign w:val="bottom"/>
          </w:tcPr>
          <w:p>
            <w:pPr>
              <w:ind w:left="180"/>
              <w:spacing w:after="0"/>
              <w:rPr>
                <w:sz w:val="20"/>
                <w:szCs w:val="20"/>
                <w:color w:val="auto"/>
              </w:rPr>
            </w:pPr>
            <w:r>
              <w:rPr>
                <w:rFonts w:ascii="Arial" w:cs="Arial" w:eastAsia="Arial" w:hAnsi="Arial"/>
                <w:sz w:val="20"/>
                <w:szCs w:val="20"/>
                <w:color w:val="auto"/>
              </w:rPr>
              <w:t>Amortization of intangible assets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28,953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25,936</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20,829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80" w:type="dxa"/>
            <w:vAlign w:val="bottom"/>
          </w:tcPr>
          <w:p>
            <w:pPr>
              <w:ind w:left="180"/>
              <w:spacing w:after="0"/>
              <w:rPr>
                <w:sz w:val="20"/>
                <w:szCs w:val="20"/>
                <w:color w:val="auto"/>
              </w:rPr>
            </w:pPr>
            <w:r>
              <w:rPr>
                <w:rFonts w:ascii="Arial" w:cs="Arial" w:eastAsia="Arial" w:hAnsi="Arial"/>
                <w:sz w:val="20"/>
                <w:szCs w:val="20"/>
                <w:color w:val="auto"/>
              </w:rPr>
              <w:t>Interest expense, net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8,769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4,851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2,255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780" w:type="dxa"/>
            <w:vAlign w:val="bottom"/>
          </w:tcPr>
          <w:p>
            <w:pPr>
              <w:ind w:left="180"/>
              <w:spacing w:after="0"/>
              <w:rPr>
                <w:sz w:val="20"/>
                <w:szCs w:val="20"/>
                <w:color w:val="auto"/>
              </w:rPr>
            </w:pPr>
            <w:r>
              <w:rPr>
                <w:rFonts w:ascii="Arial" w:cs="Arial" w:eastAsia="Arial" w:hAnsi="Arial"/>
                <w:sz w:val="20"/>
                <w:szCs w:val="20"/>
                <w:color w:val="auto"/>
              </w:rPr>
              <w:t>Other expenses (income), net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1,877</w:t>
            </w:r>
          </w:p>
        </w:tc>
        <w:tc>
          <w:tcPr>
            <w:tcW w:w="14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(304)</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(894)</w:t>
            </w:r>
          </w:p>
        </w:tc>
        <w:tc>
          <w:tcPr>
            <w:tcW w:w="0" w:type="dxa"/>
            <w:vAlign w:val="bottom"/>
          </w:tcPr>
          <w:p>
            <w:pPr>
              <w:spacing w:after="0"/>
              <w:rPr>
                <w:sz w:val="1"/>
                <w:szCs w:val="1"/>
                <w:color w:val="auto"/>
              </w:rPr>
            </w:pPr>
          </w:p>
        </w:tc>
      </w:tr>
      <w:tr>
        <w:trPr>
          <w:trHeight w:val="273"/>
        </w:trPr>
        <w:tc>
          <w:tcPr>
            <w:tcW w:w="5780" w:type="dxa"/>
            <w:vAlign w:val="bottom"/>
          </w:tcPr>
          <w:p>
            <w:pPr>
              <w:spacing w:after="0"/>
              <w:rPr>
                <w:sz w:val="20"/>
                <w:szCs w:val="20"/>
                <w:color w:val="auto"/>
              </w:rPr>
            </w:pPr>
            <w:r>
              <w:rPr>
                <w:rFonts w:ascii="Arial" w:cs="Arial" w:eastAsia="Arial" w:hAnsi="Arial"/>
                <w:sz w:val="20"/>
                <w:szCs w:val="20"/>
                <w:color w:val="auto"/>
              </w:rPr>
              <w:t>Total costs and expenses</w:t>
            </w:r>
          </w:p>
        </w:tc>
        <w:tc>
          <w:tcPr>
            <w:tcW w:w="6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837,086</w:t>
            </w:r>
          </w:p>
        </w:tc>
        <w:tc>
          <w:tcPr>
            <w:tcW w:w="14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751,067</w:t>
            </w:r>
          </w:p>
        </w:tc>
        <w:tc>
          <w:tcPr>
            <w:tcW w:w="160" w:type="dxa"/>
            <w:vAlign w:val="bottom"/>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634,769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780" w:type="dxa"/>
            <w:vAlign w:val="bottom"/>
          </w:tcPr>
          <w:p>
            <w:pPr>
              <w:spacing w:after="0"/>
              <w:rPr>
                <w:sz w:val="20"/>
                <w:szCs w:val="20"/>
                <w:color w:val="auto"/>
              </w:rPr>
            </w:pPr>
            <w:r>
              <w:rPr>
                <w:rFonts w:ascii="Arial" w:cs="Arial" w:eastAsia="Arial" w:hAnsi="Arial"/>
                <w:sz w:val="20"/>
                <w:szCs w:val="20"/>
                <w:color w:val="auto"/>
              </w:rPr>
              <w:t>Earnings before income tax</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9"/>
              </w:rPr>
              <w:t>118,947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106,435</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80,671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780" w:type="dxa"/>
            <w:vAlign w:val="bottom"/>
          </w:tcPr>
          <w:p>
            <w:pPr>
              <w:spacing w:after="0"/>
              <w:rPr>
                <w:sz w:val="20"/>
                <w:szCs w:val="20"/>
                <w:color w:val="auto"/>
              </w:rPr>
            </w:pPr>
            <w:r>
              <w:rPr>
                <w:rFonts w:ascii="Arial" w:cs="Arial" w:eastAsia="Arial" w:hAnsi="Arial"/>
                <w:sz w:val="20"/>
                <w:szCs w:val="20"/>
                <w:color w:val="auto"/>
              </w:rPr>
              <w:t>Income tax expense</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26,402</w:t>
            </w:r>
          </w:p>
        </w:tc>
        <w:tc>
          <w:tcPr>
            <w:tcW w:w="14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24,115</w:t>
            </w:r>
          </w:p>
        </w:tc>
        <w:tc>
          <w:tcPr>
            <w:tcW w:w="16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780" w:type="dxa"/>
            <w:vAlign w:val="bottom"/>
          </w:tcPr>
          <w:p>
            <w:pPr>
              <w:ind w:left="360"/>
              <w:spacing w:after="0"/>
              <w:rPr>
                <w:sz w:val="20"/>
                <w:szCs w:val="20"/>
                <w:color w:val="auto"/>
              </w:rPr>
            </w:pPr>
            <w:r>
              <w:rPr>
                <w:rFonts w:ascii="Arial" w:cs="Arial" w:eastAsia="Arial" w:hAnsi="Arial"/>
                <w:sz w:val="20"/>
                <w:szCs w:val="20"/>
                <w:color w:val="auto"/>
              </w:rPr>
              <w:t>Net earnings</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92,545</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82,320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63,496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780" w:type="dxa"/>
            <w:vAlign w:val="bottom"/>
          </w:tcPr>
          <w:p>
            <w:pPr>
              <w:spacing w:after="0"/>
              <w:rPr>
                <w:sz w:val="20"/>
                <w:szCs w:val="20"/>
                <w:color w:val="auto"/>
              </w:rPr>
            </w:pPr>
            <w:r>
              <w:rPr>
                <w:rFonts w:ascii="Arial" w:cs="Arial" w:eastAsia="Arial" w:hAnsi="Arial"/>
                <w:sz w:val="20"/>
                <w:szCs w:val="20"/>
                <w:color w:val="auto"/>
              </w:rPr>
              <w:t>Earnings per share:</w:t>
            </w: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780" w:type="dxa"/>
            <w:vAlign w:val="bottom"/>
          </w:tcPr>
          <w:p>
            <w:pPr>
              <w:ind w:left="180"/>
              <w:spacing w:after="0"/>
              <w:rPr>
                <w:sz w:val="20"/>
                <w:szCs w:val="20"/>
                <w:color w:val="auto"/>
              </w:rPr>
            </w:pPr>
            <w:r>
              <w:rPr>
                <w:rFonts w:ascii="Arial" w:cs="Arial" w:eastAsia="Arial" w:hAnsi="Arial"/>
                <w:sz w:val="20"/>
                <w:szCs w:val="20"/>
                <w:color w:val="auto"/>
              </w:rPr>
              <w:t>Basic:</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780" w:type="dxa"/>
            <w:vAlign w:val="bottom"/>
          </w:tcPr>
          <w:p>
            <w:pPr>
              <w:ind w:left="360"/>
              <w:spacing w:after="0"/>
              <w:rPr>
                <w:sz w:val="20"/>
                <w:szCs w:val="20"/>
                <w:color w:val="auto"/>
              </w:rPr>
            </w:pPr>
            <w:r>
              <w:rPr>
                <w:rFonts w:ascii="Arial" w:cs="Arial" w:eastAsia="Arial" w:hAnsi="Arial"/>
                <w:sz w:val="20"/>
                <w:szCs w:val="20"/>
                <w:color w:val="auto"/>
              </w:rPr>
              <w:t>Net earnings</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3.59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3.17</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2.44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180"/>
              <w:spacing w:after="0"/>
              <w:rPr>
                <w:sz w:val="20"/>
                <w:szCs w:val="20"/>
                <w:color w:val="auto"/>
              </w:rPr>
            </w:pPr>
            <w:r>
              <w:rPr>
                <w:rFonts w:ascii="Arial" w:cs="Arial" w:eastAsia="Arial" w:hAnsi="Arial"/>
                <w:sz w:val="20"/>
                <w:szCs w:val="20"/>
                <w:color w:val="auto"/>
              </w:rPr>
              <w:t>Diluted:</w:t>
            </w: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780" w:type="dxa"/>
            <w:vAlign w:val="bottom"/>
          </w:tcPr>
          <w:p>
            <w:pPr>
              <w:ind w:left="360"/>
              <w:spacing w:after="0"/>
              <w:rPr>
                <w:sz w:val="20"/>
                <w:szCs w:val="20"/>
                <w:color w:val="auto"/>
              </w:rPr>
            </w:pPr>
            <w:r>
              <w:rPr>
                <w:rFonts w:ascii="Arial" w:cs="Arial" w:eastAsia="Arial" w:hAnsi="Arial"/>
                <w:sz w:val="20"/>
                <w:szCs w:val="20"/>
                <w:color w:val="auto"/>
              </w:rPr>
              <w:t>Net earnings</w:t>
            </w:r>
          </w:p>
        </w:tc>
        <w:tc>
          <w:tcPr>
            <w:tcW w:w="3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3.58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3.16</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20"/>
                <w:szCs w:val="20"/>
                <w:color w:val="auto"/>
              </w:rPr>
              <w:t>Average common shares outstanding (in thousands):</w:t>
            </w: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780" w:type="dxa"/>
            <w:vAlign w:val="bottom"/>
          </w:tcPr>
          <w:p>
            <w:pPr>
              <w:ind w:left="180"/>
              <w:spacing w:after="0"/>
              <w:rPr>
                <w:sz w:val="20"/>
                <w:szCs w:val="20"/>
                <w:color w:val="auto"/>
              </w:rPr>
            </w:pPr>
            <w:r>
              <w:rPr>
                <w:rFonts w:ascii="Arial" w:cs="Arial" w:eastAsia="Arial" w:hAnsi="Arial"/>
                <w:sz w:val="20"/>
                <w:szCs w:val="20"/>
                <w:color w:val="auto"/>
              </w:rPr>
              <w:t>Basic</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25,802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25,933</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26,046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80" w:type="dxa"/>
            <w:vAlign w:val="bottom"/>
          </w:tcPr>
          <w:p>
            <w:pPr>
              <w:ind w:left="180"/>
              <w:spacing w:after="0"/>
              <w:rPr>
                <w:sz w:val="20"/>
                <w:szCs w:val="20"/>
                <w:color w:val="auto"/>
              </w:rPr>
            </w:pPr>
            <w:r>
              <w:rPr>
                <w:rFonts w:ascii="Arial" w:cs="Arial" w:eastAsia="Arial" w:hAnsi="Arial"/>
                <w:sz w:val="20"/>
                <w:szCs w:val="20"/>
                <w:color w:val="auto"/>
              </w:rPr>
              <w:t>Diluted</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25,879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26,067</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26,225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color w:val="auto"/>
              </w:rPr>
              <w:t>(Dollars 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5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Years ended September 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140" w:type="dxa"/>
            <w:vAlign w:val="bottom"/>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r>
      <w:tr>
        <w:trPr>
          <w:trHeight w:val="230"/>
        </w:trPr>
        <w:tc>
          <w:tcPr>
            <w:tcW w:w="5760" w:type="dxa"/>
            <w:vAlign w:val="bottom"/>
          </w:tcPr>
          <w:p>
            <w:pPr>
              <w:spacing w:after="0"/>
              <w:rPr>
                <w:sz w:val="20"/>
                <w:szCs w:val="20"/>
                <w:color w:val="auto"/>
              </w:rPr>
            </w:pPr>
            <w:r>
              <w:rPr>
                <w:rFonts w:ascii="Arial" w:cs="Arial" w:eastAsia="Arial" w:hAnsi="Arial"/>
                <w:sz w:val="20"/>
                <w:szCs w:val="20"/>
                <w:color w:val="auto"/>
              </w:rPr>
              <w:t>Net earnings</w:t>
            </w:r>
          </w:p>
        </w:tc>
        <w:tc>
          <w:tcPr>
            <w:tcW w:w="32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92,545</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82,320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63,496</w:t>
            </w:r>
          </w:p>
        </w:tc>
      </w:tr>
      <w:tr>
        <w:trPr>
          <w:trHeight w:val="230"/>
        </w:trPr>
        <w:tc>
          <w:tcPr>
            <w:tcW w:w="5760" w:type="dxa"/>
            <w:vAlign w:val="bottom"/>
          </w:tcPr>
          <w:p>
            <w:pPr>
              <w:spacing w:after="0"/>
              <w:rPr>
                <w:sz w:val="20"/>
                <w:szCs w:val="20"/>
                <w:color w:val="auto"/>
              </w:rPr>
            </w:pPr>
            <w:r>
              <w:rPr>
                <w:rFonts w:ascii="Arial" w:cs="Arial" w:eastAsia="Arial" w:hAnsi="Arial"/>
                <w:sz w:val="20"/>
                <w:szCs w:val="20"/>
                <w:color w:val="auto"/>
              </w:rPr>
              <w:t>Other comprehensive income (loss), net of tax:</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6"/>
        </w:trPr>
        <w:tc>
          <w:tcPr>
            <w:tcW w:w="5760" w:type="dxa"/>
            <w:vAlign w:val="bottom"/>
          </w:tcPr>
          <w:p>
            <w:pPr>
              <w:ind w:left="180"/>
              <w:spacing w:after="0" w:line="226" w:lineRule="exact"/>
              <w:rPr>
                <w:sz w:val="20"/>
                <w:szCs w:val="20"/>
                <w:color w:val="auto"/>
              </w:rPr>
            </w:pPr>
            <w:r>
              <w:rPr>
                <w:rFonts w:ascii="Arial" w:cs="Arial" w:eastAsia="Arial" w:hAnsi="Arial"/>
                <w:sz w:val="20"/>
                <w:szCs w:val="20"/>
                <w:color w:val="auto"/>
              </w:rPr>
              <w:t>Foreign currency translation 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7,795</w:t>
            </w:r>
          </w:p>
        </w:tc>
        <w:tc>
          <w:tcPr>
            <w:tcW w:w="1300" w:type="dxa"/>
            <w:vAlign w:val="bottom"/>
            <w:gridSpan w:val="4"/>
          </w:tcPr>
          <w:p>
            <w:pPr>
              <w:jc w:val="right"/>
              <w:ind w:right="140"/>
              <w:spacing w:after="0" w:line="226" w:lineRule="exact"/>
              <w:rPr>
                <w:sz w:val="20"/>
                <w:szCs w:val="20"/>
                <w:color w:val="auto"/>
              </w:rPr>
            </w:pPr>
            <w:r>
              <w:rPr>
                <w:rFonts w:ascii="Arial" w:cs="Arial" w:eastAsia="Arial" w:hAnsi="Arial"/>
                <w:sz w:val="20"/>
                <w:szCs w:val="20"/>
                <w:color w:val="auto"/>
              </w:rPr>
              <w:t>(28,876)</w:t>
            </w:r>
          </w:p>
        </w:tc>
        <w:tc>
          <w:tcPr>
            <w:tcW w:w="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Arial" w:cs="Arial" w:eastAsia="Arial" w:hAnsi="Arial"/>
                <w:sz w:val="20"/>
                <w:szCs w:val="20"/>
                <w:color w:val="auto"/>
              </w:rPr>
              <w:t>1,496</w:t>
            </w:r>
          </w:p>
        </w:tc>
      </w:tr>
      <w:tr>
        <w:trPr>
          <w:trHeight w:val="231"/>
        </w:trPr>
        <w:tc>
          <w:tcPr>
            <w:tcW w:w="5760" w:type="dxa"/>
            <w:vAlign w:val="bottom"/>
          </w:tcPr>
          <w:p>
            <w:pPr>
              <w:ind w:left="180"/>
              <w:spacing w:after="0"/>
              <w:rPr>
                <w:sz w:val="20"/>
                <w:szCs w:val="20"/>
                <w:color w:val="auto"/>
              </w:rPr>
            </w:pPr>
            <w:r>
              <w:rPr>
                <w:rFonts w:ascii="Arial" w:cs="Arial" w:eastAsia="Arial" w:hAnsi="Arial"/>
                <w:sz w:val="20"/>
                <w:szCs w:val="20"/>
                <w:color w:val="auto"/>
              </w:rPr>
              <w:t>Amortization of prior service costs, actuarial losses and other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4"/>
          </w:tcPr>
          <w:p>
            <w:pPr>
              <w:jc w:val="right"/>
              <w:ind w:right="140"/>
              <w:spacing w:after="0"/>
              <w:rPr>
                <w:sz w:val="20"/>
                <w:szCs w:val="20"/>
                <w:color w:val="auto"/>
              </w:rPr>
            </w:pPr>
            <w:r>
              <w:rPr>
                <w:rFonts w:ascii="Arial" w:cs="Arial" w:eastAsia="Arial" w:hAnsi="Arial"/>
                <w:sz w:val="20"/>
                <w:szCs w:val="20"/>
                <w:color w:val="auto"/>
              </w:rPr>
              <w:t>(727)</w:t>
            </w: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5760" w:type="dxa"/>
            <w:vAlign w:val="bottom"/>
          </w:tcPr>
          <w:p>
            <w:pPr>
              <w:ind w:left="360"/>
              <w:spacing w:after="0"/>
              <w:rPr>
                <w:sz w:val="20"/>
                <w:szCs w:val="20"/>
                <w:color w:val="auto"/>
              </w:rPr>
            </w:pPr>
            <w:r>
              <w:rPr>
                <w:rFonts w:ascii="Arial" w:cs="Arial" w:eastAsia="Arial" w:hAnsi="Arial"/>
                <w:sz w:val="20"/>
                <w:szCs w:val="20"/>
                <w:color w:val="auto"/>
              </w:rPr>
              <w:t>Total other comprehensive income (loss), net of tax</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7,795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(29,603)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1,496</w:t>
            </w:r>
          </w:p>
        </w:tc>
      </w:tr>
      <w:tr>
        <w:trPr>
          <w:trHeight w:val="320"/>
        </w:trPr>
        <w:tc>
          <w:tcPr>
            <w:tcW w:w="5760" w:type="dxa"/>
            <w:vAlign w:val="bottom"/>
          </w:tcPr>
          <w:p>
            <w:pPr>
              <w:spacing w:after="0"/>
              <w:rPr>
                <w:sz w:val="20"/>
                <w:szCs w:val="20"/>
                <w:color w:val="auto"/>
              </w:rPr>
            </w:pPr>
            <w:r>
              <w:rPr>
                <w:rFonts w:ascii="Arial" w:cs="Arial" w:eastAsia="Arial" w:hAnsi="Arial"/>
                <w:sz w:val="20"/>
                <w:szCs w:val="20"/>
                <w:color w:val="auto"/>
              </w:rPr>
              <w:t>Comprehensive income</w:t>
            </w:r>
          </w:p>
        </w:tc>
        <w:tc>
          <w:tcPr>
            <w:tcW w:w="32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9"/>
              </w:rPr>
              <w:t>100,340</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52,717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64,992</w:t>
            </w:r>
          </w:p>
        </w:tc>
      </w:tr>
      <w:tr>
        <w:trPr>
          <w:trHeight w:val="350"/>
        </w:trPr>
        <w:tc>
          <w:tcPr>
            <w:tcW w:w="5760" w:type="dxa"/>
            <w:vAlign w:val="bottom"/>
          </w:tcPr>
          <w:p>
            <w:pPr>
              <w:spacing w:after="0"/>
              <w:rPr>
                <w:sz w:val="20"/>
                <w:szCs w:val="20"/>
                <w:color w:val="auto"/>
              </w:rPr>
            </w:pPr>
            <w:r>
              <w:rPr>
                <w:rFonts w:ascii="Arial" w:cs="Arial" w:eastAsia="Arial" w:hAnsi="Arial"/>
                <w:sz w:val="20"/>
                <w:szCs w:val="20"/>
                <w:color w:val="auto"/>
              </w:rPr>
              <w:t>See accompanying Notes to Consolidated Financial Statements.</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F-6</w:t>
      </w:r>
    </w:p>
    <w:p>
      <w:pPr>
        <w:sectPr>
          <w:pgSz w:w="12240" w:h="15840" w:orient="portrait"/>
          <w:cols w:equalWidth="0" w:num="1">
            <w:col w:w="9360"/>
          </w:cols>
          <w:pgMar w:left="1440" w:top="1439" w:right="1440" w:bottom="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20"/>
                <w:szCs w:val="20"/>
                <w:color w:val="auto"/>
              </w:rPr>
              <w:t>(Dollars in thousands)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As of September 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66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660" w:type="dxa"/>
            <w:vAlign w:val="bottom"/>
          </w:tcPr>
          <w:p>
            <w:pPr>
              <w:ind w:left="40"/>
              <w:spacing w:after="0"/>
              <w:rPr>
                <w:sz w:val="20"/>
                <w:szCs w:val="20"/>
                <w:color w:val="auto"/>
              </w:rPr>
            </w:pPr>
            <w:r>
              <w:rPr>
                <w:rFonts w:ascii="Arial" w:cs="Arial" w:eastAsia="Arial" w:hAnsi="Arial"/>
                <w:sz w:val="20"/>
                <w:szCs w:val="20"/>
                <w:color w:val="auto"/>
              </w:rPr>
              <w:t>Current assets: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20"/>
                <w:szCs w:val="20"/>
                <w:color w:val="auto"/>
              </w:rPr>
              <w:t>Cash and cash equivalents</w:t>
            </w:r>
          </w:p>
        </w:tc>
        <w:tc>
          <w:tcPr>
            <w:tcW w:w="1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41,866</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97,724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180"/>
              <w:spacing w:after="0" w:line="227" w:lineRule="exact"/>
              <w:rPr>
                <w:sz w:val="20"/>
                <w:szCs w:val="20"/>
                <w:color w:val="auto"/>
              </w:rPr>
            </w:pPr>
            <w:r>
              <w:rPr>
                <w:rFonts w:ascii="Arial" w:cs="Arial" w:eastAsia="Arial" w:hAnsi="Arial"/>
                <w:sz w:val="20"/>
                <w:szCs w:val="20"/>
                <w:color w:val="auto"/>
                <w:w w:val="83"/>
              </w:rPr>
              <w:t>Accounts receivable, less allowance for credit losses of $2,264 and $2,612 in 2023 and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198,557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40"/>
              <w:spacing w:after="0"/>
              <w:rPr>
                <w:sz w:val="20"/>
                <w:szCs w:val="20"/>
                <w:color w:val="auto"/>
              </w:rPr>
            </w:pPr>
            <w:r>
              <w:rPr>
                <w:rFonts w:ascii="Arial" w:cs="Arial" w:eastAsia="Arial" w:hAnsi="Arial"/>
                <w:sz w:val="20"/>
                <w:szCs w:val="20"/>
                <w:color w:val="auto"/>
              </w:rPr>
              <w:t>2022, respectively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164,645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20"/>
                <w:szCs w:val="20"/>
                <w:color w:val="auto"/>
              </w:rPr>
              <w:t>Contract assets, net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138,633</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125,154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20"/>
                <w:szCs w:val="20"/>
                <w:color w:val="auto"/>
              </w:rPr>
              <w:t>Inventories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184,067</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162,403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ind w:left="180"/>
              <w:spacing w:after="0"/>
              <w:rPr>
                <w:sz w:val="20"/>
                <w:szCs w:val="20"/>
                <w:color w:val="auto"/>
              </w:rPr>
            </w:pPr>
            <w:r>
              <w:rPr>
                <w:rFonts w:ascii="Arial" w:cs="Arial" w:eastAsia="Arial" w:hAnsi="Arial"/>
                <w:sz w:val="20"/>
                <w:szCs w:val="20"/>
                <w:color w:val="auto"/>
              </w:rPr>
              <w:t>Other current assets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17,972</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22,696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20"/>
                <w:szCs w:val="20"/>
                <w:color w:val="auto"/>
              </w:rPr>
              <w:t>Total current assets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581,095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572,622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666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20"/>
                <w:szCs w:val="20"/>
                <w:color w:val="auto"/>
              </w:rPr>
              <w:t>Land and land improvements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12,382</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12,126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20"/>
                <w:szCs w:val="20"/>
                <w:color w:val="auto"/>
              </w:rPr>
              <w:t>Buildings and leasehold improvements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112,765</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110,306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20"/>
                <w:szCs w:val="20"/>
                <w:color w:val="auto"/>
              </w:rPr>
              <w:t>Machinery and equipment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186,866</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187,287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ind w:left="180"/>
              <w:spacing w:after="0"/>
              <w:rPr>
                <w:sz w:val="20"/>
                <w:szCs w:val="20"/>
                <w:color w:val="auto"/>
              </w:rPr>
            </w:pPr>
            <w:r>
              <w:rPr>
                <w:rFonts w:ascii="Arial" w:cs="Arial" w:eastAsia="Arial" w:hAnsi="Arial"/>
                <w:sz w:val="20"/>
                <w:szCs w:val="20"/>
                <w:color w:val="auto"/>
              </w:rPr>
              <w:t>Construction in progress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18,169</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11,576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330,182</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321,295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6660" w:type="dxa"/>
            <w:vAlign w:val="bottom"/>
          </w:tcPr>
          <w:p>
            <w:pPr>
              <w:ind w:left="180"/>
              <w:spacing w:after="0"/>
              <w:rPr>
                <w:sz w:val="20"/>
                <w:szCs w:val="20"/>
                <w:color w:val="auto"/>
              </w:rPr>
            </w:pPr>
            <w:r>
              <w:rPr>
                <w:rFonts w:ascii="Arial" w:cs="Arial" w:eastAsia="Arial" w:hAnsi="Arial"/>
                <w:sz w:val="20"/>
                <w:szCs w:val="20"/>
                <w:color w:val="auto"/>
              </w:rPr>
              <w:t>Less accumulated depreciation and amortization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(174,698)</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(165,322)</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20"/>
                <w:szCs w:val="20"/>
                <w:color w:val="auto"/>
              </w:rPr>
              <w:t>Net property, plant and equipment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155,484</w:t>
            </w:r>
          </w:p>
        </w:tc>
        <w:tc>
          <w:tcPr>
            <w:tcW w:w="320" w:type="dxa"/>
            <w:vAlign w:val="bottom"/>
          </w:tcPr>
          <w:p>
            <w:pPr>
              <w:spacing w:after="0"/>
              <w:rPr>
                <w:sz w:val="19"/>
                <w:szCs w:val="19"/>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155,973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6660" w:type="dxa"/>
            <w:vAlign w:val="bottom"/>
          </w:tcPr>
          <w:p>
            <w:pPr>
              <w:spacing w:after="0"/>
              <w:rPr>
                <w:sz w:val="20"/>
                <w:szCs w:val="20"/>
                <w:color w:val="auto"/>
              </w:rPr>
            </w:pPr>
            <w:r>
              <w:rPr>
                <w:rFonts w:ascii="Arial" w:cs="Arial" w:eastAsia="Arial" w:hAnsi="Arial"/>
                <w:sz w:val="20"/>
                <w:szCs w:val="20"/>
                <w:color w:val="auto"/>
              </w:rPr>
              <w:t>Intangible assets, net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392,124</w:t>
            </w: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394,464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20"/>
                <w:szCs w:val="20"/>
                <w:color w:val="auto"/>
              </w:rPr>
              <w:t>Goodwill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503,177</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492,709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20"/>
                <w:szCs w:val="20"/>
                <w:color w:val="auto"/>
              </w:rPr>
              <w:t>Operating lease assets, net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39,839</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29,150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Arial" w:cs="Arial" w:eastAsia="Arial" w:hAnsi="Arial"/>
                <w:sz w:val="20"/>
                <w:szCs w:val="20"/>
                <w:color w:val="auto"/>
              </w:rPr>
              <w:t>Other assets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11,495</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9,538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6660" w:type="dxa"/>
            <w:vAlign w:val="bottom"/>
          </w:tcPr>
          <w:p>
            <w:pPr>
              <w:spacing w:after="0"/>
              <w:rPr>
                <w:sz w:val="20"/>
                <w:szCs w:val="20"/>
                <w:color w:val="auto"/>
              </w:rPr>
            </w:pPr>
            <w:r>
              <w:rPr>
                <w:rFonts w:ascii="Arial" w:cs="Arial" w:eastAsia="Arial" w:hAnsi="Arial"/>
                <w:sz w:val="20"/>
                <w:szCs w:val="20"/>
                <w:color w:val="auto"/>
              </w:rPr>
              <w:t>Total Assets</w:t>
            </w:r>
          </w:p>
        </w:tc>
        <w:tc>
          <w:tcPr>
            <w:tcW w:w="14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1,683,214</w:t>
            </w: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1,654,456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20"/>
                <w:szCs w:val="20"/>
                <w:color w:val="auto"/>
              </w:rPr>
              <w:t>See accompanying Notes to Consolidated Financial Statements.</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F-7</w:t>
      </w:r>
    </w:p>
    <w:p>
      <w:pPr>
        <w:sectPr>
          <w:pgSz w:w="12240" w:h="15840" w:orient="portrait"/>
          <w:cols w:equalWidth="0" w:num="1">
            <w:col w:w="9500"/>
          </w:cols>
          <w:pgMar w:left="1440" w:top="1439" w:right="1300" w:bottom="0" w:gutter="0" w:footer="0" w:header="0"/>
        </w:sectPr>
      </w:pPr>
    </w:p>
    <w:bookmarkStart w:id="48" w:name="page49"/>
    <w:bookmarkEnd w:id="48"/>
    <w:p>
      <w:pPr>
        <w:jc w:val="center"/>
        <w:ind w:right="-19"/>
        <w:spacing w:after="0"/>
        <w:rPr>
          <w:sz w:val="20"/>
          <w:szCs w:val="20"/>
          <w:color w:val="auto"/>
        </w:rPr>
      </w:pPr>
      <w:r>
        <w:rPr>
          <w:rFonts w:ascii="Arial" w:cs="Arial" w:eastAsia="Arial" w:hAnsi="Arial"/>
          <w:sz w:val="22"/>
          <w:szCs w:val="22"/>
          <w:b w:val="1"/>
          <w:bCs w:val="1"/>
          <w:color w:val="auto"/>
        </w:rPr>
        <w:t>CONSOLIDATED BALANCE SHEETS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20"/>
                <w:szCs w:val="20"/>
                <w:color w:val="auto"/>
              </w:rPr>
              <w:t>(Dollars in thousands)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As of September 30,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560" w:type="dxa"/>
            <w:vAlign w:val="bottom"/>
          </w:tcPr>
          <w:p>
            <w:pPr>
              <w:spacing w:after="0"/>
              <w:rPr>
                <w:sz w:val="20"/>
                <w:szCs w:val="20"/>
                <w:color w:val="auto"/>
              </w:rPr>
            </w:pPr>
            <w:r>
              <w:rPr>
                <w:rFonts w:ascii="Arial" w:cs="Arial" w:eastAsia="Arial" w:hAnsi="Arial"/>
                <w:sz w:val="20"/>
                <w:szCs w:val="20"/>
                <w:b w:val="1"/>
                <w:bCs w:val="1"/>
                <w:color w:val="auto"/>
              </w:rPr>
              <w:t>LIABILITIES AND SHAREHOLDERS’ EQUITY</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560" w:type="dxa"/>
            <w:vAlign w:val="bottom"/>
          </w:tcPr>
          <w:p>
            <w:pPr>
              <w:spacing w:after="0"/>
              <w:rPr>
                <w:sz w:val="20"/>
                <w:szCs w:val="20"/>
                <w:color w:val="auto"/>
              </w:rPr>
            </w:pPr>
            <w:r>
              <w:rPr>
                <w:rFonts w:ascii="Arial" w:cs="Arial" w:eastAsia="Arial" w:hAnsi="Arial"/>
                <w:sz w:val="20"/>
                <w:szCs w:val="20"/>
                <w:color w:val="auto"/>
              </w:rPr>
              <w:t>Current liabilities: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20"/>
                <w:szCs w:val="20"/>
                <w:color w:val="auto"/>
              </w:rPr>
              <w:t>Current maturities of long-term debt</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20,000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20,000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560" w:type="dxa"/>
            <w:vAlign w:val="bottom"/>
          </w:tcPr>
          <w:p>
            <w:pPr>
              <w:ind w:left="180"/>
              <w:spacing w:after="0" w:line="228" w:lineRule="exact"/>
              <w:rPr>
                <w:sz w:val="20"/>
                <w:szCs w:val="20"/>
                <w:color w:val="auto"/>
              </w:rPr>
            </w:pPr>
            <w:r>
              <w:rPr>
                <w:rFonts w:ascii="Arial" w:cs="Arial" w:eastAsia="Arial" w:hAnsi="Arial"/>
                <w:sz w:val="20"/>
                <w:szCs w:val="20"/>
                <w:color w:val="auto"/>
              </w:rPr>
              <w:t>Accounts payable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86,973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78,746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80"/>
              <w:spacing w:after="0" w:line="229" w:lineRule="exact"/>
              <w:rPr>
                <w:sz w:val="20"/>
                <w:szCs w:val="20"/>
                <w:color w:val="auto"/>
              </w:rPr>
            </w:pPr>
            <w:r>
              <w:rPr>
                <w:rFonts w:ascii="Arial" w:cs="Arial" w:eastAsia="Arial" w:hAnsi="Arial"/>
                <w:sz w:val="20"/>
                <w:szCs w:val="20"/>
                <w:color w:val="auto"/>
              </w:rPr>
              <w:t>Contract liabilities,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112,277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rPr>
              <w:t>125,009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20"/>
                <w:szCs w:val="20"/>
                <w:color w:val="auto"/>
              </w:rPr>
              <w:t>Accrued salaries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43,814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40,572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560" w:type="dxa"/>
            <w:vAlign w:val="bottom"/>
          </w:tcPr>
          <w:p>
            <w:pPr>
              <w:ind w:left="180"/>
              <w:spacing w:after="0"/>
              <w:rPr>
                <w:sz w:val="20"/>
                <w:szCs w:val="20"/>
                <w:color w:val="auto"/>
              </w:rPr>
            </w:pPr>
            <w:r>
              <w:rPr>
                <w:rFonts w:ascii="Arial" w:cs="Arial" w:eastAsia="Arial" w:hAnsi="Arial"/>
                <w:sz w:val="20"/>
                <w:szCs w:val="20"/>
                <w:color w:val="auto"/>
              </w:rPr>
              <w:t>Accrued other expenses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51,587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53,802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20"/>
                <w:szCs w:val="20"/>
                <w:color w:val="auto"/>
              </w:rPr>
              <w:t>Total current liabilities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314,651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318,129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6560" w:type="dxa"/>
            <w:vAlign w:val="bottom"/>
          </w:tcPr>
          <w:p>
            <w:pPr>
              <w:spacing w:after="0"/>
              <w:rPr>
                <w:sz w:val="20"/>
                <w:szCs w:val="20"/>
                <w:color w:val="auto"/>
              </w:rPr>
            </w:pPr>
            <w:r>
              <w:rPr>
                <w:rFonts w:ascii="Arial" w:cs="Arial" w:eastAsia="Arial" w:hAnsi="Arial"/>
                <w:sz w:val="20"/>
                <w:szCs w:val="20"/>
                <w:color w:val="auto"/>
              </w:rPr>
              <w:t>Deferred tax liabilities, net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75,531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82,023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line="227" w:lineRule="exact"/>
              <w:rPr>
                <w:sz w:val="20"/>
                <w:szCs w:val="20"/>
                <w:color w:val="auto"/>
              </w:rPr>
            </w:pPr>
            <w:r>
              <w:rPr>
                <w:rFonts w:ascii="Arial" w:cs="Arial" w:eastAsia="Arial" w:hAnsi="Arial"/>
                <w:sz w:val="20"/>
                <w:szCs w:val="20"/>
                <w:color w:val="auto"/>
              </w:rPr>
              <w:t>Non-current operating lease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36,554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spacing w:after="0" w:line="227" w:lineRule="exact"/>
              <w:rPr>
                <w:sz w:val="20"/>
                <w:szCs w:val="20"/>
                <w:color w:val="auto"/>
              </w:rPr>
            </w:pPr>
            <w:r>
              <w:rPr>
                <w:rFonts w:ascii="Arial" w:cs="Arial" w:eastAsia="Arial" w:hAnsi="Arial"/>
                <w:sz w:val="20"/>
                <w:szCs w:val="20"/>
                <w:b w:val="1"/>
                <w:bCs w:val="1"/>
                <w:color w:val="auto"/>
              </w:rPr>
              <w:t>24,853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20"/>
                <w:szCs w:val="20"/>
                <w:color w:val="auto"/>
              </w:rPr>
              <w:t>Other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43,336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48,294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560" w:type="dxa"/>
            <w:vAlign w:val="bottom"/>
          </w:tcPr>
          <w:p>
            <w:pPr>
              <w:spacing w:after="0"/>
              <w:rPr>
                <w:sz w:val="20"/>
                <w:szCs w:val="20"/>
                <w:color w:val="auto"/>
              </w:rPr>
            </w:pPr>
            <w:r>
              <w:rPr>
                <w:rFonts w:ascii="Arial" w:cs="Arial" w:eastAsia="Arial" w:hAnsi="Arial"/>
                <w:sz w:val="20"/>
                <w:szCs w:val="20"/>
                <w:color w:val="auto"/>
              </w:rPr>
              <w:t>Long-term debt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82,000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133,000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20"/>
                <w:szCs w:val="20"/>
                <w:color w:val="auto"/>
              </w:rPr>
              <w:t>Total liabilities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552,072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606,299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6560" w:type="dxa"/>
            <w:vAlign w:val="bottom"/>
          </w:tcPr>
          <w:p>
            <w:pPr>
              <w:spacing w:after="0"/>
              <w:rPr>
                <w:sz w:val="20"/>
                <w:szCs w:val="20"/>
                <w:color w:val="auto"/>
              </w:rPr>
            </w:pPr>
            <w:r>
              <w:rPr>
                <w:rFonts w:ascii="Arial" w:cs="Arial" w:eastAsia="Arial" w:hAnsi="Arial"/>
                <w:sz w:val="20"/>
                <w:szCs w:val="20"/>
                <w:color w:val="auto"/>
              </w:rPr>
              <w:t>Shareholders’ equity:</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560" w:type="dxa"/>
            <w:vAlign w:val="bottom"/>
          </w:tcPr>
          <w:p>
            <w:pPr>
              <w:ind w:left="180"/>
              <w:spacing w:after="0"/>
              <w:rPr>
                <w:sz w:val="20"/>
                <w:szCs w:val="20"/>
                <w:color w:val="auto"/>
              </w:rPr>
            </w:pPr>
            <w:r>
              <w:rPr>
                <w:rFonts w:ascii="Arial" w:cs="Arial" w:eastAsia="Arial" w:hAnsi="Arial"/>
                <w:sz w:val="20"/>
                <w:szCs w:val="20"/>
                <w:color w:val="auto"/>
                <w:w w:val="99"/>
              </w:rPr>
              <w:t>Preferred stock, par value $.01 per share, authorized 10,000,000 shares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20"/>
                <w:szCs w:val="20"/>
                <w:color w:val="auto"/>
                <w:w w:val="90"/>
              </w:rPr>
              <w:t>Common stock, par value $.01 per share, authorized 50,000,000 shares; issued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20"/>
                <w:szCs w:val="20"/>
                <w:color w:val="auto"/>
              </w:rPr>
              <w:t>30,781,699 and 30,707,748 shares in 2023 and 2022,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308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307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20"/>
                <w:szCs w:val="20"/>
                <w:color w:val="auto"/>
              </w:rPr>
              <w:t>Additional paid-in capital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304,850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301,553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20"/>
                <w:szCs w:val="20"/>
                <w:color w:val="auto"/>
              </w:rPr>
              <w:t>Retained earnings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989,315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905,022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560" w:type="dxa"/>
            <w:vAlign w:val="bottom"/>
          </w:tcPr>
          <w:p>
            <w:pPr>
              <w:ind w:left="180"/>
              <w:spacing w:after="0"/>
              <w:rPr>
                <w:sz w:val="20"/>
                <w:szCs w:val="20"/>
                <w:color w:val="auto"/>
              </w:rPr>
            </w:pPr>
            <w:r>
              <w:rPr>
                <w:rFonts w:ascii="Arial" w:cs="Arial" w:eastAsia="Arial" w:hAnsi="Arial"/>
                <w:sz w:val="20"/>
                <w:szCs w:val="20"/>
                <w:color w:val="auto"/>
              </w:rPr>
              <w:t>Accumulated other comprehensive loss, net of tax</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(23,969)</w:t>
            </w:r>
          </w:p>
        </w:tc>
        <w:tc>
          <w:tcPr>
            <w:tcW w:w="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20"/>
                <w:szCs w:val="20"/>
                <w:b w:val="1"/>
                <w:bCs w:val="1"/>
                <w:color w:val="auto"/>
              </w:rPr>
              <w:t>(31,764)</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1,270,504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1,175,118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6560" w:type="dxa"/>
            <w:vAlign w:val="bottom"/>
          </w:tcPr>
          <w:p>
            <w:pPr>
              <w:ind w:left="180"/>
              <w:spacing w:after="0"/>
              <w:rPr>
                <w:sz w:val="20"/>
                <w:szCs w:val="20"/>
                <w:color w:val="auto"/>
              </w:rPr>
            </w:pPr>
            <w:r>
              <w:rPr>
                <w:rFonts w:ascii="Arial" w:cs="Arial" w:eastAsia="Arial" w:hAnsi="Arial"/>
                <w:sz w:val="20"/>
                <w:szCs w:val="20"/>
                <w:color w:val="auto"/>
                <w:w w:val="86"/>
              </w:rPr>
              <w:t>Less treasury stock, at cost (4,995,414 and 4,854,997 common shares in 2023 and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560" w:type="dxa"/>
            <w:vAlign w:val="bottom"/>
          </w:tcPr>
          <w:p>
            <w:pPr>
              <w:ind w:left="380"/>
              <w:spacing w:after="0"/>
              <w:rPr>
                <w:sz w:val="20"/>
                <w:szCs w:val="20"/>
                <w:color w:val="auto"/>
              </w:rPr>
            </w:pPr>
            <w:r>
              <w:rPr>
                <w:rFonts w:ascii="Arial" w:cs="Arial" w:eastAsia="Arial" w:hAnsi="Arial"/>
                <w:sz w:val="20"/>
                <w:szCs w:val="20"/>
                <w:color w:val="auto"/>
              </w:rPr>
              <w:t>2022,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(139,362)</w:t>
            </w:r>
          </w:p>
        </w:tc>
        <w:tc>
          <w:tcPr>
            <w:tcW w:w="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20"/>
                <w:szCs w:val="20"/>
                <w:b w:val="1"/>
                <w:bCs w:val="1"/>
                <w:color w:val="auto"/>
              </w:rPr>
              <w:t>(126,961)</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20"/>
                <w:szCs w:val="20"/>
                <w:color w:val="auto"/>
              </w:rPr>
              <w:t>Total shareholders’ equity</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1,131,142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1,048,157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7"/>
        </w:trPr>
        <w:tc>
          <w:tcPr>
            <w:tcW w:w="6560" w:type="dxa"/>
            <w:vAlign w:val="bottom"/>
          </w:tcPr>
          <w:p>
            <w:pPr>
              <w:spacing w:after="0"/>
              <w:rPr>
                <w:sz w:val="20"/>
                <w:szCs w:val="20"/>
                <w:color w:val="auto"/>
              </w:rPr>
            </w:pPr>
            <w:r>
              <w:rPr>
                <w:rFonts w:ascii="Arial" w:cs="Arial" w:eastAsia="Arial" w:hAnsi="Arial"/>
                <w:sz w:val="20"/>
                <w:szCs w:val="20"/>
                <w:color w:val="auto"/>
              </w:rPr>
              <w:t>Total Liabilities and Shareholders’ Equity</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1,683,214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b w:val="1"/>
                <w:bCs w:val="1"/>
                <w:color w:val="auto"/>
              </w:rPr>
              <w:t>1,654,456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20"/>
                <w:szCs w:val="20"/>
                <w:color w:val="auto"/>
              </w:rPr>
              <w:t>See accompanying Notes to Consolidated Financial Statements.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F-8</w:t>
      </w:r>
    </w:p>
    <w:p>
      <w:pPr>
        <w:sectPr>
          <w:pgSz w:w="12240" w:h="15840" w:orient="portrait"/>
          <w:cols w:equalWidth="0" w:num="1">
            <w:col w:w="9480"/>
          </w:cols>
          <w:pgMar w:left="1440" w:top="1439" w:right="1320" w:bottom="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20"/>
                <w:szCs w:val="20"/>
                <w:color w:val="auto"/>
                <w:w w:val="83"/>
              </w:rPr>
              <w:t>Accumulated</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4"/>
            <w:vMerge w:val="restart"/>
          </w:tcPr>
          <w:p>
            <w:pPr>
              <w:jc w:val="right"/>
              <w:ind w:right="139"/>
              <w:spacing w:after="0"/>
              <w:rPr>
                <w:sz w:val="20"/>
                <w:szCs w:val="20"/>
                <w:color w:val="auto"/>
              </w:rPr>
            </w:pPr>
            <w:r>
              <w:rPr>
                <w:rFonts w:ascii="Arial" w:cs="Arial" w:eastAsia="Arial" w:hAnsi="Arial"/>
                <w:sz w:val="20"/>
                <w:szCs w:val="20"/>
                <w:color w:val="auto"/>
                <w:w w:val="92"/>
              </w:rPr>
              <w:t>Common Stock</w:t>
            </w:r>
          </w:p>
        </w:tc>
        <w:tc>
          <w:tcPr>
            <w:tcW w:w="100" w:type="dxa"/>
            <w:vAlign w:val="bottom"/>
          </w:tcPr>
          <w:p>
            <w:pPr>
              <w:spacing w:after="0"/>
              <w:rPr>
                <w:sz w:val="17"/>
                <w:szCs w:val="17"/>
                <w:color w:val="auto"/>
              </w:rPr>
            </w:pPr>
          </w:p>
        </w:tc>
        <w:tc>
          <w:tcPr>
            <w:tcW w:w="820" w:type="dxa"/>
            <w:vAlign w:val="bottom"/>
          </w:tcPr>
          <w:p>
            <w:pPr>
              <w:jc w:val="right"/>
              <w:spacing w:after="0" w:line="207" w:lineRule="exact"/>
              <w:rPr>
                <w:sz w:val="20"/>
                <w:szCs w:val="20"/>
                <w:color w:val="auto"/>
              </w:rPr>
            </w:pPr>
            <w:r>
              <w:rPr>
                <w:rFonts w:ascii="Arial" w:cs="Arial" w:eastAsia="Arial" w:hAnsi="Arial"/>
                <w:sz w:val="20"/>
                <w:szCs w:val="20"/>
                <w:color w:val="auto"/>
                <w:w w:val="84"/>
              </w:rPr>
              <w:t>Additional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center"/>
              <w:ind w:right="80"/>
              <w:spacing w:after="0" w:line="207" w:lineRule="exact"/>
              <w:rPr>
                <w:sz w:val="20"/>
                <w:szCs w:val="20"/>
                <w:color w:val="auto"/>
              </w:rPr>
            </w:pPr>
            <w:r>
              <w:rPr>
                <w:rFonts w:ascii="Arial" w:cs="Arial" w:eastAsia="Arial" w:hAnsi="Arial"/>
                <w:sz w:val="20"/>
                <w:szCs w:val="20"/>
                <w:color w:val="auto"/>
                <w:w w:val="79"/>
              </w:rPr>
              <w:t>Other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9"/>
              <w:spacing w:after="0" w:line="183" w:lineRule="exact"/>
              <w:rPr>
                <w:sz w:val="20"/>
                <w:szCs w:val="20"/>
                <w:color w:val="auto"/>
              </w:rPr>
            </w:pPr>
            <w:r>
              <w:rPr>
                <w:rFonts w:ascii="Arial" w:cs="Arial" w:eastAsia="Arial" w:hAnsi="Arial"/>
                <w:sz w:val="20"/>
                <w:szCs w:val="20"/>
                <w:color w:val="auto"/>
              </w:rPr>
              <w:t>Paid-In</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83" w:lineRule="exact"/>
              <w:rPr>
                <w:sz w:val="20"/>
                <w:szCs w:val="20"/>
                <w:color w:val="auto"/>
              </w:rPr>
            </w:pPr>
            <w:r>
              <w:rPr>
                <w:rFonts w:ascii="Arial" w:cs="Arial" w:eastAsia="Arial" w:hAnsi="Arial"/>
                <w:sz w:val="20"/>
                <w:szCs w:val="20"/>
                <w:color w:val="auto"/>
                <w:w w:val="82"/>
              </w:rPr>
              <w:t>Retained</w:t>
            </w:r>
          </w:p>
        </w:tc>
        <w:tc>
          <w:tcPr>
            <w:tcW w:w="1280" w:type="dxa"/>
            <w:vAlign w:val="bottom"/>
            <w:gridSpan w:val="2"/>
          </w:tcPr>
          <w:p>
            <w:pPr>
              <w:jc w:val="center"/>
              <w:ind w:right="80"/>
              <w:spacing w:after="0" w:line="183" w:lineRule="exact"/>
              <w:rPr>
                <w:sz w:val="20"/>
                <w:szCs w:val="20"/>
                <w:color w:val="auto"/>
              </w:rPr>
            </w:pPr>
            <w:r>
              <w:rPr>
                <w:rFonts w:ascii="Arial" w:cs="Arial" w:eastAsia="Arial" w:hAnsi="Arial"/>
                <w:sz w:val="20"/>
                <w:szCs w:val="20"/>
                <w:color w:val="auto"/>
                <w:w w:val="82"/>
              </w:rPr>
              <w:t>Comprehensive</w:t>
            </w:r>
          </w:p>
        </w:tc>
        <w:tc>
          <w:tcPr>
            <w:tcW w:w="900" w:type="dxa"/>
            <w:vAlign w:val="bottom"/>
            <w:gridSpan w:val="2"/>
          </w:tcPr>
          <w:p>
            <w:pPr>
              <w:jc w:val="right"/>
              <w:ind w:right="160"/>
              <w:spacing w:after="0" w:line="183" w:lineRule="exact"/>
              <w:rPr>
                <w:sz w:val="20"/>
                <w:szCs w:val="20"/>
                <w:color w:val="auto"/>
              </w:rPr>
            </w:pPr>
            <w:r>
              <w:rPr>
                <w:rFonts w:ascii="Arial" w:cs="Arial" w:eastAsia="Arial" w:hAnsi="Arial"/>
                <w:sz w:val="20"/>
                <w:szCs w:val="20"/>
                <w:color w:val="auto"/>
                <w:w w:val="91"/>
              </w:rPr>
              <w:t>Treasury</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spacing w:after="0" w:line="229" w:lineRule="exact"/>
              <w:rPr>
                <w:sz w:val="20"/>
                <w:szCs w:val="20"/>
                <w:color w:val="auto"/>
              </w:rPr>
            </w:pPr>
            <w:r>
              <w:rPr>
                <w:rFonts w:ascii="Arial" w:cs="Arial" w:eastAsia="Arial" w:hAnsi="Arial"/>
                <w:sz w:val="20"/>
                <w:szCs w:val="20"/>
                <w:color w:val="auto"/>
              </w:rPr>
              <w:t>(In thousands)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8"/>
              </w:rPr>
              <w:t>Shares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20"/>
                <w:szCs w:val="20"/>
                <w:color w:val="auto"/>
                <w:w w:val="95"/>
              </w:rPr>
              <w:t>Amount</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rPr>
              <w:t>Capital</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Earnings</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2"/>
              </w:rPr>
              <w:t>Income (Loss)</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rPr>
              <w:t>Stock</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line="229" w:lineRule="exact"/>
              <w:rPr>
                <w:sz w:val="20"/>
                <w:szCs w:val="20"/>
                <w:color w:val="auto"/>
              </w:rPr>
            </w:pPr>
            <w:r>
              <w:rPr>
                <w:rFonts w:ascii="Arial" w:cs="Arial" w:eastAsia="Arial" w:hAnsi="Arial"/>
                <w:sz w:val="20"/>
                <w:szCs w:val="20"/>
                <w:color w:val="auto"/>
              </w:rPr>
              <w:t>Total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3700" w:type="dxa"/>
            <w:vAlign w:val="bottom"/>
          </w:tcPr>
          <w:p>
            <w:pPr>
              <w:spacing w:after="0"/>
              <w:rPr>
                <w:sz w:val="20"/>
                <w:szCs w:val="20"/>
                <w:color w:val="auto"/>
              </w:rPr>
            </w:pPr>
            <w:r>
              <w:rPr>
                <w:rFonts w:ascii="Arial" w:cs="Arial" w:eastAsia="Arial" w:hAnsi="Arial"/>
                <w:sz w:val="20"/>
                <w:szCs w:val="20"/>
                <w:color w:val="auto"/>
              </w:rPr>
              <w:t>Balance, September 30, 2020</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30,646</w:t>
            </w:r>
          </w:p>
        </w:tc>
        <w:tc>
          <w:tcPr>
            <w:tcW w:w="42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306</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293,682</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775,829</w:t>
            </w:r>
          </w:p>
        </w:tc>
        <w:tc>
          <w:tcPr>
            <w:tcW w:w="6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(3,657)</w:t>
            </w: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(107,134)</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959,026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3700" w:type="dxa"/>
            <w:vAlign w:val="bottom"/>
          </w:tcPr>
          <w:p>
            <w:pPr>
              <w:spacing w:after="0"/>
              <w:rPr>
                <w:sz w:val="20"/>
                <w:szCs w:val="20"/>
                <w:color w:val="auto"/>
              </w:rPr>
            </w:pPr>
            <w:r>
              <w:rPr>
                <w:rFonts w:ascii="Arial" w:cs="Arial" w:eastAsia="Arial" w:hAnsi="Arial"/>
                <w:sz w:val="20"/>
                <w:szCs w:val="20"/>
                <w:color w:val="auto"/>
              </w:rPr>
              <w:t>Comprehensive income (loss):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140"/>
              <w:spacing w:after="0"/>
              <w:rPr>
                <w:sz w:val="20"/>
                <w:szCs w:val="20"/>
                <w:color w:val="auto"/>
              </w:rPr>
            </w:pPr>
            <w:r>
              <w:rPr>
                <w:rFonts w:ascii="Arial" w:cs="Arial" w:eastAsia="Arial" w:hAnsi="Arial"/>
                <w:sz w:val="20"/>
                <w:szCs w:val="20"/>
                <w:color w:val="auto"/>
              </w:rPr>
              <w:t>Net earnings</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63,496</w:t>
            </w:r>
          </w:p>
        </w:tc>
        <w:tc>
          <w:tcPr>
            <w:tcW w:w="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63,496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140"/>
              <w:spacing w:after="0"/>
              <w:rPr>
                <w:sz w:val="20"/>
                <w:szCs w:val="20"/>
                <w:color w:val="auto"/>
              </w:rPr>
            </w:pPr>
            <w:r>
              <w:rPr>
                <w:rFonts w:ascii="Arial" w:cs="Arial" w:eastAsia="Arial" w:hAnsi="Arial"/>
                <w:sz w:val="20"/>
                <w:szCs w:val="20"/>
                <w:color w:val="auto"/>
                <w:w w:val="98"/>
              </w:rPr>
              <w:t>Translation adjustments, net of tax of $0</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1,496</w:t>
            </w: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1,496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3700" w:type="dxa"/>
            <w:vAlign w:val="bottom"/>
          </w:tcPr>
          <w:p>
            <w:pPr>
              <w:spacing w:after="0"/>
              <w:rPr>
                <w:sz w:val="20"/>
                <w:szCs w:val="20"/>
                <w:color w:val="auto"/>
              </w:rPr>
            </w:pPr>
            <w:r>
              <w:rPr>
                <w:rFonts w:ascii="Arial" w:cs="Arial" w:eastAsia="Arial" w:hAnsi="Arial"/>
                <w:sz w:val="20"/>
                <w:szCs w:val="20"/>
                <w:color w:val="auto"/>
                <w:w w:val="96"/>
              </w:rPr>
              <w:t>Cash dividends declared ($0.32 per share)</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(8,336)</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gridSpan w:val="3"/>
          </w:tcPr>
          <w:p>
            <w:pPr>
              <w:jc w:val="right"/>
              <w:spacing w:after="0"/>
              <w:rPr>
                <w:sz w:val="20"/>
                <w:szCs w:val="20"/>
                <w:color w:val="auto"/>
              </w:rPr>
            </w:pPr>
            <w:r>
              <w:rPr>
                <w:rFonts w:ascii="Arial" w:cs="Arial" w:eastAsia="Arial" w:hAnsi="Arial"/>
                <w:sz w:val="20"/>
                <w:szCs w:val="20"/>
                <w:color w:val="auto"/>
              </w:rPr>
              <w:t>(8,336)</w:t>
            </w:r>
          </w:p>
        </w:tc>
        <w:tc>
          <w:tcPr>
            <w:tcW w:w="0" w:type="dxa"/>
            <w:vAlign w:val="bottom"/>
          </w:tcPr>
          <w:p>
            <w:pPr>
              <w:spacing w:after="0"/>
              <w:rPr>
                <w:sz w:val="1"/>
                <w:szCs w:val="1"/>
                <w:color w:val="auto"/>
              </w:rPr>
            </w:pPr>
          </w:p>
        </w:tc>
      </w:tr>
      <w:tr>
        <w:trPr>
          <w:trHeight w:val="446"/>
        </w:trPr>
        <w:tc>
          <w:tcPr>
            <w:tcW w:w="3700" w:type="dxa"/>
            <w:vAlign w:val="bottom"/>
          </w:tcPr>
          <w:p>
            <w:pPr>
              <w:spacing w:after="0"/>
              <w:rPr>
                <w:sz w:val="20"/>
                <w:szCs w:val="20"/>
                <w:color w:val="auto"/>
              </w:rPr>
            </w:pPr>
            <w:r>
              <w:rPr>
                <w:rFonts w:ascii="Arial" w:cs="Arial" w:eastAsia="Arial" w:hAnsi="Arial"/>
                <w:sz w:val="20"/>
                <w:szCs w:val="20"/>
                <w:color w:val="auto"/>
                <w:w w:val="97"/>
              </w:rPr>
              <w:t>Stock compensation plans, net of tax of $0</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3,962</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51</w:t>
            </w: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4,014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3700" w:type="dxa"/>
            <w:vAlign w:val="bottom"/>
          </w:tcPr>
          <w:p>
            <w:pPr>
              <w:spacing w:after="0"/>
              <w:rPr>
                <w:sz w:val="20"/>
                <w:szCs w:val="20"/>
                <w:color w:val="auto"/>
              </w:rPr>
            </w:pPr>
            <w:r>
              <w:rPr>
                <w:rFonts w:ascii="Arial" w:cs="Arial" w:eastAsia="Arial" w:hAnsi="Arial"/>
                <w:sz w:val="20"/>
                <w:szCs w:val="20"/>
                <w:color w:val="auto"/>
              </w:rPr>
              <w:t>Balance, September 30, 2021</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30,666</w:t>
            </w:r>
          </w:p>
        </w:tc>
        <w:tc>
          <w:tcPr>
            <w:tcW w:w="42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307</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297,644</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830,989</w:t>
            </w:r>
          </w:p>
        </w:tc>
        <w:tc>
          <w:tcPr>
            <w:tcW w:w="6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(2,161)</w:t>
            </w: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(107,083)</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w w:val="98"/>
              </w:rPr>
              <w:t>1,019,696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3700" w:type="dxa"/>
            <w:vAlign w:val="bottom"/>
          </w:tcPr>
          <w:p>
            <w:pPr>
              <w:spacing w:after="0"/>
              <w:rPr>
                <w:sz w:val="20"/>
                <w:szCs w:val="20"/>
                <w:color w:val="auto"/>
              </w:rPr>
            </w:pPr>
            <w:r>
              <w:rPr>
                <w:rFonts w:ascii="Arial" w:cs="Arial" w:eastAsia="Arial" w:hAnsi="Arial"/>
                <w:sz w:val="20"/>
                <w:szCs w:val="20"/>
                <w:color w:val="auto"/>
              </w:rPr>
              <w:t>Comprehensive income (loss):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700" w:type="dxa"/>
            <w:vAlign w:val="bottom"/>
          </w:tcPr>
          <w:p>
            <w:pPr>
              <w:ind w:left="140"/>
              <w:spacing w:after="0"/>
              <w:rPr>
                <w:sz w:val="20"/>
                <w:szCs w:val="20"/>
                <w:color w:val="auto"/>
              </w:rPr>
            </w:pPr>
            <w:r>
              <w:rPr>
                <w:rFonts w:ascii="Arial" w:cs="Arial" w:eastAsia="Arial" w:hAnsi="Arial"/>
                <w:sz w:val="20"/>
                <w:szCs w:val="20"/>
                <w:color w:val="auto"/>
              </w:rPr>
              <w:t>Net earnings</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82,320</w:t>
            </w:r>
          </w:p>
        </w:tc>
        <w:tc>
          <w:tcPr>
            <w:tcW w:w="6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82,320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700" w:type="dxa"/>
            <w:vAlign w:val="bottom"/>
          </w:tcPr>
          <w:p>
            <w:pPr>
              <w:ind w:left="140"/>
              <w:spacing w:after="0"/>
              <w:rPr>
                <w:sz w:val="20"/>
                <w:szCs w:val="20"/>
                <w:color w:val="auto"/>
              </w:rPr>
            </w:pPr>
            <w:r>
              <w:rPr>
                <w:rFonts w:ascii="Arial" w:cs="Arial" w:eastAsia="Arial" w:hAnsi="Arial"/>
                <w:sz w:val="20"/>
                <w:szCs w:val="20"/>
                <w:color w:val="auto"/>
                <w:w w:val="98"/>
              </w:rPr>
              <w:t>Net unrecognized actuarial loss – SERP</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(727)</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gridSpan w:val="3"/>
          </w:tcPr>
          <w:p>
            <w:pPr>
              <w:jc w:val="right"/>
              <w:spacing w:after="0"/>
              <w:rPr>
                <w:sz w:val="20"/>
                <w:szCs w:val="20"/>
                <w:color w:val="auto"/>
              </w:rPr>
            </w:pPr>
            <w:r>
              <w:rPr>
                <w:rFonts w:ascii="Arial" w:cs="Arial" w:eastAsia="Arial" w:hAnsi="Arial"/>
                <w:sz w:val="20"/>
                <w:szCs w:val="20"/>
                <w:color w:val="auto"/>
              </w:rPr>
              <w:t>(727)</w:t>
            </w:r>
          </w:p>
        </w:tc>
        <w:tc>
          <w:tcPr>
            <w:tcW w:w="0" w:type="dxa"/>
            <w:vAlign w:val="bottom"/>
          </w:tcPr>
          <w:p>
            <w:pPr>
              <w:spacing w:after="0"/>
              <w:rPr>
                <w:sz w:val="1"/>
                <w:szCs w:val="1"/>
                <w:color w:val="auto"/>
              </w:rPr>
            </w:pPr>
          </w:p>
        </w:tc>
      </w:tr>
      <w:tr>
        <w:trPr>
          <w:trHeight w:val="308"/>
        </w:trPr>
        <w:tc>
          <w:tcPr>
            <w:tcW w:w="3700" w:type="dxa"/>
            <w:vAlign w:val="bottom"/>
          </w:tcPr>
          <w:p>
            <w:pPr>
              <w:ind w:left="140"/>
              <w:spacing w:after="0"/>
              <w:rPr>
                <w:sz w:val="20"/>
                <w:szCs w:val="20"/>
                <w:color w:val="auto"/>
              </w:rPr>
            </w:pPr>
            <w:r>
              <w:rPr>
                <w:rFonts w:ascii="Arial" w:cs="Arial" w:eastAsia="Arial" w:hAnsi="Arial"/>
                <w:sz w:val="20"/>
                <w:szCs w:val="20"/>
                <w:color w:val="auto"/>
                <w:w w:val="98"/>
              </w:rPr>
              <w:t>Translation adjustments, net of tax of $0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(28,876)</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gridSpan w:val="3"/>
          </w:tcPr>
          <w:p>
            <w:pPr>
              <w:jc w:val="right"/>
              <w:spacing w:after="0"/>
              <w:rPr>
                <w:sz w:val="20"/>
                <w:szCs w:val="20"/>
                <w:color w:val="auto"/>
              </w:rPr>
            </w:pPr>
            <w:r>
              <w:rPr>
                <w:rFonts w:ascii="Arial" w:cs="Arial" w:eastAsia="Arial" w:hAnsi="Arial"/>
                <w:sz w:val="20"/>
                <w:szCs w:val="20"/>
                <w:color w:val="auto"/>
              </w:rPr>
              <w:t>(28,876)</w:t>
            </w:r>
          </w:p>
        </w:tc>
        <w:tc>
          <w:tcPr>
            <w:tcW w:w="0" w:type="dxa"/>
            <w:vAlign w:val="bottom"/>
          </w:tcPr>
          <w:p>
            <w:pPr>
              <w:spacing w:after="0"/>
              <w:rPr>
                <w:sz w:val="1"/>
                <w:szCs w:val="1"/>
                <w:color w:val="auto"/>
              </w:rPr>
            </w:pPr>
          </w:p>
        </w:tc>
      </w:tr>
      <w:tr>
        <w:trPr>
          <w:trHeight w:val="442"/>
        </w:trPr>
        <w:tc>
          <w:tcPr>
            <w:tcW w:w="3700" w:type="dxa"/>
            <w:vAlign w:val="bottom"/>
          </w:tcPr>
          <w:p>
            <w:pPr>
              <w:spacing w:after="0"/>
              <w:rPr>
                <w:sz w:val="20"/>
                <w:szCs w:val="20"/>
                <w:color w:val="auto"/>
              </w:rPr>
            </w:pPr>
            <w:r>
              <w:rPr>
                <w:rFonts w:ascii="Arial" w:cs="Arial" w:eastAsia="Arial" w:hAnsi="Arial"/>
                <w:sz w:val="20"/>
                <w:szCs w:val="20"/>
                <w:color w:val="auto"/>
                <w:w w:val="96"/>
              </w:rPr>
              <w:t>Cash dividends declared ($0.32 per share)</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(8,287)</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gridSpan w:val="3"/>
          </w:tcPr>
          <w:p>
            <w:pPr>
              <w:jc w:val="right"/>
              <w:spacing w:after="0"/>
              <w:rPr>
                <w:sz w:val="20"/>
                <w:szCs w:val="20"/>
                <w:color w:val="auto"/>
              </w:rPr>
            </w:pPr>
            <w:r>
              <w:rPr>
                <w:rFonts w:ascii="Arial" w:cs="Arial" w:eastAsia="Arial" w:hAnsi="Arial"/>
                <w:sz w:val="20"/>
                <w:szCs w:val="20"/>
                <w:color w:val="auto"/>
              </w:rPr>
              <w:t>(8,287)</w:t>
            </w:r>
          </w:p>
        </w:tc>
        <w:tc>
          <w:tcPr>
            <w:tcW w:w="0" w:type="dxa"/>
            <w:vAlign w:val="bottom"/>
          </w:tcPr>
          <w:p>
            <w:pPr>
              <w:spacing w:after="0"/>
              <w:rPr>
                <w:sz w:val="1"/>
                <w:szCs w:val="1"/>
                <w:color w:val="auto"/>
              </w:rPr>
            </w:pPr>
          </w:p>
        </w:tc>
      </w:tr>
      <w:tr>
        <w:trPr>
          <w:trHeight w:val="307"/>
        </w:trPr>
        <w:tc>
          <w:tcPr>
            <w:tcW w:w="3700" w:type="dxa"/>
            <w:vAlign w:val="bottom"/>
          </w:tcPr>
          <w:p>
            <w:pPr>
              <w:spacing w:after="0"/>
              <w:rPr>
                <w:sz w:val="20"/>
                <w:szCs w:val="20"/>
                <w:color w:val="auto"/>
              </w:rPr>
            </w:pPr>
            <w:r>
              <w:rPr>
                <w:rFonts w:ascii="Arial" w:cs="Arial" w:eastAsia="Arial" w:hAnsi="Arial"/>
                <w:sz w:val="20"/>
                <w:szCs w:val="20"/>
                <w:color w:val="auto"/>
                <w:w w:val="99"/>
              </w:rPr>
              <w:t>Purchases of common stock into treasury</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(19,878)</w:t>
            </w:r>
          </w:p>
        </w:tc>
        <w:tc>
          <w:tcPr>
            <w:tcW w:w="960" w:type="dxa"/>
            <w:vAlign w:val="bottom"/>
            <w:gridSpan w:val="3"/>
          </w:tcPr>
          <w:p>
            <w:pPr>
              <w:jc w:val="right"/>
              <w:spacing w:after="0"/>
              <w:rPr>
                <w:sz w:val="20"/>
                <w:szCs w:val="20"/>
                <w:color w:val="auto"/>
              </w:rPr>
            </w:pPr>
            <w:r>
              <w:rPr>
                <w:rFonts w:ascii="Arial" w:cs="Arial" w:eastAsia="Arial" w:hAnsi="Arial"/>
                <w:sz w:val="20"/>
                <w:szCs w:val="20"/>
                <w:color w:val="auto"/>
              </w:rPr>
              <w:t>(19,878)</w:t>
            </w:r>
          </w:p>
        </w:tc>
        <w:tc>
          <w:tcPr>
            <w:tcW w:w="0" w:type="dxa"/>
            <w:vAlign w:val="bottom"/>
          </w:tcPr>
          <w:p>
            <w:pPr>
              <w:spacing w:after="0"/>
              <w:rPr>
                <w:sz w:val="1"/>
                <w:szCs w:val="1"/>
                <w:color w:val="auto"/>
              </w:rPr>
            </w:pPr>
          </w:p>
        </w:tc>
      </w:tr>
      <w:tr>
        <w:trPr>
          <w:trHeight w:val="312"/>
        </w:trPr>
        <w:tc>
          <w:tcPr>
            <w:tcW w:w="3700" w:type="dxa"/>
            <w:vAlign w:val="bottom"/>
          </w:tcPr>
          <w:p>
            <w:pPr>
              <w:spacing w:after="0"/>
              <w:rPr>
                <w:sz w:val="20"/>
                <w:szCs w:val="20"/>
                <w:color w:val="auto"/>
              </w:rPr>
            </w:pPr>
            <w:r>
              <w:rPr>
                <w:rFonts w:ascii="Arial" w:cs="Arial" w:eastAsia="Arial" w:hAnsi="Arial"/>
                <w:sz w:val="20"/>
                <w:szCs w:val="20"/>
                <w:color w:val="auto"/>
                <w:w w:val="97"/>
              </w:rPr>
              <w:t>Stock compensation plans, net of tax of $0</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42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3,909</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3,909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3700" w:type="dxa"/>
            <w:vAlign w:val="bottom"/>
          </w:tcPr>
          <w:p>
            <w:pPr>
              <w:spacing w:after="0"/>
              <w:rPr>
                <w:sz w:val="20"/>
                <w:szCs w:val="20"/>
                <w:color w:val="auto"/>
              </w:rPr>
            </w:pPr>
            <w:r>
              <w:rPr>
                <w:rFonts w:ascii="Arial" w:cs="Arial" w:eastAsia="Arial" w:hAnsi="Arial"/>
                <w:sz w:val="20"/>
                <w:szCs w:val="20"/>
                <w:color w:val="auto"/>
              </w:rPr>
              <w:t>Balance, September 30, 2022</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30,708</w:t>
            </w:r>
          </w:p>
        </w:tc>
        <w:tc>
          <w:tcPr>
            <w:tcW w:w="42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307</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301,553</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905,022</w:t>
            </w:r>
          </w:p>
        </w:tc>
        <w:tc>
          <w:tcPr>
            <w:tcW w:w="6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(31,764)</w:t>
            </w: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(126,961)</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w w:val="98"/>
              </w:rPr>
              <w:t>1,048,157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3700" w:type="dxa"/>
            <w:vAlign w:val="bottom"/>
          </w:tcPr>
          <w:p>
            <w:pPr>
              <w:spacing w:after="0"/>
              <w:rPr>
                <w:sz w:val="20"/>
                <w:szCs w:val="20"/>
                <w:color w:val="auto"/>
              </w:rPr>
            </w:pPr>
            <w:r>
              <w:rPr>
                <w:rFonts w:ascii="Arial" w:cs="Arial" w:eastAsia="Arial" w:hAnsi="Arial"/>
                <w:sz w:val="20"/>
                <w:szCs w:val="20"/>
                <w:color w:val="auto"/>
              </w:rPr>
              <w:t>Comprehensive income (loss):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700" w:type="dxa"/>
            <w:vAlign w:val="bottom"/>
          </w:tcPr>
          <w:p>
            <w:pPr>
              <w:ind w:left="140"/>
              <w:spacing w:after="0"/>
              <w:rPr>
                <w:sz w:val="20"/>
                <w:szCs w:val="20"/>
                <w:color w:val="auto"/>
              </w:rPr>
            </w:pPr>
            <w:r>
              <w:rPr>
                <w:rFonts w:ascii="Arial" w:cs="Arial" w:eastAsia="Arial" w:hAnsi="Arial"/>
                <w:sz w:val="20"/>
                <w:szCs w:val="20"/>
                <w:color w:val="auto"/>
              </w:rPr>
              <w:t>Net earnings</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92,545</w:t>
            </w:r>
          </w:p>
        </w:tc>
        <w:tc>
          <w:tcPr>
            <w:tcW w:w="6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92,545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700" w:type="dxa"/>
            <w:vAlign w:val="bottom"/>
          </w:tcPr>
          <w:p>
            <w:pPr>
              <w:ind w:left="140"/>
              <w:spacing w:after="0"/>
              <w:rPr>
                <w:sz w:val="20"/>
                <w:szCs w:val="20"/>
                <w:color w:val="auto"/>
              </w:rPr>
            </w:pPr>
            <w:r>
              <w:rPr>
                <w:rFonts w:ascii="Arial" w:cs="Arial" w:eastAsia="Arial" w:hAnsi="Arial"/>
                <w:sz w:val="20"/>
                <w:szCs w:val="20"/>
                <w:color w:val="auto"/>
                <w:w w:val="98"/>
              </w:rPr>
              <w:t>Translation adjustments, net of tax of $0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7,795</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7,795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700" w:type="dxa"/>
            <w:vAlign w:val="bottom"/>
          </w:tcPr>
          <w:p>
            <w:pPr>
              <w:spacing w:after="0"/>
              <w:rPr>
                <w:sz w:val="20"/>
                <w:szCs w:val="20"/>
                <w:color w:val="auto"/>
              </w:rPr>
            </w:pPr>
            <w:r>
              <w:rPr>
                <w:rFonts w:ascii="Arial" w:cs="Arial" w:eastAsia="Arial" w:hAnsi="Arial"/>
                <w:sz w:val="20"/>
                <w:szCs w:val="20"/>
                <w:color w:val="auto"/>
                <w:w w:val="96"/>
              </w:rPr>
              <w:t>Cash dividends declared ($0.32 per share)</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(8,252)</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60" w:type="dxa"/>
            <w:vAlign w:val="bottom"/>
            <w:gridSpan w:val="3"/>
          </w:tcPr>
          <w:p>
            <w:pPr>
              <w:jc w:val="right"/>
              <w:spacing w:after="0"/>
              <w:rPr>
                <w:sz w:val="20"/>
                <w:szCs w:val="20"/>
                <w:color w:val="auto"/>
              </w:rPr>
            </w:pPr>
            <w:r>
              <w:rPr>
                <w:rFonts w:ascii="Arial" w:cs="Arial" w:eastAsia="Arial" w:hAnsi="Arial"/>
                <w:sz w:val="20"/>
                <w:szCs w:val="20"/>
                <w:color w:val="auto"/>
              </w:rPr>
              <w:t>(8,252)</w:t>
            </w:r>
          </w:p>
        </w:tc>
        <w:tc>
          <w:tcPr>
            <w:tcW w:w="0" w:type="dxa"/>
            <w:vAlign w:val="bottom"/>
          </w:tcPr>
          <w:p>
            <w:pPr>
              <w:spacing w:after="0"/>
              <w:rPr>
                <w:sz w:val="1"/>
                <w:szCs w:val="1"/>
                <w:color w:val="auto"/>
              </w:rPr>
            </w:pPr>
          </w:p>
        </w:tc>
      </w:tr>
      <w:tr>
        <w:trPr>
          <w:trHeight w:val="307"/>
        </w:trPr>
        <w:tc>
          <w:tcPr>
            <w:tcW w:w="3700" w:type="dxa"/>
            <w:vAlign w:val="bottom"/>
          </w:tcPr>
          <w:p>
            <w:pPr>
              <w:spacing w:after="0"/>
              <w:rPr>
                <w:sz w:val="20"/>
                <w:szCs w:val="20"/>
                <w:color w:val="auto"/>
              </w:rPr>
            </w:pPr>
            <w:r>
              <w:rPr>
                <w:rFonts w:ascii="Arial" w:cs="Arial" w:eastAsia="Arial" w:hAnsi="Arial"/>
                <w:sz w:val="20"/>
                <w:szCs w:val="20"/>
                <w:color w:val="auto"/>
                <w:w w:val="99"/>
              </w:rPr>
              <w:t>Purchases of common stock into treasury</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(12,401)</w:t>
            </w:r>
          </w:p>
        </w:tc>
        <w:tc>
          <w:tcPr>
            <w:tcW w:w="960" w:type="dxa"/>
            <w:vAlign w:val="bottom"/>
            <w:gridSpan w:val="3"/>
          </w:tcPr>
          <w:p>
            <w:pPr>
              <w:jc w:val="right"/>
              <w:spacing w:after="0"/>
              <w:rPr>
                <w:sz w:val="20"/>
                <w:szCs w:val="20"/>
                <w:color w:val="auto"/>
              </w:rPr>
            </w:pPr>
            <w:r>
              <w:rPr>
                <w:rFonts w:ascii="Arial" w:cs="Arial" w:eastAsia="Arial" w:hAnsi="Arial"/>
                <w:sz w:val="20"/>
                <w:szCs w:val="20"/>
                <w:color w:val="auto"/>
              </w:rPr>
              <w:t>(12,401)</w:t>
            </w:r>
          </w:p>
        </w:tc>
        <w:tc>
          <w:tcPr>
            <w:tcW w:w="0" w:type="dxa"/>
            <w:vAlign w:val="bottom"/>
          </w:tcPr>
          <w:p>
            <w:pPr>
              <w:spacing w:after="0"/>
              <w:rPr>
                <w:sz w:val="1"/>
                <w:szCs w:val="1"/>
                <w:color w:val="auto"/>
              </w:rPr>
            </w:pPr>
          </w:p>
        </w:tc>
      </w:tr>
      <w:tr>
        <w:trPr>
          <w:trHeight w:val="307"/>
        </w:trPr>
        <w:tc>
          <w:tcPr>
            <w:tcW w:w="3700" w:type="dxa"/>
            <w:vAlign w:val="bottom"/>
          </w:tcPr>
          <w:p>
            <w:pPr>
              <w:spacing w:after="0"/>
              <w:rPr>
                <w:sz w:val="20"/>
                <w:szCs w:val="20"/>
                <w:color w:val="auto"/>
              </w:rPr>
            </w:pPr>
            <w:r>
              <w:rPr>
                <w:rFonts w:ascii="Arial" w:cs="Arial" w:eastAsia="Arial" w:hAnsi="Arial"/>
                <w:sz w:val="20"/>
                <w:szCs w:val="20"/>
                <w:color w:val="auto"/>
                <w:w w:val="97"/>
              </w:rPr>
              <w:t>Stock compensation plans, net of tax of $0</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74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3,297</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3,298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3700" w:type="dxa"/>
            <w:vAlign w:val="bottom"/>
          </w:tcPr>
          <w:p>
            <w:pPr>
              <w:spacing w:after="0"/>
              <w:rPr>
                <w:sz w:val="20"/>
                <w:szCs w:val="20"/>
                <w:color w:val="auto"/>
              </w:rPr>
            </w:pPr>
            <w:r>
              <w:rPr>
                <w:rFonts w:ascii="Arial" w:cs="Arial" w:eastAsia="Arial" w:hAnsi="Arial"/>
                <w:sz w:val="20"/>
                <w:szCs w:val="20"/>
                <w:color w:val="auto"/>
              </w:rPr>
              <w:t>Balance, September 30, 2023</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30,782</w:t>
            </w:r>
          </w:p>
        </w:tc>
        <w:tc>
          <w:tcPr>
            <w:tcW w:w="100" w:type="dxa"/>
            <w:vAlign w:val="bottom"/>
          </w:tcPr>
          <w:p>
            <w:pPr>
              <w:spacing w:after="0"/>
              <w:rPr>
                <w:sz w:val="24"/>
                <w:szCs w:val="24"/>
                <w:color w:val="auto"/>
              </w:rPr>
            </w:pPr>
          </w:p>
        </w:tc>
        <w:tc>
          <w:tcPr>
            <w:tcW w:w="320" w:type="dxa"/>
            <w:vAlign w:val="bottom"/>
          </w:tcPr>
          <w:p>
            <w:pPr>
              <w:jc w:val="right"/>
              <w:ind w:right="99"/>
              <w:spacing w:after="0"/>
              <w:rPr>
                <w:sz w:val="20"/>
                <w:szCs w:val="20"/>
                <w:color w:val="auto"/>
              </w:rPr>
            </w:pPr>
            <w:r>
              <w:rPr>
                <w:rFonts w:ascii="Arial" w:cs="Arial" w:eastAsia="Arial" w:hAnsi="Arial"/>
                <w:sz w:val="20"/>
                <w:szCs w:val="20"/>
                <w:color w:val="auto"/>
                <w:w w:val="89"/>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308</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304,850</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4"/>
              </w:rPr>
              <w:t>989,315</w:t>
            </w:r>
          </w:p>
        </w:tc>
        <w:tc>
          <w:tcPr>
            <w:tcW w:w="6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(23,969)</w:t>
            </w: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(139,362)</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w w:val="98"/>
              </w:rPr>
              <w:t>1,131,142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700" w:type="dxa"/>
            <w:vAlign w:val="bottom"/>
            <w:tcBorders>
              <w:right w:val="single" w:sz="8" w:color="auto"/>
            </w:tcBorders>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20" w:type="dxa"/>
            <w:vAlign w:val="bottom"/>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480" w:type="dxa"/>
            <w:vAlign w:val="bottom"/>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20" w:type="dxa"/>
            <w:vAlign w:val="bottom"/>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80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F-9</w:t>
      </w:r>
    </w:p>
    <w:p>
      <w:pPr>
        <w:sectPr>
          <w:pgSz w:w="12240" w:h="15840" w:orient="portrait"/>
          <w:cols w:equalWidth="0" w:num="1">
            <w:col w:w="10240"/>
          </w:cols>
          <w:pgMar w:left="1060" w:top="1439" w:right="940" w:bottom="0" w:gutter="0" w:footer="0" w:header="0"/>
        </w:sectPr>
      </w:pPr>
    </w:p>
    <w:bookmarkStart w:id="50" w:name="page51"/>
    <w:bookmarkEnd w:id="50"/>
    <w:p>
      <w:pPr>
        <w:jc w:val="center"/>
        <w:ind w:right="-139"/>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(Dollars 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40" w:type="dxa"/>
            <w:vAlign w:val="bottom"/>
          </w:tcPr>
          <w:p>
            <w:pPr>
              <w:spacing w:after="0"/>
              <w:rPr>
                <w:sz w:val="20"/>
                <w:szCs w:val="20"/>
                <w:color w:val="auto"/>
              </w:rPr>
            </w:pPr>
            <w:r>
              <w:rPr>
                <w:rFonts w:ascii="Arial" w:cs="Arial" w:eastAsia="Arial" w:hAnsi="Arial"/>
                <w:sz w:val="20"/>
                <w:szCs w:val="20"/>
                <w:color w:val="auto"/>
              </w:rPr>
              <w:t>Years 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2022</w:t>
            </w:r>
          </w:p>
        </w:tc>
        <w:tc>
          <w:tcPr>
            <w:tcW w:w="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740" w:type="dxa"/>
            <w:vAlign w:val="bottom"/>
          </w:tcPr>
          <w:p>
            <w:pPr>
              <w:spacing w:after="0" w:line="214" w:lineRule="exact"/>
              <w:rPr>
                <w:sz w:val="20"/>
                <w:szCs w:val="20"/>
                <w:color w:val="auto"/>
              </w:rPr>
            </w:pPr>
            <w:r>
              <w:rPr>
                <w:rFonts w:ascii="Arial" w:cs="Arial" w:eastAsia="Arial" w:hAnsi="Arial"/>
                <w:sz w:val="20"/>
                <w:szCs w:val="20"/>
                <w:color w:val="auto"/>
              </w:rPr>
              <w:t>Cash flows from operating activities: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Net earnings</w:t>
            </w:r>
          </w:p>
        </w:tc>
        <w:tc>
          <w:tcPr>
            <w:tcW w:w="3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92,545</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82,320</w:t>
            </w:r>
          </w:p>
        </w:tc>
        <w:tc>
          <w:tcPr>
            <w:tcW w:w="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63,496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w w:val="87"/>
              </w:rPr>
              <w:t>Adjustments to reconcile net earnings to net cash provided by operating</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20"/>
                <w:szCs w:val="20"/>
                <w:color w:val="auto"/>
              </w:rPr>
              <w:t>activities: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20"/>
                <w:szCs w:val="20"/>
                <w:color w:val="auto"/>
              </w:rPr>
              <w:t>Depreciation and amortization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50,523</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48,343</w:t>
            </w:r>
          </w:p>
        </w:tc>
        <w:tc>
          <w:tcPr>
            <w:tcW w:w="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42,049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360"/>
              <w:spacing w:after="0" w:line="228" w:lineRule="exact"/>
              <w:rPr>
                <w:sz w:val="20"/>
                <w:szCs w:val="20"/>
                <w:color w:val="auto"/>
              </w:rPr>
            </w:pPr>
            <w:r>
              <w:rPr>
                <w:rFonts w:ascii="Arial" w:cs="Arial" w:eastAsia="Arial" w:hAnsi="Arial"/>
                <w:sz w:val="20"/>
                <w:szCs w:val="20"/>
                <w:color w:val="auto"/>
              </w:rPr>
              <w:t>Stock compensation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8,910</w:t>
            </w:r>
          </w:p>
        </w:tc>
        <w:tc>
          <w:tcPr>
            <w:tcW w:w="80" w:type="dxa"/>
            <w:vAlign w:val="bottom"/>
          </w:tcPr>
          <w:p>
            <w:pPr>
              <w:spacing w:after="0"/>
              <w:rPr>
                <w:sz w:val="19"/>
                <w:szCs w:val="19"/>
                <w:color w:val="auto"/>
              </w:rPr>
            </w:pPr>
          </w:p>
        </w:tc>
        <w:tc>
          <w:tcPr>
            <w:tcW w:w="1120" w:type="dxa"/>
            <w:vAlign w:val="bottom"/>
            <w:gridSpan w:val="3"/>
          </w:tcPr>
          <w:p>
            <w:pPr>
              <w:jc w:val="right"/>
              <w:spacing w:after="0" w:line="228" w:lineRule="exact"/>
              <w:rPr>
                <w:sz w:val="20"/>
                <w:szCs w:val="20"/>
                <w:color w:val="auto"/>
              </w:rPr>
            </w:pPr>
            <w:r>
              <w:rPr>
                <w:rFonts w:ascii="Arial" w:cs="Arial" w:eastAsia="Arial" w:hAnsi="Arial"/>
                <w:sz w:val="20"/>
                <w:szCs w:val="20"/>
                <w:color w:val="auto"/>
              </w:rPr>
              <w:t>7,320</w:t>
            </w:r>
          </w:p>
        </w:tc>
        <w:tc>
          <w:tcPr>
            <w:tcW w:w="80" w:type="dxa"/>
            <w:vAlign w:val="bottom"/>
          </w:tcPr>
          <w:p>
            <w:pPr>
              <w:spacing w:after="0"/>
              <w:rPr>
                <w:sz w:val="19"/>
                <w:szCs w:val="19"/>
                <w:color w:val="auto"/>
              </w:rPr>
            </w:pPr>
          </w:p>
        </w:tc>
        <w:tc>
          <w:tcPr>
            <w:tcW w:w="1160" w:type="dxa"/>
            <w:vAlign w:val="bottom"/>
            <w:gridSpan w:val="4"/>
          </w:tcPr>
          <w:p>
            <w:pPr>
              <w:jc w:val="right"/>
              <w:spacing w:after="0" w:line="228" w:lineRule="exact"/>
              <w:rPr>
                <w:sz w:val="20"/>
                <w:szCs w:val="20"/>
                <w:color w:val="auto"/>
              </w:rPr>
            </w:pPr>
            <w:r>
              <w:rPr>
                <w:rFonts w:ascii="Arial" w:cs="Arial" w:eastAsia="Arial" w:hAnsi="Arial"/>
                <w:sz w:val="20"/>
                <w:szCs w:val="20"/>
                <w:color w:val="auto"/>
              </w:rPr>
              <w:t>6,914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line="229" w:lineRule="exact"/>
              <w:rPr>
                <w:sz w:val="20"/>
                <w:szCs w:val="20"/>
                <w:color w:val="auto"/>
              </w:rPr>
            </w:pPr>
            <w:r>
              <w:rPr>
                <w:rFonts w:ascii="Arial" w:cs="Arial" w:eastAsia="Arial" w:hAnsi="Arial"/>
                <w:sz w:val="20"/>
                <w:szCs w:val="20"/>
                <w:color w:val="auto"/>
              </w:rPr>
              <w:t>Changes in assets and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line="229" w:lineRule="exact"/>
              <w:rPr>
                <w:sz w:val="20"/>
                <w:szCs w:val="20"/>
                <w:color w:val="auto"/>
              </w:rPr>
            </w:pPr>
            <w:r>
              <w:rPr>
                <w:rFonts w:ascii="Arial" w:cs="Arial" w:eastAsia="Arial" w:hAnsi="Arial"/>
                <w:sz w:val="20"/>
                <w:szCs w:val="20"/>
                <w:b w:val="1"/>
                <w:bCs w:val="1"/>
                <w:color w:val="auto"/>
              </w:rPr>
              <w:t>(68,821)</w:t>
            </w:r>
          </w:p>
        </w:tc>
        <w:tc>
          <w:tcPr>
            <w:tcW w:w="1200" w:type="dxa"/>
            <w:vAlign w:val="bottom"/>
            <w:gridSpan w:val="4"/>
          </w:tcPr>
          <w:p>
            <w:pPr>
              <w:jc w:val="right"/>
              <w:ind w:right="20"/>
              <w:spacing w:after="0" w:line="229" w:lineRule="exact"/>
              <w:rPr>
                <w:sz w:val="20"/>
                <w:szCs w:val="20"/>
                <w:color w:val="auto"/>
              </w:rPr>
            </w:pPr>
            <w:r>
              <w:rPr>
                <w:rFonts w:ascii="Arial" w:cs="Arial" w:eastAsia="Arial" w:hAnsi="Arial"/>
                <w:sz w:val="20"/>
                <w:szCs w:val="20"/>
                <w:color w:val="auto"/>
              </w:rPr>
              <w:t>(11,654)</w:t>
            </w:r>
          </w:p>
        </w:tc>
        <w:tc>
          <w:tcPr>
            <w:tcW w:w="1160" w:type="dxa"/>
            <w:vAlign w:val="bottom"/>
            <w:gridSpan w:val="4"/>
          </w:tcPr>
          <w:p>
            <w:pPr>
              <w:jc w:val="right"/>
              <w:spacing w:after="0" w:line="229" w:lineRule="exact"/>
              <w:rPr>
                <w:sz w:val="20"/>
                <w:szCs w:val="20"/>
                <w:color w:val="auto"/>
              </w:rPr>
            </w:pPr>
            <w:r>
              <w:rPr>
                <w:rFonts w:ascii="Arial" w:cs="Arial" w:eastAsia="Arial" w:hAnsi="Arial"/>
                <w:sz w:val="20"/>
                <w:szCs w:val="20"/>
                <w:color w:val="auto"/>
              </w:rPr>
              <w:t>15,671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20"/>
                <w:szCs w:val="20"/>
                <w:color w:val="auto"/>
              </w:rPr>
              <w:t>Gain on sale of building and land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(1,950)</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20"/>
                <w:szCs w:val="20"/>
                <w:color w:val="auto"/>
              </w:rPr>
              <w:t>Effect of deferred taxes on tax provision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(6,267)</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8,946</w:t>
            </w:r>
          </w:p>
        </w:tc>
        <w:tc>
          <w:tcPr>
            <w:tcW w:w="80" w:type="dxa"/>
            <w:vAlign w:val="bottom"/>
          </w:tcPr>
          <w:p>
            <w:pPr>
              <w:spacing w:after="0"/>
              <w:rPr>
                <w:sz w:val="20"/>
                <w:szCs w:val="20"/>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(3,041)</w:t>
            </w:r>
          </w:p>
        </w:tc>
        <w:tc>
          <w:tcPr>
            <w:tcW w:w="0" w:type="dxa"/>
            <w:vAlign w:val="bottom"/>
          </w:tcPr>
          <w:p>
            <w:pPr>
              <w:spacing w:after="0"/>
              <w:rPr>
                <w:sz w:val="1"/>
                <w:szCs w:val="1"/>
                <w:color w:val="auto"/>
              </w:rPr>
            </w:pPr>
          </w:p>
        </w:tc>
      </w:tr>
      <w:tr>
        <w:trPr>
          <w:trHeight w:val="220"/>
        </w:trPr>
        <w:tc>
          <w:tcPr>
            <w:tcW w:w="5740" w:type="dxa"/>
            <w:vAlign w:val="bottom"/>
          </w:tcPr>
          <w:p>
            <w:pPr>
              <w:ind w:left="180"/>
              <w:spacing w:after="0" w:line="220" w:lineRule="exact"/>
              <w:rPr>
                <w:sz w:val="20"/>
                <w:szCs w:val="20"/>
                <w:color w:val="auto"/>
              </w:rPr>
            </w:pPr>
            <w:r>
              <w:rPr>
                <w:rFonts w:ascii="Arial" w:cs="Arial" w:eastAsia="Arial" w:hAnsi="Arial"/>
                <w:sz w:val="20"/>
                <w:szCs w:val="20"/>
                <w:color w:val="auto"/>
              </w:rPr>
              <w:t>Net cash provided by operating activities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b w:val="1"/>
                <w:bCs w:val="1"/>
                <w:color w:val="auto"/>
              </w:rPr>
              <w:t>76,890</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94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135,275</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123,139</w:t>
            </w: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20"/>
                <w:szCs w:val="20"/>
                <w:color w:val="auto"/>
              </w:rPr>
              <w:t>Cash flows from investing activities: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Acquisition of businesses, net of cash acquired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(17,694)</w:t>
            </w:r>
          </w:p>
        </w:tc>
        <w:tc>
          <w:tcPr>
            <w:tcW w:w="1200" w:type="dxa"/>
            <w:vAlign w:val="bottom"/>
            <w:gridSpan w:val="4"/>
          </w:tcPr>
          <w:p>
            <w:pPr>
              <w:jc w:val="right"/>
              <w:ind w:right="20"/>
              <w:spacing w:after="0"/>
              <w:rPr>
                <w:sz w:val="20"/>
                <w:szCs w:val="20"/>
                <w:color w:val="auto"/>
              </w:rPr>
            </w:pPr>
            <w:r>
              <w:rPr>
                <w:rFonts w:ascii="Arial" w:cs="Arial" w:eastAsia="Arial" w:hAnsi="Arial"/>
                <w:sz w:val="20"/>
                <w:szCs w:val="20"/>
                <w:color w:val="auto"/>
              </w:rPr>
              <w:t>(10,906)</w:t>
            </w: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(168,903)</w:t>
            </w:r>
          </w:p>
        </w:tc>
        <w:tc>
          <w:tcPr>
            <w:tcW w:w="0" w:type="dxa"/>
            <w:vAlign w:val="bottom"/>
          </w:tcPr>
          <w:p>
            <w:pPr>
              <w:spacing w:after="0"/>
              <w:rPr>
                <w:sz w:val="1"/>
                <w:szCs w:val="1"/>
                <w:color w:val="auto"/>
              </w:rPr>
            </w:pPr>
          </w:p>
        </w:tc>
      </w:tr>
      <w:tr>
        <w:trPr>
          <w:trHeight w:val="226"/>
        </w:trPr>
        <w:tc>
          <w:tcPr>
            <w:tcW w:w="5740" w:type="dxa"/>
            <w:vAlign w:val="bottom"/>
          </w:tcPr>
          <w:p>
            <w:pPr>
              <w:ind w:left="180"/>
              <w:spacing w:after="0" w:line="227" w:lineRule="exact"/>
              <w:rPr>
                <w:sz w:val="20"/>
                <w:szCs w:val="20"/>
                <w:color w:val="auto"/>
              </w:rPr>
            </w:pPr>
            <w:r>
              <w:rPr>
                <w:rFonts w:ascii="Arial" w:cs="Arial" w:eastAsia="Arial" w:hAnsi="Arial"/>
                <w:sz w:val="20"/>
                <w:szCs w:val="20"/>
                <w:color w:val="auto"/>
              </w:rPr>
              <w:t>Capital expenditures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line="227" w:lineRule="exact"/>
              <w:rPr>
                <w:sz w:val="20"/>
                <w:szCs w:val="20"/>
                <w:color w:val="auto"/>
              </w:rPr>
            </w:pPr>
            <w:r>
              <w:rPr>
                <w:rFonts w:ascii="Arial" w:cs="Arial" w:eastAsia="Arial" w:hAnsi="Arial"/>
                <w:sz w:val="20"/>
                <w:szCs w:val="20"/>
                <w:b w:val="1"/>
                <w:bCs w:val="1"/>
                <w:color w:val="auto"/>
              </w:rPr>
              <w:t>(22,377)</w:t>
            </w:r>
          </w:p>
        </w:tc>
        <w:tc>
          <w:tcPr>
            <w:tcW w:w="1200" w:type="dxa"/>
            <w:vAlign w:val="bottom"/>
            <w:gridSpan w:val="4"/>
          </w:tcPr>
          <w:p>
            <w:pPr>
              <w:jc w:val="right"/>
              <w:ind w:right="20"/>
              <w:spacing w:after="0" w:line="227" w:lineRule="exact"/>
              <w:rPr>
                <w:sz w:val="20"/>
                <w:szCs w:val="20"/>
                <w:color w:val="auto"/>
              </w:rPr>
            </w:pPr>
            <w:r>
              <w:rPr>
                <w:rFonts w:ascii="Arial" w:cs="Arial" w:eastAsia="Arial" w:hAnsi="Arial"/>
                <w:sz w:val="20"/>
                <w:szCs w:val="20"/>
                <w:color w:val="auto"/>
              </w:rPr>
              <w:t>(32,101)</w:t>
            </w:r>
          </w:p>
        </w:tc>
        <w:tc>
          <w:tcPr>
            <w:tcW w:w="1240" w:type="dxa"/>
            <w:vAlign w:val="bottom"/>
            <w:gridSpan w:val="5"/>
          </w:tcPr>
          <w:p>
            <w:pPr>
              <w:jc w:val="right"/>
              <w:ind w:right="40"/>
              <w:spacing w:after="0" w:line="227" w:lineRule="exact"/>
              <w:rPr>
                <w:sz w:val="20"/>
                <w:szCs w:val="20"/>
                <w:color w:val="auto"/>
              </w:rPr>
            </w:pPr>
            <w:r>
              <w:rPr>
                <w:rFonts w:ascii="Arial" w:cs="Arial" w:eastAsia="Arial" w:hAnsi="Arial"/>
                <w:sz w:val="20"/>
                <w:szCs w:val="20"/>
                <w:color w:val="auto"/>
              </w:rPr>
              <w:t>(26,705)</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Additions to capitalized software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(12,397)</w:t>
            </w:r>
          </w:p>
        </w:tc>
        <w:tc>
          <w:tcPr>
            <w:tcW w:w="1200" w:type="dxa"/>
            <w:vAlign w:val="bottom"/>
            <w:gridSpan w:val="4"/>
          </w:tcPr>
          <w:p>
            <w:pPr>
              <w:jc w:val="right"/>
              <w:ind w:right="20"/>
              <w:spacing w:after="0"/>
              <w:rPr>
                <w:sz w:val="20"/>
                <w:szCs w:val="20"/>
                <w:color w:val="auto"/>
              </w:rPr>
            </w:pPr>
            <w:r>
              <w:rPr>
                <w:rFonts w:ascii="Arial" w:cs="Arial" w:eastAsia="Arial" w:hAnsi="Arial"/>
                <w:sz w:val="20"/>
                <w:szCs w:val="20"/>
                <w:color w:val="auto"/>
              </w:rPr>
              <w:t>(12,912)</w:t>
            </w: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(8,783)</w:t>
            </w:r>
          </w:p>
        </w:tc>
        <w:tc>
          <w:tcPr>
            <w:tcW w:w="0" w:type="dxa"/>
            <w:vAlign w:val="bottom"/>
          </w:tcPr>
          <w:p>
            <w:pPr>
              <w:spacing w:after="0"/>
              <w:rPr>
                <w:sz w:val="1"/>
                <w:szCs w:val="1"/>
                <w:color w:val="auto"/>
              </w:rPr>
            </w:pPr>
          </w:p>
        </w:tc>
      </w:tr>
      <w:tr>
        <w:trPr>
          <w:trHeight w:val="250"/>
        </w:trPr>
        <w:tc>
          <w:tcPr>
            <w:tcW w:w="5740" w:type="dxa"/>
            <w:vAlign w:val="bottom"/>
          </w:tcPr>
          <w:p>
            <w:pPr>
              <w:ind w:left="180"/>
              <w:spacing w:after="0"/>
              <w:rPr>
                <w:sz w:val="20"/>
                <w:szCs w:val="20"/>
                <w:color w:val="auto"/>
              </w:rPr>
            </w:pPr>
            <w:r>
              <w:rPr>
                <w:rFonts w:ascii="Arial" w:cs="Arial" w:eastAsia="Arial" w:hAnsi="Arial"/>
                <w:sz w:val="20"/>
                <w:szCs w:val="20"/>
                <w:color w:val="auto"/>
              </w:rPr>
              <w:t>Proceeds from sale of building and land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1,950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Net cash used by investing activities</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(52,468)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(55,919)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auto"/>
              </w:rPr>
              <w:t>(202,441)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40" w:type="dxa"/>
            <w:vAlign w:val="bottom"/>
          </w:tcPr>
          <w:p>
            <w:pPr>
              <w:spacing w:after="0" w:line="229" w:lineRule="exact"/>
              <w:rPr>
                <w:sz w:val="20"/>
                <w:szCs w:val="20"/>
                <w:color w:val="auto"/>
              </w:rPr>
            </w:pPr>
            <w:r>
              <w:rPr>
                <w:rFonts w:ascii="Arial" w:cs="Arial" w:eastAsia="Arial" w:hAnsi="Arial"/>
                <w:sz w:val="20"/>
                <w:szCs w:val="20"/>
                <w:color w:val="auto"/>
              </w:rPr>
              <w:t>Cash flows from financing activities: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Proceeds from long-term 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103,000</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100,000</w:t>
            </w:r>
          </w:p>
        </w:tc>
        <w:tc>
          <w:tcPr>
            <w:tcW w:w="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216,000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40" w:type="dxa"/>
            <w:vAlign w:val="bottom"/>
          </w:tcPr>
          <w:p>
            <w:pPr>
              <w:ind w:left="180"/>
              <w:spacing w:after="0"/>
              <w:rPr>
                <w:sz w:val="20"/>
                <w:szCs w:val="20"/>
                <w:color w:val="auto"/>
              </w:rPr>
            </w:pPr>
            <w:r>
              <w:rPr>
                <w:rFonts w:ascii="Arial" w:cs="Arial" w:eastAsia="Arial" w:hAnsi="Arial"/>
                <w:sz w:val="20"/>
                <w:szCs w:val="20"/>
                <w:color w:val="auto"/>
              </w:rPr>
              <w:t>Principal payments on long-term debt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w w:val="98"/>
              </w:rPr>
              <w:t>(154,000)</w:t>
            </w:r>
          </w:p>
        </w:tc>
        <w:tc>
          <w:tcPr>
            <w:tcW w:w="1200" w:type="dxa"/>
            <w:vAlign w:val="bottom"/>
            <w:gridSpan w:val="4"/>
          </w:tcPr>
          <w:p>
            <w:pPr>
              <w:jc w:val="right"/>
              <w:ind w:right="20"/>
              <w:spacing w:after="0"/>
              <w:rPr>
                <w:sz w:val="20"/>
                <w:szCs w:val="20"/>
                <w:color w:val="auto"/>
              </w:rPr>
            </w:pPr>
            <w:r>
              <w:rPr>
                <w:rFonts w:ascii="Arial" w:cs="Arial" w:eastAsia="Arial" w:hAnsi="Arial"/>
                <w:sz w:val="20"/>
                <w:szCs w:val="20"/>
                <w:color w:val="auto"/>
              </w:rPr>
              <w:t>(101,000)</w:t>
            </w: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(124,368)</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line="229" w:lineRule="exact"/>
              <w:rPr>
                <w:sz w:val="20"/>
                <w:szCs w:val="20"/>
                <w:color w:val="auto"/>
              </w:rPr>
            </w:pPr>
            <w:r>
              <w:rPr>
                <w:rFonts w:ascii="Arial" w:cs="Arial" w:eastAsia="Arial" w:hAnsi="Arial"/>
                <w:sz w:val="20"/>
                <w:szCs w:val="20"/>
                <w:color w:val="auto"/>
              </w:rPr>
              <w:t>Dividends paid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line="229" w:lineRule="exact"/>
              <w:rPr>
                <w:sz w:val="20"/>
                <w:szCs w:val="20"/>
                <w:color w:val="auto"/>
              </w:rPr>
            </w:pPr>
            <w:r>
              <w:rPr>
                <w:rFonts w:ascii="Arial" w:cs="Arial" w:eastAsia="Arial" w:hAnsi="Arial"/>
                <w:sz w:val="20"/>
                <w:szCs w:val="20"/>
                <w:b w:val="1"/>
                <w:bCs w:val="1"/>
                <w:color w:val="auto"/>
              </w:rPr>
              <w:t>(8,252)</w:t>
            </w:r>
          </w:p>
        </w:tc>
        <w:tc>
          <w:tcPr>
            <w:tcW w:w="1200" w:type="dxa"/>
            <w:vAlign w:val="bottom"/>
            <w:gridSpan w:val="4"/>
          </w:tcPr>
          <w:p>
            <w:pPr>
              <w:jc w:val="right"/>
              <w:ind w:right="20"/>
              <w:spacing w:after="0" w:line="229" w:lineRule="exact"/>
              <w:rPr>
                <w:sz w:val="20"/>
                <w:szCs w:val="20"/>
                <w:color w:val="auto"/>
              </w:rPr>
            </w:pPr>
            <w:r>
              <w:rPr>
                <w:rFonts w:ascii="Arial" w:cs="Arial" w:eastAsia="Arial" w:hAnsi="Arial"/>
                <w:sz w:val="20"/>
                <w:szCs w:val="20"/>
                <w:color w:val="auto"/>
              </w:rPr>
              <w:t>(8,268)</w:t>
            </w:r>
          </w:p>
        </w:tc>
        <w:tc>
          <w:tcPr>
            <w:tcW w:w="1240" w:type="dxa"/>
            <w:vAlign w:val="bottom"/>
            <w:gridSpan w:val="5"/>
          </w:tcPr>
          <w:p>
            <w:pPr>
              <w:jc w:val="right"/>
              <w:ind w:right="40"/>
              <w:spacing w:after="0" w:line="229" w:lineRule="exact"/>
              <w:rPr>
                <w:sz w:val="20"/>
                <w:szCs w:val="20"/>
                <w:color w:val="auto"/>
              </w:rPr>
            </w:pPr>
            <w:r>
              <w:rPr>
                <w:rFonts w:ascii="Arial" w:cs="Arial" w:eastAsia="Arial" w:hAnsi="Arial"/>
                <w:sz w:val="20"/>
                <w:szCs w:val="20"/>
                <w:color w:val="auto"/>
              </w:rPr>
              <w:t>(8,336)</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Purchases of common stock into treasury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(12,401)</w:t>
            </w:r>
          </w:p>
        </w:tc>
        <w:tc>
          <w:tcPr>
            <w:tcW w:w="1200" w:type="dxa"/>
            <w:vAlign w:val="bottom"/>
            <w:gridSpan w:val="4"/>
          </w:tcPr>
          <w:p>
            <w:pPr>
              <w:jc w:val="right"/>
              <w:ind w:right="20"/>
              <w:spacing w:after="0"/>
              <w:rPr>
                <w:sz w:val="20"/>
                <w:szCs w:val="20"/>
                <w:color w:val="auto"/>
              </w:rPr>
            </w:pPr>
            <w:r>
              <w:rPr>
                <w:rFonts w:ascii="Arial" w:cs="Arial" w:eastAsia="Arial" w:hAnsi="Arial"/>
                <w:sz w:val="20"/>
                <w:szCs w:val="20"/>
                <w:color w:val="auto"/>
              </w:rPr>
              <w:t>(19,878)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Debt issuance costs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(1,826)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740" w:type="dxa"/>
            <w:vAlign w:val="bottom"/>
          </w:tcPr>
          <w:p>
            <w:pPr>
              <w:ind w:left="180"/>
              <w:spacing w:after="0"/>
              <w:rPr>
                <w:sz w:val="20"/>
                <w:szCs w:val="20"/>
                <w:color w:val="auto"/>
              </w:rPr>
            </w:pPr>
            <w:r>
              <w:rPr>
                <w:rFonts w:ascii="Arial" w:cs="Arial" w:eastAsia="Arial" w:hAnsi="Arial"/>
                <w:sz w:val="20"/>
                <w:szCs w:val="20"/>
                <w:color w:val="auto"/>
              </w:rPr>
              <w:t>Other</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(4,851)</w:t>
            </w:r>
          </w:p>
        </w:tc>
        <w:tc>
          <w:tcPr>
            <w:tcW w:w="1200" w:type="dxa"/>
            <w:vAlign w:val="bottom"/>
            <w:gridSpan w:val="4"/>
          </w:tcPr>
          <w:p>
            <w:pPr>
              <w:jc w:val="right"/>
              <w:ind w:right="20"/>
              <w:spacing w:after="0"/>
              <w:rPr>
                <w:sz w:val="20"/>
                <w:szCs w:val="20"/>
                <w:color w:val="auto"/>
              </w:rPr>
            </w:pPr>
            <w:r>
              <w:rPr>
                <w:rFonts w:ascii="Arial" w:cs="Arial" w:eastAsia="Arial" w:hAnsi="Arial"/>
                <w:sz w:val="20"/>
                <w:szCs w:val="20"/>
                <w:color w:val="auto"/>
              </w:rPr>
              <w:t>(2,976)</w:t>
            </w: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(1,823)</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80"/>
              <w:spacing w:after="0"/>
              <w:rPr>
                <w:sz w:val="20"/>
                <w:szCs w:val="20"/>
                <w:color w:val="auto"/>
              </w:rPr>
            </w:pPr>
            <w:r>
              <w:rPr>
                <w:rFonts w:ascii="Arial" w:cs="Arial" w:eastAsia="Arial" w:hAnsi="Arial"/>
                <w:sz w:val="20"/>
                <w:szCs w:val="20"/>
                <w:color w:val="auto"/>
              </w:rPr>
              <w:t>Net cash (used) provided by financing activities</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(78,330)</w:t>
            </w:r>
          </w:p>
        </w:tc>
        <w:tc>
          <w:tcPr>
            <w:tcW w:w="14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(32,122)</w:t>
            </w:r>
          </w:p>
        </w:tc>
        <w:tc>
          <w:tcPr>
            <w:tcW w:w="80" w:type="dxa"/>
            <w:vAlign w:val="bottom"/>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81,473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20"/>
                <w:szCs w:val="20"/>
                <w:color w:val="auto"/>
              </w:rPr>
              <w:t>Effect of exchange rate changes on cash and cash equivalents</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(1,950)</w:t>
            </w:r>
          </w:p>
        </w:tc>
        <w:tc>
          <w:tcPr>
            <w:tcW w:w="14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(5,742)</w:t>
            </w:r>
          </w:p>
        </w:tc>
        <w:tc>
          <w:tcPr>
            <w:tcW w:w="80" w:type="dxa"/>
            <w:vAlign w:val="bottom"/>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1,501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Net (decrease) increase in cash and cash equivalents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(55,858)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41,492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auto"/>
              </w:rPr>
              <w:t>3,672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40" w:type="dxa"/>
            <w:vAlign w:val="bottom"/>
          </w:tcPr>
          <w:p>
            <w:pPr>
              <w:spacing w:after="0"/>
              <w:rPr>
                <w:sz w:val="20"/>
                <w:szCs w:val="20"/>
                <w:color w:val="auto"/>
              </w:rPr>
            </w:pPr>
            <w:r>
              <w:rPr>
                <w:rFonts w:ascii="Arial" w:cs="Arial" w:eastAsia="Arial" w:hAnsi="Arial"/>
                <w:sz w:val="20"/>
                <w:szCs w:val="20"/>
                <w:color w:val="auto"/>
              </w:rPr>
              <w:t>Cash and cash equivalents at beginning of year</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97,724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56,232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52,560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Cash and cash equivalents at end of year</w:t>
            </w:r>
          </w:p>
        </w:tc>
        <w:tc>
          <w:tcPr>
            <w:tcW w:w="30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41,866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97,724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56,232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20"/>
                <w:szCs w:val="20"/>
                <w:color w:val="auto"/>
              </w:rPr>
              <w:t>Changes in assets and liabilities:</w:t>
            </w: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740" w:type="dxa"/>
            <w:vAlign w:val="bottom"/>
          </w:tcPr>
          <w:p>
            <w:pPr>
              <w:ind w:left="180"/>
              <w:spacing w:after="0" w:line="226" w:lineRule="exact"/>
              <w:rPr>
                <w:sz w:val="20"/>
                <w:szCs w:val="20"/>
                <w:color w:val="auto"/>
              </w:rPr>
            </w:pPr>
            <w:r>
              <w:rPr>
                <w:rFonts w:ascii="Arial" w:cs="Arial" w:eastAsia="Arial" w:hAnsi="Arial"/>
                <w:sz w:val="20"/>
                <w:szCs w:val="20"/>
                <w:color w:val="auto"/>
              </w:rPr>
              <w:t>Accounts receivable, net</w:t>
            </w:r>
          </w:p>
        </w:tc>
        <w:tc>
          <w:tcPr>
            <w:tcW w:w="300" w:type="dxa"/>
            <w:vAlign w:val="bottom"/>
            <w:gridSpan w:val="2"/>
          </w:tcPr>
          <w:p>
            <w:pPr>
              <w:jc w:val="right"/>
              <w:ind w:right="140"/>
              <w:spacing w:after="0" w:line="226" w:lineRule="exact"/>
              <w:rPr>
                <w:sz w:val="20"/>
                <w:szCs w:val="20"/>
                <w:color w:val="auto"/>
              </w:rPr>
            </w:pPr>
            <w:r>
              <w:rPr>
                <w:rFonts w:ascii="Arial" w:cs="Arial" w:eastAsia="Arial" w:hAnsi="Arial"/>
                <w:sz w:val="20"/>
                <w:szCs w:val="20"/>
                <w:b w:val="1"/>
                <w:bCs w:val="1"/>
                <w:color w:val="auto"/>
              </w:rPr>
              <w:t>$</w:t>
            </w:r>
          </w:p>
        </w:tc>
        <w:tc>
          <w:tcPr>
            <w:tcW w:w="880" w:type="dxa"/>
            <w:vAlign w:val="bottom"/>
            <w:gridSpan w:val="2"/>
          </w:tcPr>
          <w:p>
            <w:pPr>
              <w:jc w:val="right"/>
              <w:ind w:right="20"/>
              <w:spacing w:after="0" w:line="226" w:lineRule="exact"/>
              <w:rPr>
                <w:sz w:val="20"/>
                <w:szCs w:val="20"/>
                <w:color w:val="auto"/>
              </w:rPr>
            </w:pPr>
            <w:r>
              <w:rPr>
                <w:rFonts w:ascii="Arial" w:cs="Arial" w:eastAsia="Arial" w:hAnsi="Arial"/>
                <w:sz w:val="20"/>
                <w:szCs w:val="20"/>
                <w:b w:val="1"/>
                <w:bCs w:val="1"/>
                <w:color w:val="auto"/>
              </w:rPr>
              <w:t>(32,151)</w:t>
            </w:r>
          </w:p>
        </w:tc>
        <w:tc>
          <w:tcPr>
            <w:tcW w:w="1200" w:type="dxa"/>
            <w:vAlign w:val="bottom"/>
            <w:gridSpan w:val="4"/>
          </w:tcPr>
          <w:p>
            <w:pPr>
              <w:jc w:val="right"/>
              <w:ind w:right="20"/>
              <w:spacing w:after="0" w:line="226" w:lineRule="exact"/>
              <w:rPr>
                <w:sz w:val="20"/>
                <w:szCs w:val="20"/>
                <w:color w:val="auto"/>
              </w:rPr>
            </w:pPr>
            <w:r>
              <w:rPr>
                <w:rFonts w:ascii="Arial" w:cs="Arial" w:eastAsia="Arial" w:hAnsi="Arial"/>
                <w:sz w:val="20"/>
                <w:szCs w:val="20"/>
                <w:color w:val="auto"/>
              </w:rPr>
              <w:t>(17,676)</w:t>
            </w:r>
          </w:p>
        </w:tc>
        <w:tc>
          <w:tcPr>
            <w:tcW w:w="1160" w:type="dxa"/>
            <w:vAlign w:val="bottom"/>
            <w:gridSpan w:val="4"/>
          </w:tcPr>
          <w:p>
            <w:pPr>
              <w:jc w:val="right"/>
              <w:spacing w:after="0" w:line="226" w:lineRule="exact"/>
              <w:rPr>
                <w:sz w:val="20"/>
                <w:szCs w:val="20"/>
                <w:color w:val="auto"/>
              </w:rPr>
            </w:pPr>
            <w:r>
              <w:rPr>
                <w:rFonts w:ascii="Arial" w:cs="Arial" w:eastAsia="Arial" w:hAnsi="Arial"/>
                <w:sz w:val="20"/>
                <w:szCs w:val="20"/>
                <w:color w:val="auto"/>
              </w:rPr>
              <w:t>11,266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Contract assets and liabilities, net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(26,025)</w:t>
            </w:r>
          </w:p>
        </w:tc>
        <w:tc>
          <w:tcPr>
            <w:tcW w:w="1200" w:type="dxa"/>
            <w:vAlign w:val="bottom"/>
            <w:gridSpan w:val="4"/>
          </w:tcPr>
          <w:p>
            <w:pPr>
              <w:jc w:val="right"/>
              <w:ind w:right="20"/>
              <w:spacing w:after="0"/>
              <w:rPr>
                <w:sz w:val="20"/>
                <w:szCs w:val="20"/>
                <w:color w:val="auto"/>
              </w:rPr>
            </w:pPr>
            <w:r>
              <w:rPr>
                <w:rFonts w:ascii="Arial" w:cs="Arial" w:eastAsia="Arial" w:hAnsi="Arial"/>
                <w:sz w:val="20"/>
                <w:szCs w:val="20"/>
                <w:color w:val="auto"/>
              </w:rPr>
              <w:t>(12,419)</w:t>
            </w: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8,794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40" w:type="dxa"/>
            <w:vAlign w:val="bottom"/>
          </w:tcPr>
          <w:p>
            <w:pPr>
              <w:ind w:left="180"/>
              <w:spacing w:after="0"/>
              <w:rPr>
                <w:sz w:val="20"/>
                <w:szCs w:val="20"/>
                <w:color w:val="auto"/>
              </w:rPr>
            </w:pPr>
            <w:r>
              <w:rPr>
                <w:rFonts w:ascii="Arial" w:cs="Arial" w:eastAsia="Arial" w:hAnsi="Arial"/>
                <w:sz w:val="20"/>
                <w:szCs w:val="20"/>
                <w:color w:val="auto"/>
              </w:rPr>
              <w:t>Inventories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(18,466)</w:t>
            </w:r>
          </w:p>
        </w:tc>
        <w:tc>
          <w:tcPr>
            <w:tcW w:w="1200" w:type="dxa"/>
            <w:vAlign w:val="bottom"/>
            <w:gridSpan w:val="4"/>
          </w:tcPr>
          <w:p>
            <w:pPr>
              <w:jc w:val="right"/>
              <w:ind w:right="20"/>
              <w:spacing w:after="0"/>
              <w:rPr>
                <w:sz w:val="20"/>
                <w:szCs w:val="20"/>
                <w:color w:val="auto"/>
              </w:rPr>
            </w:pPr>
            <w:r>
              <w:rPr>
                <w:rFonts w:ascii="Arial" w:cs="Arial" w:eastAsia="Arial" w:hAnsi="Arial"/>
                <w:sz w:val="20"/>
                <w:szCs w:val="20"/>
                <w:color w:val="auto"/>
              </w:rPr>
              <w:t>(13,788)</w:t>
            </w: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612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Other assets and 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434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9,412</w:t>
            </w:r>
          </w:p>
        </w:tc>
        <w:tc>
          <w:tcPr>
            <w:tcW w:w="80" w:type="dxa"/>
            <w:vAlign w:val="bottom"/>
          </w:tcPr>
          <w:p>
            <w:pPr>
              <w:spacing w:after="0"/>
              <w:rPr>
                <w:sz w:val="20"/>
                <w:szCs w:val="20"/>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(477)</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7,045</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21,985</w:t>
            </w:r>
          </w:p>
        </w:tc>
        <w:tc>
          <w:tcPr>
            <w:tcW w:w="80" w:type="dxa"/>
            <w:vAlign w:val="bottom"/>
          </w:tcPr>
          <w:p>
            <w:pPr>
              <w:spacing w:after="0"/>
              <w:rPr>
                <w:sz w:val="20"/>
                <w:szCs w:val="20"/>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(688)</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342</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832</w:t>
            </w:r>
          </w:p>
        </w:tc>
        <w:tc>
          <w:tcPr>
            <w:tcW w:w="80" w:type="dxa"/>
            <w:vAlign w:val="bottom"/>
          </w:tcPr>
          <w:p>
            <w:pPr>
              <w:spacing w:after="0"/>
              <w:rPr>
                <w:sz w:val="20"/>
                <w:szCs w:val="20"/>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20"/>
                <w:szCs w:val="20"/>
                <w:color w:val="auto"/>
              </w:rPr>
              <w:t>(3,836)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19"/>
                <w:szCs w:val="19"/>
                <w:color w:val="auto"/>
              </w:rPr>
            </w:pPr>
          </w:p>
        </w:tc>
        <w:tc>
          <w:tcPr>
            <w:tcW w:w="300" w:type="dxa"/>
            <w:vAlign w:val="bottom"/>
            <w:gridSpan w:val="2"/>
          </w:tcPr>
          <w:p>
            <w:pPr>
              <w:jc w:val="right"/>
              <w:ind w:right="140"/>
              <w:spacing w:after="0" w:line="229" w:lineRule="exact"/>
              <w:rPr>
                <w:sz w:val="20"/>
                <w:szCs w:val="20"/>
                <w:color w:val="auto"/>
              </w:rPr>
            </w:pPr>
            <w:r>
              <w:rPr>
                <w:rFonts w:ascii="Arial" w:cs="Arial" w:eastAsia="Arial" w:hAnsi="Arial"/>
                <w:sz w:val="20"/>
                <w:szCs w:val="20"/>
                <w:b w:val="1"/>
                <w:bCs w:val="1"/>
                <w:color w:val="auto"/>
              </w:rPr>
              <w:t>$</w:t>
            </w:r>
          </w:p>
        </w:tc>
        <w:tc>
          <w:tcPr>
            <w:tcW w:w="880" w:type="dxa"/>
            <w:vAlign w:val="bottom"/>
            <w:gridSpan w:val="2"/>
          </w:tcPr>
          <w:p>
            <w:pPr>
              <w:jc w:val="right"/>
              <w:ind w:right="20"/>
              <w:spacing w:after="0" w:line="229" w:lineRule="exact"/>
              <w:rPr>
                <w:sz w:val="20"/>
                <w:szCs w:val="20"/>
                <w:color w:val="auto"/>
              </w:rPr>
            </w:pPr>
            <w:r>
              <w:rPr>
                <w:rFonts w:ascii="Arial" w:cs="Arial" w:eastAsia="Arial" w:hAnsi="Arial"/>
                <w:sz w:val="20"/>
                <w:szCs w:val="20"/>
                <w:b w:val="1"/>
                <w:bCs w:val="1"/>
                <w:color w:val="auto"/>
              </w:rPr>
              <w:t>(68,821)</w:t>
            </w:r>
          </w:p>
        </w:tc>
        <w:tc>
          <w:tcPr>
            <w:tcW w:w="140" w:type="dxa"/>
            <w:vAlign w:val="bottom"/>
          </w:tcPr>
          <w:p>
            <w:pPr>
              <w:spacing w:after="0"/>
              <w:rPr>
                <w:sz w:val="19"/>
                <w:szCs w:val="19"/>
                <w:color w:val="auto"/>
              </w:rPr>
            </w:pPr>
          </w:p>
        </w:tc>
        <w:tc>
          <w:tcPr>
            <w:tcW w:w="98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(11,654)</w:t>
            </w:r>
          </w:p>
        </w:tc>
        <w:tc>
          <w:tcPr>
            <w:tcW w:w="8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color w:val="auto"/>
              </w:rPr>
              <w:t>15,671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20"/>
                <w:szCs w:val="20"/>
                <w:color w:val="auto"/>
              </w:rPr>
              <w:t>Supplemental cash flow information:</w:t>
            </w: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40" w:type="dxa"/>
            <w:vAlign w:val="bottom"/>
            <w:vMerge w:val="continue"/>
          </w:tcPr>
          <w:p>
            <w:pPr>
              <w:spacing w:after="0"/>
              <w:rPr>
                <w:sz w:val="18"/>
                <w:szCs w:val="18"/>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20"/>
                <w:szCs w:val="20"/>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8,662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40" w:type="dxa"/>
            <w:vAlign w:val="bottom"/>
          </w:tcPr>
          <w:p>
            <w:pPr>
              <w:ind w:left="180"/>
              <w:spacing w:after="0"/>
              <w:rPr>
                <w:sz w:val="20"/>
                <w:szCs w:val="20"/>
                <w:color w:val="auto"/>
              </w:rPr>
            </w:pPr>
            <w:r>
              <w:rPr>
                <w:rFonts w:ascii="Arial" w:cs="Arial" w:eastAsia="Arial" w:hAnsi="Arial"/>
                <w:sz w:val="20"/>
                <w:szCs w:val="20"/>
                <w:color w:val="auto"/>
              </w:rPr>
              <w:t>Interest paid</w:t>
            </w:r>
          </w:p>
        </w:tc>
        <w:tc>
          <w:tcPr>
            <w:tcW w:w="3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2,835</w:t>
            </w:r>
          </w:p>
        </w:tc>
        <w:tc>
          <w:tcPr>
            <w:tcW w:w="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590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20"/>
                <w:szCs w:val="20"/>
                <w:color w:val="auto"/>
              </w:rPr>
              <w:t>Income taxes paid (including state &amp; foreign)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30,244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9,856</w:t>
            </w:r>
          </w:p>
        </w:tc>
        <w:tc>
          <w:tcPr>
            <w:tcW w:w="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26,054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F-10</w:t>
      </w:r>
    </w:p>
    <w:p>
      <w:pPr>
        <w:sectPr>
          <w:pgSz w:w="12240" w:h="15840" w:orient="portrait"/>
          <w:cols w:equalWidth="0" w:num="1">
            <w:col w:w="9360"/>
          </w:cols>
          <w:pgMar w:left="1440" w:top="1435" w:right="1440" w:bottom="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36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tab/>
        <w:t>Summary of Significant Accounting Policies</w:t>
      </w:r>
    </w:p>
    <w:p>
      <w:pPr>
        <w:spacing w:after="0" w:line="24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A.</w:t>
        <w:tab/>
        <w:t>Principles of Consolidation</w:t>
      </w:r>
    </w:p>
    <w:p>
      <w:pPr>
        <w:spacing w:after="0" w:line="12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ESCO Technologies Inc. (ESCO) and its wholly owned subsidiaries. Except where the context indicates otherwise, t</w:t>
      </w:r>
      <w:r>
        <w:rPr>
          <w:rFonts w:ascii="Arial" w:cs="Arial" w:eastAsia="Arial" w:hAnsi="Arial"/>
          <w:sz w:val="20"/>
          <w:szCs w:val="20"/>
          <w:color w:val="auto"/>
        </w:rPr>
        <w:t>he terms “Company”, “we”, “our” and “us” are</w:t>
      </w:r>
      <w:r>
        <w:rPr>
          <w:rFonts w:ascii="Times New Roman" w:cs="Times New Roman" w:eastAsia="Times New Roman" w:hAnsi="Times New Roman"/>
          <w:sz w:val="20"/>
          <w:szCs w:val="20"/>
          <w:color w:val="auto"/>
        </w:rPr>
        <w:t xml:space="preserve"> used in this report to refer to ESCO together with its subsidiaries through which its businesses are conducted. All significant intercompany transactions and accounts have been eliminated in consolidation.</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B.</w:t>
        <w:tab/>
        <w:t>Basis of Presentation</w:t>
      </w:r>
    </w:p>
    <w:p>
      <w:pPr>
        <w:spacing w:after="0" w:line="5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 xml:space="preserve">Our fiscal year ends on September 30. Throughout the Consolidated Financial Statements, unless the context indicates otherwise, references to a year (for example 2023) refer to fiscal year ending on September 30 of that year. Certain items have been reclassified in the prior year financial statements to conform to the presentation and </w:t>
      </w:r>
      <w:r>
        <w:rPr>
          <w:rFonts w:ascii="Arial" w:cs="Arial" w:eastAsia="Arial" w:hAnsi="Arial"/>
          <w:sz w:val="20"/>
          <w:szCs w:val="20"/>
          <w:color w:val="auto"/>
        </w:rPr>
        <w:t xml:space="preserve">classifications used in the current year. These reclassifications have no effect on the Company’s consolidated </w:t>
      </w:r>
      <w:r>
        <w:rPr>
          <w:rFonts w:ascii="Times New Roman" w:cs="Times New Roman" w:eastAsia="Times New Roman" w:hAnsi="Times New Roman"/>
          <w:sz w:val="20"/>
          <w:szCs w:val="20"/>
          <w:color w:val="auto"/>
        </w:rPr>
        <w:t>results, financial position or cash flows.</w:t>
      </w:r>
    </w:p>
    <w:p>
      <w:pPr>
        <w:spacing w:after="0" w:line="2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C.</w:t>
      </w:r>
      <w:r>
        <w:rPr>
          <w:sz w:val="20"/>
          <w:szCs w:val="20"/>
          <w:color w:val="auto"/>
        </w:rPr>
        <w:tab/>
      </w:r>
      <w:r>
        <w:rPr>
          <w:rFonts w:ascii="Times New Roman" w:cs="Times New Roman" w:eastAsia="Times New Roman" w:hAnsi="Times New Roman"/>
          <w:sz w:val="19"/>
          <w:szCs w:val="19"/>
          <w:b w:val="1"/>
          <w:bCs w:val="1"/>
          <w:color w:val="auto"/>
        </w:rPr>
        <w:t>Nature of Operations</w:t>
      </w:r>
    </w:p>
    <w:p>
      <w:pPr>
        <w:spacing w:after="0" w:line="12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0"/>
          <w:szCs w:val="20"/>
          <w:color w:val="auto"/>
        </w:rPr>
        <w:t>We are organized based on the products and services we offer and we currently classify our business operations in three segments for financial reporting purposes: Aerospace &amp; Defense (A&amp;D), Utility Solutions Group (USG), and RF Test &amp; Measurement, formerly called RF Shielding and Test (Test).</w:t>
      </w:r>
    </w:p>
    <w:p>
      <w:pPr>
        <w:spacing w:after="0" w:line="1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A&amp;D: </w:t>
      </w:r>
      <w:r>
        <w:rPr>
          <w:rFonts w:ascii="Times New Roman" w:cs="Times New Roman" w:eastAsia="Times New Roman" w:hAnsi="Times New Roman"/>
          <w:sz w:val="20"/>
          <w:szCs w:val="20"/>
          <w:color w:val="auto"/>
        </w:rPr>
        <w:t>The companies within this segment primarily design and manufacture specialty filtration products, including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 xml:space="preserve">hydraulic filter elements and fluid control devices used in commercial aerospace applications; unique filter mechanisms used in micro-propulsion devices for satellites; custom designed filters for manned aircraft and submarines; products and systems to reduce vibration and/or acoustic signatures and otherwise reduce or obscure a </w:t>
      </w:r>
      <w:r>
        <w:rPr>
          <w:rFonts w:ascii="Arial" w:cs="Arial" w:eastAsia="Arial" w:hAnsi="Arial"/>
          <w:sz w:val="20"/>
          <w:szCs w:val="20"/>
          <w:color w:val="auto"/>
        </w:rPr>
        <w:t xml:space="preserve">vessel’s signature, </w:t>
      </w:r>
      <w:r>
        <w:rPr>
          <w:rFonts w:ascii="Times New Roman" w:cs="Times New Roman" w:eastAsia="Times New Roman" w:hAnsi="Times New Roman"/>
          <w:sz w:val="20"/>
          <w:szCs w:val="20"/>
          <w:color w:val="auto"/>
        </w:rPr>
        <w:t>and other communications, sealing, surface control and hydrodynamic related applications to</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enhance U.S. Navy maritime survivability; precision-tolerance machined components for the aerospace and defense industry; and metal processing services; and miniature electro-explosive devices for military aircraft ejection seats and missile arming devices.</w:t>
      </w:r>
    </w:p>
    <w:p>
      <w:pPr>
        <w:spacing w:after="0" w:line="131"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b w:val="1"/>
          <w:bCs w:val="1"/>
          <w:i w:val="1"/>
          <w:iCs w:val="1"/>
          <w:color w:val="auto"/>
        </w:rPr>
        <w:t xml:space="preserve">USG: </w:t>
      </w:r>
      <w:r>
        <w:rPr>
          <w:rFonts w:ascii="Times New Roman" w:cs="Times New Roman" w:eastAsia="Times New Roman" w:hAnsi="Times New Roman"/>
          <w:sz w:val="20"/>
          <w:szCs w:val="20"/>
          <w:color w:val="auto"/>
        </w:rPr>
        <w:t>The companies within this segment provide diagnostic testing solutions that enable electric power grid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operators to assess the integrity of high-voltage power delivery equipment, as well as decision support tools for the renewable energy industry, primarily wind and solar.</w:t>
      </w:r>
    </w:p>
    <w:p>
      <w:pPr>
        <w:spacing w:after="0" w:line="131"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b w:val="1"/>
          <w:bCs w:val="1"/>
          <w:i w:val="1"/>
          <w:iCs w:val="1"/>
          <w:color w:val="auto"/>
        </w:rPr>
        <w:t xml:space="preserve">Test: </w:t>
      </w:r>
      <w:r>
        <w:rPr>
          <w:rFonts w:ascii="Times New Roman" w:cs="Times New Roman" w:eastAsia="Times New Roman" w:hAnsi="Times New Roman"/>
          <w:sz w:val="20"/>
          <w:szCs w:val="20"/>
          <w:color w:val="auto"/>
        </w:rPr>
        <w:t>The companies within this segment provide their customers with the ability to identify, measure and control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20"/>
          <w:szCs w:val="20"/>
          <w:color w:val="auto"/>
        </w:rPr>
        <w:t>magnetic, electromagnetic and acoustic energy.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for reporting certain financial information we treat Corporate activities as a separate segment.</w:t>
      </w:r>
    </w:p>
    <w:p>
      <w:pPr>
        <w:spacing w:after="0" w:line="2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D.</w:t>
        <w:tab/>
        <w:t>Use of Estimates</w:t>
      </w:r>
    </w:p>
    <w:p>
      <w:pPr>
        <w:spacing w:after="0" w:line="12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Actual results could differ from those estimates.</w:t>
      </w:r>
    </w:p>
    <w:p>
      <w:pPr>
        <w:spacing w:after="0" w:line="2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E.</w:t>
        <w:tab/>
        <w:t>Revenue Recognition</w:t>
      </w:r>
    </w:p>
    <w:p>
      <w:pPr>
        <w:spacing w:after="0" w:line="1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We recognize revenue when control of the goods or services promised under the contract is transferred to the customer either at a point in time (e.g., upon delivery) or over time (e.g., as we perform under the contract). We account for a contract when it has approval and commitment from both parties, the rights and payment terms of the parties are identified, the contract has commercial substance and collectability of consideration is probable. We review contracts to determine whether there are one or multiple performance obligations. A performance obligation is a promise to transfer a distinct good or service to a customer and represents the unit of accounting for revenue recognition. For contracts with multiple performance obligations, we allocate the expected consideration, or the transaction price, to each performance obligation identified in the contract based on the relative standalone selling price of each performance obligation. We then recognize revenue for the transaction price allocated to the performance obligation when control of the promised goods or services underlying the performance obligation is transferred.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F-11</w:t>
      </w:r>
    </w:p>
    <w:p>
      <w:pPr>
        <w:sectPr>
          <w:pgSz w:w="12240" w:h="15840" w:orient="portrait"/>
          <w:cols w:equalWidth="0" w:num="1">
            <w:col w:w="9500"/>
          </w:cols>
          <w:pgMar w:left="1440" w:top="1439" w:right="1300" w:bottom="0" w:gutter="0" w:footer="0" w:header="0"/>
        </w:sectPr>
      </w:pPr>
    </w:p>
    <w:bookmarkStart w:id="52" w:name="page53"/>
    <w:bookmarkEnd w:id="52"/>
    <w:p>
      <w:pPr>
        <w:spacing w:after="0" w:line="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Payment terms with our customers vary by the type and location of the customer and the products or services offered. We do not adjust the promised amount of consideration for the effects of significant financing components based on the expectation that the period between when we transfer a promised good or service to a customer and when the customer pays for that good or service will be one year or less. Arrangements with customers that include payment terms extending beyond one year are not significant. We account for shipping and handling costs on a gross basis and include them in net sales. We account for taxes collected from customers and remitted to governmental authorities on a net basis and exclude them from net sales.</w:t>
      </w:r>
    </w:p>
    <w:p>
      <w:pPr>
        <w:spacing w:after="0" w:line="13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A&amp;D: </w:t>
      </w:r>
      <w:r>
        <w:rPr>
          <w:rFonts w:ascii="Times New Roman" w:cs="Times New Roman" w:eastAsia="Times New Roman" w:hAnsi="Times New Roman"/>
          <w:sz w:val="20"/>
          <w:szCs w:val="20"/>
          <w:color w:val="auto"/>
        </w:rPr>
        <w:t>Within the A&amp;D segment, approximately 45% of revenues (approximately 19% of consolidated revenues)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recognized at a point in time when products are shipped (when control of the goods transfers) to unaffiliated customers. The related contracts are with commercial and military customers and have a single performance obligation as there is only one good promised or the promise to transfer the goods or services is not distinct or separately identifiable from other promises in the contract. The transaction price for these contracts reflects our estimate of returns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Amounts billed to customers for shipping and handling are included in the transaction price as the related activities are performed prior to the customer obtaining control of the products. They generally are not treated as separate performance obligations as these costs fulfill a promise to transfer the product to the customer and are expensed in cost of goods sold in the period they are incurred. Taxes collected from customers and remitted to government authorities are recorded on a net basis.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w:t>
      </w:r>
    </w:p>
    <w:p>
      <w:pPr>
        <w:spacing w:after="0" w:line="13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Approximately 55</w:t>
      </w:r>
      <w:r>
        <w:rPr>
          <w:rFonts w:ascii="Arial" w:cs="Arial" w:eastAsia="Arial" w:hAnsi="Arial"/>
          <w:sz w:val="19"/>
          <w:szCs w:val="19"/>
          <w:color w:val="auto"/>
        </w:rPr>
        <w:t>% of the segment’s revenues (approximately</w:t>
      </w:r>
      <w:r>
        <w:rPr>
          <w:rFonts w:ascii="Times New Roman" w:cs="Times New Roman" w:eastAsia="Times New Roman" w:hAnsi="Times New Roman"/>
          <w:sz w:val="19"/>
          <w:szCs w:val="19"/>
          <w:color w:val="auto"/>
        </w:rPr>
        <w:t xml:space="preserve"> 22% of consolidated revenues) are accounted for over time as the product does not have an alternative use and we have an enforceable right to payment for costs incurred plus a reasonable margin or the inventory is owned by the customer. The related contracts are primarily cost-plus or fixed price contracts related to the design, development and manufacture of complex fluid control products, quiet valves, manifolds, shock and vibration dampening, thermal insulation and systems primarily for the commercial aerospace and military (U.S. Government) markets. The contracts may contain multiple products, which are capable of being distinct as the customer could benefit from each product on its own or together with other readily available resources. Each product is separately identifiable from the other products in the contract. Therefore, each product is distinct in context of the contract and will be accounted for as a separate performance obligation. Our contracts are frequently modified for changes in contract specifications and requirements. Most of our contract modifications are for products that are not distinct from the existing contract and are accounted for as part of that existing contract.</w:t>
      </w:r>
    </w:p>
    <w:p>
      <w:pPr>
        <w:spacing w:after="0" w:line="12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Contracts with the U.S. Government generally contain clauses that provide lien rights to work-in-process along with clauses that allow the customer to unilaterally terminate the contract for convenience, pay us for costs incurred plus a reasonable profit and take control of any work-in-process. Due to the continuous transfer of control to the U.S. Government, we recognize revenue over the time that we perform under the contract.</w:t>
      </w:r>
    </w:p>
    <w:p>
      <w:pPr>
        <w:spacing w:after="0" w:line="13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Selecting the method to measure progress towards completion for the commercial and military contracts requires judgment and is based on the nature of the products or service to be provided. We generally use the cost-to-cost method to measure progress for our Aerospace &amp; Defense segment contracts, as the rate at which costs are incurred to fulfill a contract best depicts the transfer of control to the customer. Under this method, we measure the extent of progress towards completion based on the ratio of costs incurred to date to the estimated costs at completion of the performance obligation, and record revenue proportionally as costs are incurred based on an estimated profit margin.</w:t>
      </w:r>
    </w:p>
    <w:p>
      <w:pPr>
        <w:spacing w:after="0" w:line="130"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color w:val="auto"/>
        </w:rPr>
        <w:t>The transaction price for our contracts represents our best estimate of the consideration we will receive and includes assumptions regarding variable consideration as applicable.</w:t>
      </w:r>
    </w:p>
    <w:p>
      <w:pPr>
        <w:spacing w:after="0" w:line="13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Total contract cost is estimated utilizing current contract specifications and expected engineering requirements. Contract costs typically are incurred over a period of several months to one or more years, and the estimation of these costs requires judgment. Our cost estimation process is based on the professional knowledge and experience of engineers and program managers along with finance professionals. We review and update our projections of costs quarterly or more frequently when circumstances significantly change.</w:t>
      </w:r>
    </w:p>
    <w:p>
      <w:pPr>
        <w:spacing w:after="0" w:line="12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Under the typical payment terms of our long term fixed price contracts, the customer pays us either performance-based or progress payments. Performance-based payments represent interim payments based on quantifiable measures of performance or on the achievement of specified events or milestones. Progress payments are interim payments of</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F-12</w:t>
      </w:r>
    </w:p>
    <w:p>
      <w:pPr>
        <w:sectPr>
          <w:pgSz w:w="12240" w:h="15840" w:orient="portrait"/>
          <w:cols w:equalWidth="0" w:num="1">
            <w:col w:w="9460"/>
          </w:cols>
          <w:pgMar w:left="1440" w:top="1440" w:right="1340" w:bottom="0" w:gutter="0" w:footer="0" w:header="0"/>
        </w:sectPr>
      </w:pPr>
    </w:p>
    <w:bookmarkStart w:id="53" w:name="page54"/>
    <w:bookmarkEnd w:id="53"/>
    <w:p>
      <w:pPr>
        <w:spacing w:after="0" w:line="8"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0"/>
          <w:szCs w:val="20"/>
          <w:color w:val="auto"/>
        </w:rPr>
        <w:t>costs incurred as the work progresses. Because of the timing difference of revenue recognition and customer billing, these contracts will often result in revenue recognized in excess of billings and billings in excess of costs incurred, which we present as contract assets and contract liabilities, respectively, in the Consolidated Balance Sheets. We classify amounts billed and due from our customers in Accounts receivable, net. For short term fixed price and cost-type contracts, we are generally paid within a short period of time.</w:t>
      </w:r>
    </w:p>
    <w:p>
      <w:pPr>
        <w:spacing w:after="0" w:line="12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For contracts where revenue is recognized over time, we recognize changes in estimated contract revenues, costs and profits using the cumulative catch-up method of accounting. This method recognizes the cumulative effect of changes on current and prior periods with the impact of the change from inception-to-date recorded in the current period. We have net revenue recognized in the current year from performance obligations satisfied in the prior year due to changes in our estimated costs to complete the related performance obligations. We recognize anticipated losses on contracts in full in the period in which the losses become known.</w:t>
      </w:r>
    </w:p>
    <w:p>
      <w:pPr>
        <w:spacing w:after="0" w:line="13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USG: </w:t>
      </w:r>
      <w:r>
        <w:rPr>
          <w:rFonts w:ascii="Times New Roman" w:cs="Times New Roman" w:eastAsia="Times New Roman" w:hAnsi="Times New Roman"/>
          <w:sz w:val="20"/>
          <w:szCs w:val="20"/>
          <w:color w:val="auto"/>
        </w:rPr>
        <w:t>Within the USG segment, approximately 82% of revenues (approximately 29% of consolidated revenues)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recognized at a point in time when products are shipped (when control of the goods transfers) to unaffiliated customers. The related contracts are with commercial customers. The contracts may contain multiple products which are capable of being distinct as the customer could benefit from each product on its own or together with other readily available resources. Each product is separately identifiable from the other products in the contract. Therefore, each product is distinct in context of the contract and is accounted for as a separate performance obligation. The transaction price for these contracts reflects our estimate of variable consideration in the form of returns, rebates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Amounts billed to customers for shipping and handling are included in the transaction price as the related activities are performed prior to customer obtaining control of the products. We generally do not treat them as separate performance obligations as these costs fulfill a promise to transfer the product to the customer and are expensed in the period they are incurred. We record taxes collected from customers and remitted to government authorities on a net basis.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w:t>
      </w:r>
    </w:p>
    <w:p>
      <w:pPr>
        <w:spacing w:after="0" w:line="1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Approximately 18</w:t>
      </w:r>
      <w:r>
        <w:rPr>
          <w:rFonts w:ascii="Arial" w:cs="Arial" w:eastAsia="Arial" w:hAnsi="Arial"/>
          <w:sz w:val="20"/>
          <w:szCs w:val="20"/>
          <w:color w:val="auto"/>
        </w:rPr>
        <w:t>% of the segment’s revenues (approximately</w:t>
      </w:r>
      <w:r>
        <w:rPr>
          <w:rFonts w:ascii="Times New Roman" w:cs="Times New Roman" w:eastAsia="Times New Roman" w:hAnsi="Times New Roman"/>
          <w:sz w:val="20"/>
          <w:szCs w:val="20"/>
          <w:color w:val="auto"/>
        </w:rPr>
        <w:t xml:space="preserve"> 6% of consolidated revenues) are recognized over time as services are performed. The services accounted for under this method include an obligation to provide testing services using hardware and embedded software, software maintenance, training, lab testing, and consulting services. Typically, the related contracts contain a bundle of goods and services that are integrated in the context of the contract. Therefore, the goods and services are not distinct and we have a single performance obligation. Selecting the method to measure progress towards completion for these contracts requires judgment and is based on the nature of the products and service to be provided. We will recognize revenue as a series of distinct services based on each day of providing services (straight-line over the contract term) for our USG segment contracts. The transaction price for our contracts represents our best estimate of the consideration we will receive and includes assumptions regarding variable consideration as applicable. Under the typical payment terms of our service contracts, the customer pays us in advance of when services are performed. Because of the timing difference of revenue recognition and customer payment, which is typically received upon commencement of the contract, these contracts result in deferred revenue, which we present as contract liabilities, in the Consolidated Balance Sheets.</w:t>
      </w:r>
    </w:p>
    <w:p>
      <w:pPr>
        <w:spacing w:after="0" w:line="1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0"/>
          <w:szCs w:val="20"/>
          <w:color w:val="auto"/>
        </w:rPr>
        <w:t>Included in this category, approximately 5</w:t>
      </w:r>
      <w:r>
        <w:rPr>
          <w:rFonts w:ascii="Arial" w:cs="Arial" w:eastAsia="Arial" w:hAnsi="Arial"/>
          <w:sz w:val="20"/>
          <w:szCs w:val="20"/>
          <w:color w:val="auto"/>
        </w:rPr>
        <w:t>% of the segment’s revenues (approximately</w:t>
      </w:r>
      <w:r>
        <w:rPr>
          <w:rFonts w:ascii="Times New Roman" w:cs="Times New Roman" w:eastAsia="Times New Roman" w:hAnsi="Times New Roman"/>
          <w:sz w:val="20"/>
          <w:szCs w:val="20"/>
          <w:color w:val="auto"/>
        </w:rPr>
        <w:t xml:space="preserve"> 2% of consolidated revenues) are recognized based on the terms of the software contract. For contracts that transfer a software license to the customer, revenue will be recognized at a point in time. These type of software contracts represent a right to use the software, or a functional license, in which revenue should be recognized upon transfer of the license. For contracts in software as a service (SaaS) arrangements, revenue will be recognized over time. The customer receives and consumes the benefits of the SaaS arrangement through access to the system which is for a stated period. We will recognize revenue based on each day of providing access (straight-line over the contract term). The transaction price for our contracts represents our best estimate of the consideration we will receive and includes assumptions regarding variable consideration as applicable. Under the typical payment terms of our software contracts, the customer pays us in advance of when services are performed. Because of the timing difference of revenue recognition and customer payment, these contracts result in deferred revenue, which we present as contract liabilities, in the Consolidated Balance Sheets.</w:t>
      </w:r>
    </w:p>
    <w:p>
      <w:pPr>
        <w:spacing w:after="0" w:line="132" w:lineRule="exact"/>
        <w:rPr>
          <w:sz w:val="20"/>
          <w:szCs w:val="20"/>
          <w:color w:val="auto"/>
        </w:rPr>
      </w:pPr>
    </w:p>
    <w:p>
      <w:pPr>
        <w:ind w:right="4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Test: </w:t>
      </w:r>
      <w:r>
        <w:rPr>
          <w:rFonts w:ascii="Times New Roman" w:cs="Times New Roman" w:eastAsia="Times New Roman" w:hAnsi="Times New Roman"/>
          <w:sz w:val="20"/>
          <w:szCs w:val="20"/>
          <w:color w:val="auto"/>
        </w:rPr>
        <w:t>Within the Test segment, approximately 20% of revenues (approximately 5% of consolidated revenues)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recognized at a point in time when products such as, antennas and probes are shipped (when control of the goods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F-13</w:t>
      </w:r>
    </w:p>
    <w:p>
      <w:pPr>
        <w:sectPr>
          <w:pgSz w:w="12240" w:h="15840" w:orient="portrait"/>
          <w:cols w:equalWidth="0" w:num="1">
            <w:col w:w="9480"/>
          </w:cols>
          <w:pgMar w:left="1440" w:top="1440" w:right="1320" w:bottom="0" w:gutter="0" w:footer="0" w:header="0"/>
        </w:sectPr>
      </w:pPr>
    </w:p>
    <w:bookmarkStart w:id="54" w:name="page55"/>
    <w:bookmarkEnd w:id="54"/>
    <w:p>
      <w:pPr>
        <w:spacing w:after="0" w:line="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transfers) to unaffiliated customers. The related contracts are with commercial customers. The contracts may contain multiple products which are capable of being distinct because the customer could benefit from each product on its own or together with other readily available resources. Each product is separately identifiable from the other products in the contract. Therefore, each product is distinct in the context of the contract and will be accounted for as a separate performance obligation. The transaction price for these contracts reflects our estimate of variable consideration in the form of returns, rebates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Amounts billed to customers for shipping and handling are included in the transaction price as the related activities are performed prior to customer obtaining control of the products. They generally are not treated as separate performance obligations as these costs fulfill a promise to transfer the product to the customer and are expensed in selling, general, and other costs in the period they are incurred. Taxes collected from customers and remitted to government authorities are recorded on a net basis.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w:t>
      </w:r>
    </w:p>
    <w:p>
      <w:pPr>
        <w:spacing w:after="0" w:line="13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Approximately 80</w:t>
      </w:r>
      <w:r>
        <w:rPr>
          <w:rFonts w:ascii="Arial" w:cs="Arial" w:eastAsia="Arial" w:hAnsi="Arial"/>
          <w:sz w:val="20"/>
          <w:szCs w:val="20"/>
          <w:color w:val="auto"/>
        </w:rPr>
        <w:t>% of the segment’s revenues (approximately</w:t>
      </w:r>
      <w:r>
        <w:rPr>
          <w:rFonts w:ascii="Times New Roman" w:cs="Times New Roman" w:eastAsia="Times New Roman" w:hAnsi="Times New Roman"/>
          <w:sz w:val="20"/>
          <w:szCs w:val="20"/>
          <w:color w:val="auto"/>
        </w:rPr>
        <w:t xml:space="preserve"> 19% of consolidated revenues) are recorded over time as the product does not have an alternative use and we have an enforceable right to payment for costs incurred plus a reasonable margin. Products accounted for under this guidance include the construction and installation of test </w:t>
      </w:r>
      <w:r>
        <w:rPr>
          <w:rFonts w:ascii="Arial" w:cs="Arial" w:eastAsia="Arial" w:hAnsi="Arial"/>
          <w:sz w:val="20"/>
          <w:szCs w:val="20"/>
          <w:color w:val="auto"/>
        </w:rPr>
        <w:t>chambers to a buyer’s specifications that provide its customers with the ability to me</w:t>
      </w:r>
      <w:r>
        <w:rPr>
          <w:rFonts w:ascii="Times New Roman" w:cs="Times New Roman" w:eastAsia="Times New Roman" w:hAnsi="Times New Roman"/>
          <w:sz w:val="20"/>
          <w:szCs w:val="20"/>
          <w:color w:val="auto"/>
        </w:rPr>
        <w:t>asure and contain magnetic,</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electromagnetic and acoustic energy. The goods and services related to each installed test chamber are not distinct due to the significant amount of integration provided and each installed chamber is accounted for as a single performance obligation. Selecting the method to measure progress towards completion for these contracts requires judgment and is based on the nature of the products and service to be provided. We use milestones to measure progress for our Test segment contracts because it best depicts the transfer of control to the customer that occurs as we incur costs on our contracts. For arrangements that are accounted for under this guidance, we estimate profit as the difference between total revenue and total estimated cost of a contract and recognize these revenues and costs based primarily on contract milestones. The transaction price for our contracts is typically fixed price and represents our best estimate of the consideration we will receive.</w:t>
      </w:r>
    </w:p>
    <w:p>
      <w:pPr>
        <w:spacing w:after="0" w:line="139"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0"/>
          <w:szCs w:val="20"/>
          <w:color w:val="auto"/>
        </w:rPr>
        <w:t>We estimate total contract cost utilizing current contract specifications and expected engineering requirements. Contract costs typically are incurred over a period of several months to a year, and the estimation of these costs requires judgment. Our cost estimation process is based on the professional knowledge and experience of engineers and program managers along with finance professionals. We review and update our projections of costs quarterly or more frequently when circumstances significantly change.</w:t>
      </w:r>
    </w:p>
    <w:p>
      <w:pPr>
        <w:spacing w:after="0" w:line="13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Under the typical payment terms of our fixed price contracts, the customer pays us either based on progress or based on a fixed billing schedule within the contract. Performance-based payments represent interim payments based on noted progress points as the work progresses. Because of the timing difference of revenue recognition and customer billing, these contracts result in revenue recognized in excess of billings and billings in excess of revenue recognized, which we present as contract assets and contract liabilities, respectively, in the Consolidated Balance Sheets. Amounts billed and due from our customers are classified in Accounts receivable, net.</w:t>
      </w:r>
    </w:p>
    <w:p>
      <w:pPr>
        <w:spacing w:after="0" w:line="13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For contracts where revenue is recognized over time, we generally recognize changes in estimated contract revenues, costs and profits using the cumulative catch-up method of accounting. This method recognizes the cumulative effect of changes on current and prior periods with the impact of the change from inception-to-date recorded in the current period. We have net revenue recognized in the current year from performance obligations satisfied in the prior year due to changes in our estimated costs to complete the related performance obligations. We recognize anticipated losses on contracts in full in the period in which the losses become probable and estimable.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Assets and Liabilities</w:t>
      </w:r>
    </w:p>
    <w:p>
      <w:pPr>
        <w:spacing w:after="0" w:line="1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Contract assets arise from contracts when revenue is recognized over time and the amount of revenue recognized, including our estimate of variable consideration that has been included in the transaction price, exceeds the amount billed to the customer. These amounts are included in contract assets until the right to payment is no longer conditional on events other than the passage of time. These contract assets are reclassified to receivables when the right to consideration becomes unconditional. Contract liabilities include deposits, deferred revenue, upfront payments and billings in excess of revenue recognized. We include liabilities for customer rebates and discounts in other current liabilities in the Consolidated Balance Sheets.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F-14</w:t>
      </w:r>
    </w:p>
    <w:p>
      <w:pPr>
        <w:sectPr>
          <w:pgSz w:w="12240" w:h="15840" w:orient="portrait"/>
          <w:cols w:equalWidth="0" w:num="1">
            <w:col w:w="9500"/>
          </w:cols>
          <w:pgMar w:left="1440" w:top="1440" w:right="1300"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See the further discussion of our revenue recognition in Note 12 below.</w:t>
      </w:r>
    </w:p>
    <w:p>
      <w:pPr>
        <w:spacing w:after="0" w:line="2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F.</w:t>
        <w:tab/>
        <w:t>Cash and Cash Equivalents</w:t>
      </w:r>
    </w:p>
    <w:p>
      <w:pPr>
        <w:spacing w:after="0" w:line="125"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0"/>
          <w:szCs w:val="20"/>
          <w:color w:val="auto"/>
        </w:rPr>
        <w:t>Cash equivalents include temporary investments that are readily convertible into cash, such as money market funds, with original maturities of three months or less. Some of our cash is deposited with financial institutions located throughout the U.S. and at banks in foreign countries where we operate subsidiary offices, and at times may exceed insured limits. Cash and cash equivalents held in foreign bank accounts totaled $35.2 million at September 30, 2023 and we routinely repatriate cash from our foreign subsidiaries.</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G.</w:t>
      </w:r>
      <w:r>
        <w:rPr>
          <w:sz w:val="20"/>
          <w:szCs w:val="20"/>
          <w:color w:val="auto"/>
        </w:rPr>
        <w:tab/>
      </w:r>
      <w:r>
        <w:rPr>
          <w:rFonts w:ascii="Times New Roman" w:cs="Times New Roman" w:eastAsia="Times New Roman" w:hAnsi="Times New Roman"/>
          <w:sz w:val="19"/>
          <w:szCs w:val="19"/>
          <w:b w:val="1"/>
          <w:bCs w:val="1"/>
          <w:color w:val="auto"/>
        </w:rPr>
        <w:t>Accounts Receivable</w:t>
      </w:r>
    </w:p>
    <w:p>
      <w:pPr>
        <w:spacing w:after="0" w:line="1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We reduce accounts receivable by an allowance for amounts that we estimate are uncollectible in the future. This </w:t>
      </w:r>
      <w:r>
        <w:rPr>
          <w:rFonts w:ascii="Arial" w:cs="Arial" w:eastAsia="Arial" w:hAnsi="Arial"/>
          <w:sz w:val="18"/>
          <w:szCs w:val="18"/>
          <w:color w:val="auto"/>
        </w:rPr>
        <w:t>estimated allowance is based on Management’s evaluation of the financial condition of the customer and historical</w:t>
      </w:r>
    </w:p>
    <w:p>
      <w:pPr>
        <w:spacing w:after="0" w:line="231" w:lineRule="auto"/>
        <w:rPr>
          <w:sz w:val="20"/>
          <w:szCs w:val="20"/>
          <w:color w:val="auto"/>
        </w:rPr>
      </w:pPr>
      <w:r>
        <w:rPr>
          <w:rFonts w:ascii="Times New Roman" w:cs="Times New Roman" w:eastAsia="Times New Roman" w:hAnsi="Times New Roman"/>
          <w:sz w:val="20"/>
          <w:szCs w:val="20"/>
          <w:color w:val="auto"/>
        </w:rPr>
        <w:t>write-off experience.</w:t>
      </w:r>
    </w:p>
    <w:p>
      <w:pPr>
        <w:spacing w:after="0" w:line="24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H.</w:t>
        <w:tab/>
        <w:t>Inventories</w:t>
      </w:r>
    </w:p>
    <w:p>
      <w:pPr>
        <w:spacing w:after="0" w:line="12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We value inventories at the lower of cost (first-in, first-out) or net realizable value. We regularly review inventories for excess quantities and obsolescence based upon historical experience, specific identification of discontinued items, future demand, and market conditions. Inventories under long-term contracts reflect accumulated production costs, factory overhead, initial tooling and other related costs less the portion of such costs charged to cost of sales.</w:t>
      </w:r>
    </w:p>
    <w:p>
      <w:pPr>
        <w:spacing w:after="0" w:line="245" w:lineRule="exact"/>
        <w:rPr>
          <w:sz w:val="20"/>
          <w:szCs w:val="20"/>
          <w:color w:val="auto"/>
        </w:rPr>
      </w:pPr>
    </w:p>
    <w:p>
      <w:pPr>
        <w:ind w:left="360" w:hanging="360"/>
        <w:spacing w:after="0"/>
        <w:tabs>
          <w:tab w:leader="none" w:pos="36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Plant and Equipment</w:t>
      </w:r>
    </w:p>
    <w:p>
      <w:pPr>
        <w:spacing w:after="0" w:line="1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Property, plant and equipment are recorded at cost. Depreciation and amortization are computed primarily on a straight-line basis over the estimated useful lives of the assets: buildings, 10-40 years; machinery and equipment, 3-10 years; and office furniture and equipment, 3-10 years. Leasehold improvements are amortized over the remaining term of the applicable lease or their estimated useful lives, whichever is shorter. Long-lived tangible assets are reviewed for impairment whenever events or changes in business circumstances indicate the carrying value of the assets may not be recoverable. Impairment losses are recognized based on fair value.</w:t>
      </w:r>
    </w:p>
    <w:p>
      <w:pPr>
        <w:spacing w:after="0" w:line="251" w:lineRule="exact"/>
        <w:rPr>
          <w:sz w:val="20"/>
          <w:szCs w:val="20"/>
          <w:color w:val="auto"/>
        </w:rPr>
      </w:pPr>
    </w:p>
    <w:p>
      <w:pPr>
        <w:ind w:left="360" w:hanging="360"/>
        <w:spacing w:after="0"/>
        <w:tabs>
          <w:tab w:leader="none" w:pos="3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2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Our lease agreements primarily relate to office space, manufacturing facilities, and machinery and equipment. We determine at lease inception whether an arrangement that provides control over the use of an asset is a lease. We recognize at lease commencement a right-of-use (ROU) asset and lease liability based on the present value of the future lease payments over the lease term. We have elected not to recognize a ROU asset and lease liability for leases with terms of 12 months or less. Certain of our leases include options to extend the term of the lease for up to 20 years. When it is reasonably certain that we will exercise the option, Management includes the impact of the option in the lease term for purposes of determining total future lease payments. As most of our lease agreements do not explicitly state the discount rate implicit in the lease, Management uses our incremental borrowing rate on the commencement date to calculate the present value of future payments based on the tenor of each arrangement.</w:t>
      </w:r>
    </w:p>
    <w:p>
      <w:pPr>
        <w:spacing w:after="0" w:line="25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K.</w:t>
        <w:tab/>
        <w:t>Goodwill and Other Long-Lived Intangible Assets</w:t>
      </w:r>
    </w:p>
    <w:p>
      <w:pPr>
        <w:spacing w:after="0" w:line="1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 xml:space="preserve">Goodwill represents the excess of purchase price over the fair value of net identifiable assets acquired in business acquisitions. Management annually reviews goodwill and other long-lived assets with indefinite useful lives for impairment or whenever events or changes in circumstances indicate the carrying amount may be less than fair value. If we determine that the carrying value of the long-lived asset or reporting unit is less than fair value, we record a permanent impairment charge for the amount by which the carrying value of the long-lived asset exceeds its fair value. We measure the fair value of our reporting units based on a discounted cash flow method using a discount rate determined by Management to be commensurate with the risk inherent in </w:t>
      </w:r>
      <w:r>
        <w:rPr>
          <w:rFonts w:ascii="Arial" w:cs="Arial" w:eastAsia="Arial" w:hAnsi="Arial"/>
          <w:sz w:val="19"/>
          <w:szCs w:val="19"/>
          <w:color w:val="auto"/>
        </w:rPr>
        <w:t>each of our reporting units’</w:t>
      </w:r>
      <w:r>
        <w:rPr>
          <w:rFonts w:ascii="Times New Roman" w:cs="Times New Roman" w:eastAsia="Times New Roman" w:hAnsi="Times New Roman"/>
          <w:sz w:val="19"/>
          <w:szCs w:val="19"/>
          <w:color w:val="auto"/>
        </w:rPr>
        <w:t xml:space="preserve"> current business models. We determine the fair value of trade names using a generally accepted valuation method based on an income approach called the relief from royalty method. During 2023, Management performed a quantitative impairment analysis, which included a detailed calculation of the fair value of our trade names and reporting units related to certain reporting units within these segments. A Step 0 analysis was performed on the other reporting units for which a quantitative analysis was not performed. The results of these impairment analyses indicated that the fair values of the trade names and reporting units are not less than their carrying values. Our estimates of discounted cash flows to derive the fair value were measured in accordance with ASC 350, </w:t>
      </w:r>
      <w:r>
        <w:rPr>
          <w:rFonts w:ascii="Times New Roman" w:cs="Times New Roman" w:eastAsia="Times New Roman" w:hAnsi="Times New Roman"/>
          <w:sz w:val="19"/>
          <w:szCs w:val="19"/>
          <w:i w:val="1"/>
          <w:iCs w:val="1"/>
          <w:color w:val="auto"/>
        </w:rPr>
        <w:t>Intangibles</w:t>
      </w:r>
      <w:r>
        <w:rPr>
          <w:rFonts w:ascii="Times New Roman" w:cs="Times New Roman" w:eastAsia="Times New Roman" w:hAnsi="Times New Roman"/>
          <w:sz w:val="19"/>
          <w:szCs w:val="19"/>
          <w:color w:val="auto"/>
        </w:rPr>
        <w:t xml:space="preserve"> </w:t>
      </w:r>
      <w:r>
        <w:rPr>
          <w:rFonts w:ascii="Arial" w:cs="Arial" w:eastAsia="Arial" w:hAnsi="Arial"/>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Goodwill and Other</w:t>
      </w:r>
      <w:r>
        <w:rPr>
          <w:rFonts w:ascii="Times New Roman" w:cs="Times New Roman" w:eastAsia="Times New Roman" w:hAnsi="Times New Roman"/>
          <w:sz w:val="19"/>
          <w:szCs w:val="19"/>
          <w:color w:val="auto"/>
        </w:rPr>
        <w:t>. We are using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F-15</w:t>
      </w:r>
    </w:p>
    <w:p>
      <w:pPr>
        <w:sectPr>
          <w:pgSz w:w="12240" w:h="15840" w:orient="portrait"/>
          <w:cols w:equalWidth="0" w:num="1">
            <w:col w:w="9500"/>
          </w:cols>
          <w:pgMar w:left="1440" w:top="1439" w:right="1300" w:bottom="0" w:gutter="0" w:footer="0" w:header="0"/>
        </w:sectPr>
      </w:pPr>
    </w:p>
    <w:bookmarkStart w:id="56" w:name="page57"/>
    <w:bookmarkEnd w:id="56"/>
    <w:p>
      <w:pPr>
        <w:spacing w:after="0" w:line="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0"/>
          <w:szCs w:val="20"/>
          <w:color w:val="auto"/>
        </w:rPr>
        <w:t>estimates of discounted cash flows that may change, and if they change negatively it could result in the need to write down those assets to fair value.</w:t>
      </w:r>
    </w:p>
    <w:p>
      <w:pPr>
        <w:spacing w:after="0" w:line="13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Other intangible assets represent costs allocated to identifiable intangible assets, principally customer relationships, capitalized software, patents, trademarks, and technology rights. We amortize intangible assets with estimable useful lives over their respective estimated useful lives to their estimated residual values, and review them for impairment whenever events or changes in business circumstances indicate the carrying value of the assets may not be recoverable.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3 regarding goodwill and other intangible assets activity.</w:t>
      </w:r>
    </w:p>
    <w:p>
      <w:pPr>
        <w:spacing w:after="0" w:line="24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L.</w:t>
        <w:tab/>
        <w:t>Capitalized Software</w:t>
      </w:r>
    </w:p>
    <w:p>
      <w:pPr>
        <w:spacing w:after="0" w:line="12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Costs incurred for the development of computer software that will be sold, leased, or otherwise marketed are charged to research and development expense when incurred, until technological feasibility has been established for the product. Technological feasibility is typically established upon completion of a detailed program design. Costs incurred after this point are capitalized on a project-by-project basis. Capitalized costs consist of internal and external development costs. Upon general release of the product to customers, we cease capitalization and begin amortization, which is calculated on a project-by-project basis as the greater of (1) the ratio of current gross revenues for a product to the total of current and anticipated future gross revenues for the product or (2) the straight-line method over the estimated economic life of the product. We generally amortize software development costs over a three-to-seven year period based upon the estimated future economic life of the product. Factors we consider in determining the estimated future economic life of the product include anticipated future revenues, and changes in software and hardware technologies. Management annually reviews the carrying values of capitalized costs for impairment or whenever events or changes in circumstances indicate the carrying amount may not be recoverable. If expected cash flows are insufficient to recover the carrying amount of the asset, then we recognize an impairment loss to state the asset at its net realizable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  Income Taxes</w:t>
      </w:r>
    </w:p>
    <w:p>
      <w:pPr>
        <w:spacing w:after="0" w:line="12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recovered or settled. We may reduce deferred tax assets by a valuation allowance if it is more likely than not that some portion or all of the deferred tax assets will not be realized. We recognize the effect on deferred tax assets and liabilities of a change in tax rates in income in the period that includes the enactment date. We regularly review our deferred tax assets for recoverability and establish a valuation allowance when Management believes it is more likely than not such assets will not be recovered, taking into consideration historical operating results, expectations of future earnings, tax planning strategies, and the expected timing of the reversals of existing temporary differences. Our policy is to include interest related to unrecognized tax benefits in income tax expense and penalties in operating expense.</w:t>
      </w:r>
    </w:p>
    <w:p>
      <w:pPr>
        <w:spacing w:after="0" w:line="24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N.</w:t>
        <w:tab/>
        <w:t>Research and Development Costs</w:t>
      </w:r>
    </w:p>
    <w:p>
      <w:pPr>
        <w:spacing w:after="0" w:line="12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Company-sponsored research and development costs include research and development and bid and proposal efforts related to our products and services. We charge Company-sponsored product development costs to expense when incurred. Customer-sponsored research and development costs refer to certain situations whereby customers provide funding to support specific contractually defined research and development costs. We account for customer-sponsored research and development costs incurred pursuant to contracts similarly to other program costs. Total Company and customer-sponsored research and development expenses were approximately $13.0 million, $12.3 million and $15.4 million for 2023, 2022 and 2021, respectively.</w:t>
      </w:r>
    </w:p>
    <w:p>
      <w:pPr>
        <w:spacing w:after="0" w:line="24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O.</w:t>
        <w:tab/>
        <w:t>Foreign Currency Translation</w:t>
      </w:r>
    </w:p>
    <w:p>
      <w:pPr>
        <w:spacing w:after="0" w:line="12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 xml:space="preserve">We translate the financial statements of our foreign operations into U.S. dollars in accordance with FASB ASC Topic 830, </w:t>
      </w:r>
      <w:r>
        <w:rPr>
          <w:rFonts w:ascii="Times New Roman" w:cs="Times New Roman" w:eastAsia="Times New Roman" w:hAnsi="Times New Roman"/>
          <w:sz w:val="20"/>
          <w:szCs w:val="20"/>
          <w:i w:val="1"/>
          <w:iCs w:val="1"/>
          <w:color w:val="auto"/>
        </w:rPr>
        <w:t>Foreign Currency Matters</w:t>
      </w:r>
      <w:r>
        <w:rPr>
          <w:rFonts w:ascii="Times New Roman" w:cs="Times New Roman" w:eastAsia="Times New Roman" w:hAnsi="Times New Roman"/>
          <w:sz w:val="20"/>
          <w:szCs w:val="20"/>
          <w:color w:val="auto"/>
        </w:rPr>
        <w:t>. We record the resulting translation adjustments as a separate component of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F-16</w:t>
      </w:r>
    </w:p>
    <w:p>
      <w:pPr>
        <w:sectPr>
          <w:pgSz w:w="12240" w:h="15840" w:orient="portrait"/>
          <w:cols w:equalWidth="0" w:num="1">
            <w:col w:w="9480"/>
          </w:cols>
          <w:pgMar w:left="1440" w:top="1440" w:right="1320" w:bottom="0" w:gutter="0" w:footer="0" w:header="0"/>
        </w:sectPr>
      </w:pPr>
    </w:p>
    <w:bookmarkStart w:id="57" w:name="page58"/>
    <w:bookmarkEnd w:id="57"/>
    <w:p>
      <w:pPr>
        <w:spacing w:after="0" w:line="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P.</w:t>
        <w:tab/>
        <w:t>Earnings Per Share</w:t>
      </w:r>
    </w:p>
    <w:p>
      <w:pPr>
        <w:spacing w:after="0" w:line="124"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0"/>
          <w:szCs w:val="20"/>
          <w:color w:val="auto"/>
        </w:rPr>
        <w:t>We calculate basic earnings per share using the weighted average number of common shares outstanding during the period. We calculate diluted earnings per share using the weighted average number of common shares outstanding during the period plus shares issuable upon the assumed exercise of dilutive vesting of unvested restricted units (restricted shares) using the treasury stock method. There are no anti-dilutive shares.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number of shares used in the calculation of earnings per share for each year presented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(in thousands)</w:t>
            </w:r>
          </w:p>
        </w:tc>
        <w:tc>
          <w:tcPr>
            <w:tcW w:w="180" w:type="dxa"/>
            <w:vAlign w:val="bottom"/>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00" w:type="dxa"/>
            <w:vAlign w:val="bottom"/>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180" w:type="dxa"/>
            <w:vAlign w:val="bottom"/>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r>
      <w:tr>
        <w:trPr>
          <w:trHeight w:val="229"/>
        </w:trPr>
        <w:tc>
          <w:tcPr>
            <w:tcW w:w="6400" w:type="dxa"/>
            <w:vAlign w:val="bottom"/>
          </w:tcPr>
          <w:p>
            <w:pPr>
              <w:spacing w:after="0"/>
              <w:rPr>
                <w:sz w:val="20"/>
                <w:szCs w:val="20"/>
                <w:color w:val="auto"/>
              </w:rPr>
            </w:pPr>
            <w:r>
              <w:rPr>
                <w:rFonts w:ascii="Arial" w:cs="Arial" w:eastAsia="Arial" w:hAnsi="Arial"/>
                <w:sz w:val="20"/>
                <w:szCs w:val="20"/>
                <w:color w:val="auto"/>
              </w:rPr>
              <w:t>Weighted Average Shares Outstanding — Basic</w:t>
            </w:r>
          </w:p>
        </w:tc>
        <w:tc>
          <w:tcPr>
            <w:tcW w:w="980" w:type="dxa"/>
            <w:vAlign w:val="bottom"/>
            <w:gridSpan w:val="3"/>
          </w:tcPr>
          <w:p>
            <w:pPr>
              <w:jc w:val="right"/>
              <w:spacing w:after="0"/>
              <w:rPr>
                <w:sz w:val="20"/>
                <w:szCs w:val="20"/>
                <w:color w:val="auto"/>
              </w:rPr>
            </w:pPr>
            <w:r>
              <w:rPr>
                <w:rFonts w:ascii="Arial" w:cs="Arial" w:eastAsia="Arial" w:hAnsi="Arial"/>
                <w:sz w:val="20"/>
                <w:szCs w:val="20"/>
                <w:b w:val="1"/>
                <w:bCs w:val="1"/>
                <w:color w:val="auto"/>
              </w:rPr>
              <w:t>25,802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25,933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26,046</w:t>
            </w:r>
          </w:p>
        </w:tc>
      </w:tr>
      <w:tr>
        <w:trPr>
          <w:trHeight w:val="231"/>
        </w:trPr>
        <w:tc>
          <w:tcPr>
            <w:tcW w:w="6400" w:type="dxa"/>
            <w:vAlign w:val="bottom"/>
          </w:tcPr>
          <w:p>
            <w:pPr>
              <w:spacing w:after="0"/>
              <w:rPr>
                <w:sz w:val="20"/>
                <w:szCs w:val="20"/>
                <w:color w:val="auto"/>
              </w:rPr>
            </w:pPr>
            <w:r>
              <w:rPr>
                <w:rFonts w:ascii="Arial" w:cs="Arial" w:eastAsia="Arial" w:hAnsi="Arial"/>
                <w:sz w:val="20"/>
                <w:szCs w:val="20"/>
                <w:color w:val="auto"/>
              </w:rPr>
              <w:t>Dilutive Restricted Shares</w:t>
            </w:r>
          </w:p>
        </w:tc>
        <w:tc>
          <w:tcPr>
            <w:tcW w:w="180" w:type="dxa"/>
            <w:vAlign w:val="bottom"/>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77</w:t>
            </w:r>
          </w:p>
        </w:tc>
        <w:tc>
          <w:tcPr>
            <w:tcW w:w="200" w:type="dxa"/>
            <w:vAlign w:val="bottom"/>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180" w:type="dxa"/>
            <w:vAlign w:val="bottom"/>
            <w:gridSpan w:val="2"/>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r>
      <w:tr>
        <w:trPr>
          <w:trHeight w:val="232"/>
        </w:trPr>
        <w:tc>
          <w:tcPr>
            <w:tcW w:w="6400" w:type="dxa"/>
            <w:vAlign w:val="bottom"/>
          </w:tcPr>
          <w:p>
            <w:pPr>
              <w:spacing w:after="0"/>
              <w:rPr>
                <w:sz w:val="20"/>
                <w:szCs w:val="20"/>
                <w:color w:val="auto"/>
              </w:rPr>
            </w:pPr>
            <w:r>
              <w:rPr>
                <w:rFonts w:ascii="Arial" w:cs="Arial" w:eastAsia="Arial" w:hAnsi="Arial"/>
                <w:sz w:val="20"/>
                <w:szCs w:val="20"/>
                <w:color w:val="auto"/>
              </w:rPr>
              <w:t>Shares — Diluted</w:t>
            </w:r>
          </w:p>
        </w:tc>
        <w:tc>
          <w:tcPr>
            <w:tcW w:w="980" w:type="dxa"/>
            <w:vAlign w:val="bottom"/>
            <w:gridSpan w:val="3"/>
          </w:tcPr>
          <w:p>
            <w:pPr>
              <w:jc w:val="right"/>
              <w:spacing w:after="0"/>
              <w:rPr>
                <w:sz w:val="20"/>
                <w:szCs w:val="20"/>
                <w:color w:val="auto"/>
              </w:rPr>
            </w:pPr>
            <w:r>
              <w:rPr>
                <w:rFonts w:ascii="Arial" w:cs="Arial" w:eastAsia="Arial" w:hAnsi="Arial"/>
                <w:sz w:val="20"/>
                <w:szCs w:val="20"/>
                <w:b w:val="1"/>
                <w:bCs w:val="1"/>
                <w:color w:val="auto"/>
              </w:rPr>
              <w:t>25,879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26,067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26,225</w:t>
            </w: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Share-Based Compensation</w:t>
      </w:r>
    </w:p>
    <w:p>
      <w:pPr>
        <w:spacing w:after="0" w:line="12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We provide compensation benefits to certain key employees under several share-based plans providing for performance-accelerated, performance-based and/or time-vested restricted stock unit awards, and to non-employee directors under a separate compensation plan for non-employee directors. We measure share-based payment expense at the grant date based on the fair value of the award and recognize it on a straight-line basis over the requisite service period (generally the vesting period of the award) and/or if the performance criteria are deemed probable.</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R.</w:t>
        <w:tab/>
        <w:t>Accumulated Other Comprehensive Loss</w:t>
      </w:r>
    </w:p>
    <w:p>
      <w:pPr>
        <w:spacing w:after="0" w:line="124"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20"/>
          <w:szCs w:val="20"/>
          <w:color w:val="auto"/>
        </w:rPr>
        <w:t>Accumulated other comprehensive loss of $(24.0) million at September 30, 2023 consisted of currency translation adjustments.</w:t>
      </w:r>
    </w:p>
    <w:p>
      <w:pPr>
        <w:spacing w:after="0" w:line="2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S.</w:t>
        <w:tab/>
        <w:t>Fair Value Measurements</w:t>
      </w:r>
    </w:p>
    <w:p>
      <w:pPr>
        <w:spacing w:after="0" w:line="1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Fair value is defined as the price at which an asset could be exchanged in a current transaction between knowledgeable, willing parties or the amount that would be paid to transfer a liability to a new obligor, not the amount that would be paid to settle the liability with the creditor. Where available, we base fair value on observable market prices or parameters or derived from such prices or parameters. Where observable prices or inputs are not available, we apply valuation models. These valuation techniques involve some level of Management estimation and judgment, the degree of which is dependent on the price transparency for the instruments or market and the </w:t>
      </w:r>
      <w:r>
        <w:rPr>
          <w:rFonts w:ascii="Arial" w:cs="Arial" w:eastAsia="Arial" w:hAnsi="Arial"/>
          <w:sz w:val="20"/>
          <w:szCs w:val="20"/>
          <w:color w:val="auto"/>
        </w:rPr>
        <w:t>instruments’ complexity.</w:t>
      </w:r>
    </w:p>
    <w:p>
      <w:pPr>
        <w:spacing w:after="0" w:line="13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The accounting guidance establishes a three-level hierarchy for disclosure of fair value measurements, based upon the transparency of inputs to the valuation of an asset or liability as of the measurement date, as follows:</w:t>
      </w:r>
    </w:p>
    <w:p>
      <w:pPr>
        <w:spacing w:after="0" w:line="78" w:lineRule="exact"/>
        <w:rPr>
          <w:sz w:val="20"/>
          <w:szCs w:val="20"/>
          <w:color w:val="auto"/>
        </w:rPr>
      </w:pPr>
    </w:p>
    <w:p>
      <w:pPr>
        <w:ind w:left="360" w:right="160"/>
        <w:spacing w:after="0" w:line="261" w:lineRule="auto"/>
        <w:rPr>
          <w:sz w:val="20"/>
          <w:szCs w:val="20"/>
          <w:color w:val="auto"/>
        </w:rPr>
      </w:pPr>
      <w:r>
        <w:rPr>
          <w:rFonts w:ascii="Times New Roman" w:cs="Times New Roman" w:eastAsia="Times New Roman" w:hAnsi="Times New Roman"/>
          <w:sz w:val="20"/>
          <w:szCs w:val="20"/>
          <w:color w:val="auto"/>
        </w:rPr>
        <w:t xml:space="preserve">Level 1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Inputs to the valuation methodology are quoted prices (unadjusted) for identical assets or liabilities in active markets.</w:t>
      </w:r>
    </w:p>
    <w:p>
      <w:pPr>
        <w:spacing w:after="0" w:line="80" w:lineRule="exact"/>
        <w:rPr>
          <w:sz w:val="20"/>
          <w:szCs w:val="20"/>
          <w:color w:val="auto"/>
        </w:rPr>
      </w:pPr>
    </w:p>
    <w:p>
      <w:pPr>
        <w:ind w:left="360" w:right="140"/>
        <w:spacing w:after="0" w:line="265" w:lineRule="auto"/>
        <w:rPr>
          <w:sz w:val="20"/>
          <w:szCs w:val="20"/>
          <w:color w:val="auto"/>
        </w:rPr>
      </w:pPr>
      <w:r>
        <w:rPr>
          <w:rFonts w:ascii="Times New Roman" w:cs="Times New Roman" w:eastAsia="Times New Roman" w:hAnsi="Times New Roman"/>
          <w:sz w:val="20"/>
          <w:szCs w:val="20"/>
          <w:color w:val="auto"/>
        </w:rPr>
        <w:t xml:space="preserve">Level 2 </w:t>
      </w:r>
      <w:r>
        <w:rPr>
          <w:rFonts w:ascii="Arial" w:cs="Arial" w:eastAsia="Arial" w:hAnsi="Arial"/>
          <w:sz w:val="20"/>
          <w:szCs w:val="20"/>
          <w:color w:val="auto"/>
        </w:rPr>
        <w:t>–</w:t>
      </w:r>
      <w:r>
        <w:rPr>
          <w:rFonts w:ascii="Times New Roman" w:cs="Times New Roman" w:eastAsia="Times New Roman" w:hAnsi="Times New Roman"/>
          <w:sz w:val="20"/>
          <w:szCs w:val="20"/>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Level 3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Inputs to the valuation methodology are unobservable and significant to the fair value measurement.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Assets and Liabilities</w:t>
      </w:r>
    </w:p>
    <w:p>
      <w:pPr>
        <w:spacing w:after="0" w:line="13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We have estimated the fair value of our financial instruments as of September 30, 2023 using available market information or other appropriate valuation methodologies. The carrying amounts of cash and cash equivalents, receivables, payables and other current assets and liabilities approximate fair value because of the short maturity of those instruments. The carrying amounts due under the revolving credit facility approximate fair value as the interest on outstanding borrowings is calculated at a spread over either an Adjusted Term SOFR Rate, Adjusted EURIBOR </w:t>
      </w:r>
      <w:r>
        <w:rPr>
          <w:rFonts w:ascii="Arial" w:cs="Arial" w:eastAsia="Arial" w:hAnsi="Arial"/>
          <w:sz w:val="20"/>
          <w:szCs w:val="20"/>
          <w:color w:val="auto"/>
        </w:rPr>
        <w:t>Rate, Adjusted CDOR Rate, Alternate Base Rate or Daily Simple RFR, at the Company’s election</w:t>
      </w:r>
      <w:r>
        <w:rPr>
          <w:rFonts w:ascii="Times New Roman" w:cs="Times New Roman" w:eastAsia="Times New Roman" w:hAnsi="Times New Roman"/>
          <w:sz w:val="20"/>
          <w:szCs w:val="20"/>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130" w:lineRule="exact"/>
        <w:rPr>
          <w:sz w:val="20"/>
          <w:szCs w:val="20"/>
          <w:color w:val="auto"/>
        </w:rPr>
      </w:pPr>
    </w:p>
    <w:p>
      <w:pPr>
        <w:ind w:right="580"/>
        <w:spacing w:after="0" w:line="235" w:lineRule="auto"/>
        <w:rPr>
          <w:sz w:val="20"/>
          <w:szCs w:val="20"/>
          <w:color w:val="auto"/>
        </w:rPr>
      </w:pPr>
      <w:r>
        <w:rPr>
          <w:rFonts w:ascii="Times New Roman" w:cs="Times New Roman" w:eastAsia="Times New Roman" w:hAnsi="Times New Roman"/>
          <w:sz w:val="20"/>
          <w:szCs w:val="20"/>
          <w:color w:val="auto"/>
        </w:rPr>
        <w:t>Our nonfinancial assets such as property, plant and equipment, inventories, and other intangible assets are not measured at fair value on a recurring basis; however they are subject to fair value adjustments in certain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F-17</w:t>
      </w:r>
    </w:p>
    <w:p>
      <w:pPr>
        <w:sectPr>
          <w:pgSz w:w="12240" w:h="15840" w:orient="portrait"/>
          <w:cols w:equalWidth="0" w:num="1">
            <w:col w:w="9460"/>
          </w:cols>
          <w:pgMar w:left="1440" w:top="1440" w:right="1340" w:bottom="0" w:gutter="0" w:footer="0" w:header="0"/>
        </w:sectPr>
      </w:pPr>
    </w:p>
    <w:bookmarkStart w:id="58" w:name="page59"/>
    <w:bookmarkEnd w:id="58"/>
    <w:p>
      <w:pPr>
        <w:spacing w:after="0" w:line="8"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0"/>
          <w:szCs w:val="20"/>
          <w:color w:val="auto"/>
        </w:rPr>
        <w:t>circumstances, such as when there is evidence that an impairment may exist. No impairments were recorded during 2023.</w:t>
      </w:r>
    </w:p>
    <w:p>
      <w:pPr>
        <w:spacing w:after="0" w:line="200" w:lineRule="exact"/>
        <w:rPr>
          <w:sz w:val="20"/>
          <w:szCs w:val="20"/>
          <w:color w:val="auto"/>
        </w:rPr>
      </w:pPr>
    </w:p>
    <w:p>
      <w:pPr>
        <w:spacing w:after="0" w:line="27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tab/>
        <w:t>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2023</w:t>
      </w:r>
    </w:p>
    <w:p>
      <w:pPr>
        <w:spacing w:after="0" w:line="12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On February 1, 2023, we acquired CMT Materials, LLC and its affiliate Engineered Syntactic Systems, LLC (together, CMT) for a purchase price of approximately $18 million, net of cash acquired. CMT, based in Attleboro, Massachusetts, is a supplier of syntactic materials for buoyancy and specialty applications. Since the date of acquisition, the operating results for the CMT business have been included as part of Globe in the A&amp;D segment. The acquisition date fair value of the assets acquired and liabilities assumed primarily were as follows: approximately $1.7 million of accounts receivable, $3.0 million of inventory, $1.3 million of property, plant and equipment,</w:t>
      </w:r>
    </w:p>
    <w:p>
      <w:pPr>
        <w:spacing w:after="0" w:line="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$1.2 million of accounts payable and accrued expenses, and $7.3 million of identifiable intangible assets mainly consisting of customer relationships totaling $6.2 million. The acquired goodwill of $5.6 million related to excess value associated with opportunities to expand the services and products that we can offer to our customers. We anticipate that the goodwill will be deductible for tax purposes. We received a $0.2 million working capital settlement during the third quarter of 2023.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2022</w:t>
      </w:r>
    </w:p>
    <w:p>
      <w:pPr>
        <w:spacing w:after="0" w:line="12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On November 4, 2021, we acquired Networks Electronic Company, LLC (NEco) for a purchase price of approximately $15.4 million, net of cash acquired. NEco, based in Chatsworth, California, provides miniature electro-explosive devices utilized in mission-critical defense and aerospace applications. Since the date of acquisition, the operating results for the NEco business have been included as part of PTI in the A&amp;D segment. The acquisition date fair value of the assets acquired and liabilities assumed primarily were as follows: approximately $0.6 million of accounts receivable, $1.5 million of inventory, $0.2 million of property, plant and equipment, $0.7 million of accounts payable and accrued expenses, $8.1 million of identifiable intangible assets, mainly consisting of customer relationships totaling $6.3 million. The acquired goodwill of $5.7 million related to excess value associated with opportunities to expand the services and products that we can offer to our customers. We anticipate that the goodwill will be deductible for tax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2021</w:t>
      </w:r>
    </w:p>
    <w:p>
      <w:pPr>
        <w:spacing w:after="0" w:line="12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On August 9, 2021 we acquired the assets of Phenix Technologies, Inc. (Phenix), for a purchase price of approximately $47.2 million in cash. Phenix, based in Accident, Maryland, is a leading designer and manufacturer of high voltage, high current, high power test systems and components and solutions supporting the electric utility industry, high voltage test laboratories, and field service organizations worldwide. Since the date of acquisition, the operating results for the Phenix business have been included as part of the USG segment. The acquisition date fair value of the assets acquired and liabilities assumed were as follows: approximately $2.6 million of accounts receivable, $5.8 million of inventory, $8.0 million of property, plant and equipment, $6.2 million of accounts payable and accrued expenses, $3.7 million for tradenames, $9.6 million of customer relationships and $0.5 million of miscellaneous items. The tradename was determined to have an indefinite useful life and the customer relationships were determined to have a useful life of 13 years. The acquired goodwill of $18.7 million relates to excess value associated with opportunities to expand the services and products that we can offer to our customers, with approximately $15 million of goodwill deductible for tax purposes. During the fourth quarter of 2022, we received $4.6 million upon finalization of the working capital adjustment.</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 xml:space="preserve">On July 29, 2021 we acquired I.S.A.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Altanova Group S.r.l., (Altanova), headquartered in Taino, Italy, for a purchase price of approximately $115 million, net of cash acquired. Altanova is a supplier of diagnostic products, monitoring systems and services related to power generation, transmission and distribution networks, renewable energy and storage, and process industries to customers in more than 100 countries. Since the date of acquisition, the operating results for the Altanova business have been included as part of the USG segment. The acquisition date fair value of the assets acquired and liabilities assumed were as follows: $9.7 million of accounts receivable, $5.6 million of inventory, $1.2 million of property, plant and equipment, $9.0 million of other assets, $12.8 million of accounts payable and accrued expenses, $6.9 million of other liabilities, $16.7 million of deferred tax liabilities, $50.5 million of customer relationships and $4.3 million of tradenames. The tradename was determined to have a useful life of ten years and the customer relationships were determined to have a useful life of twenty years. The acquired goodwill of $71.1 million relates to the excess value associated with opportunities to expand the services and products that we can offer to our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ectPr>
          <w:pgSz w:w="12240" w:h="15840" w:orient="portrait"/>
          <w:cols w:equalWidth="0" w:num="1">
            <w:col w:w="9500"/>
          </w:cols>
          <w:pgMar w:left="1440" w:top="1440" w:right="1300"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customers, access to new markets, and synergies anticipated by combining Altanova with existing USG businesses.</w:t>
      </w:r>
    </w:p>
    <w:p>
      <w:pPr>
        <w:spacing w:after="0"/>
        <w:rPr>
          <w:sz w:val="20"/>
          <w:szCs w:val="20"/>
          <w:color w:val="auto"/>
        </w:rPr>
      </w:pPr>
      <w:r>
        <w:rPr>
          <w:rFonts w:ascii="Times New Roman" w:cs="Times New Roman" w:eastAsia="Times New Roman" w:hAnsi="Times New Roman"/>
          <w:sz w:val="20"/>
          <w:szCs w:val="20"/>
          <w:color w:val="auto"/>
        </w:rPr>
        <w:t>The goodwill is not deductible for tax purposes.</w:t>
      </w:r>
    </w:p>
    <w:p>
      <w:pPr>
        <w:spacing w:after="0" w:line="12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0"/>
          <w:szCs w:val="20"/>
          <w:color w:val="auto"/>
        </w:rPr>
        <w:t>We accounted for these acquisitions using the purchase method of accounting, and accordingly, we allocated the respective purchase prices to the assets (including intangible assets) acquired and liabilities assumed based on estimated fair values at the date of acquisition. We have included the financial results from these acquisitions in our financial statements from the date of acquisition.</w:t>
      </w:r>
    </w:p>
    <w:p>
      <w:pPr>
        <w:spacing w:after="0" w:line="3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tab/>
        <w:t>Goodwill and Other Intangible Assets</w:t>
      </w:r>
    </w:p>
    <w:p>
      <w:pPr>
        <w:spacing w:after="0" w:line="129" w:lineRule="exact"/>
        <w:rPr>
          <w:sz w:val="20"/>
          <w:szCs w:val="20"/>
          <w:color w:val="auto"/>
        </w:rPr>
      </w:pPr>
    </w:p>
    <w:p>
      <w:pPr>
        <w:ind w:right="420"/>
        <w:spacing w:after="0" w:line="235" w:lineRule="auto"/>
        <w:rPr>
          <w:sz w:val="20"/>
          <w:szCs w:val="20"/>
          <w:color w:val="auto"/>
        </w:rPr>
      </w:pPr>
      <w:r>
        <w:rPr>
          <w:rFonts w:ascii="Times New Roman" w:cs="Times New Roman" w:eastAsia="Times New Roman" w:hAnsi="Times New Roman"/>
          <w:sz w:val="20"/>
          <w:szCs w:val="20"/>
          <w:color w:val="auto"/>
        </w:rPr>
        <w:t>Included on the Consolidated Balance Sheets at September 30, 2023 and 2022 are the following intangible assets gross carrying amounts and accumulated amortization: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thousands)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6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r>
      <w:tr>
        <w:trPr>
          <w:trHeight w:val="239"/>
        </w:trPr>
        <w:tc>
          <w:tcPr>
            <w:tcW w:w="5760" w:type="dxa"/>
            <w:vAlign w:val="bottom"/>
          </w:tcPr>
          <w:p>
            <w:pPr>
              <w:spacing w:after="0"/>
              <w:rPr>
                <w:sz w:val="20"/>
                <w:szCs w:val="20"/>
                <w:color w:val="auto"/>
              </w:rPr>
            </w:pPr>
            <w:r>
              <w:rPr>
                <w:rFonts w:ascii="Arial" w:cs="Arial" w:eastAsia="Arial" w:hAnsi="Arial"/>
                <w:sz w:val="20"/>
                <w:szCs w:val="20"/>
                <w:color w:val="auto"/>
              </w:rPr>
              <w:t>Goodwill</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503,177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492,709</w:t>
            </w:r>
          </w:p>
        </w:tc>
      </w:tr>
      <w:tr>
        <w:trPr>
          <w:trHeight w:val="460"/>
        </w:trPr>
        <w:tc>
          <w:tcPr>
            <w:tcW w:w="5760" w:type="dxa"/>
            <w:vAlign w:val="bottom"/>
          </w:tcPr>
          <w:p>
            <w:pPr>
              <w:spacing w:after="0"/>
              <w:rPr>
                <w:sz w:val="20"/>
                <w:szCs w:val="20"/>
                <w:color w:val="auto"/>
              </w:rPr>
            </w:pPr>
            <w:r>
              <w:rPr>
                <w:rFonts w:ascii="Arial" w:cs="Arial" w:eastAsia="Arial" w:hAnsi="Arial"/>
                <w:sz w:val="20"/>
                <w:szCs w:val="20"/>
                <w:color w:val="auto"/>
              </w:rPr>
              <w:t>Intangible assets with determinable lives: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26"/>
        </w:trPr>
        <w:tc>
          <w:tcPr>
            <w:tcW w:w="5760" w:type="dxa"/>
            <w:vAlign w:val="bottom"/>
          </w:tcPr>
          <w:p>
            <w:pPr>
              <w:ind w:left="180"/>
              <w:spacing w:after="0" w:line="227" w:lineRule="exact"/>
              <w:rPr>
                <w:sz w:val="20"/>
                <w:szCs w:val="20"/>
                <w:color w:val="auto"/>
              </w:rPr>
            </w:pPr>
            <w:r>
              <w:rPr>
                <w:rFonts w:ascii="Arial" w:cs="Arial" w:eastAsia="Arial" w:hAnsi="Arial"/>
                <w:sz w:val="20"/>
                <w:szCs w:val="20"/>
                <w:color w:val="auto"/>
              </w:rPr>
              <w:t>Patents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20"/>
                <w:szCs w:val="20"/>
                <w:color w:val="auto"/>
              </w:rPr>
              <w:t>Gross carrying amount</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2,516</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2,353</w:t>
            </w:r>
          </w:p>
        </w:tc>
      </w:tr>
      <w:tr>
        <w:trPr>
          <w:trHeight w:val="231"/>
        </w:trPr>
        <w:tc>
          <w:tcPr>
            <w:tcW w:w="5760" w:type="dxa"/>
            <w:vAlign w:val="bottom"/>
          </w:tcPr>
          <w:p>
            <w:pPr>
              <w:ind w:left="360"/>
              <w:spacing w:after="0"/>
              <w:rPr>
                <w:sz w:val="20"/>
                <w:szCs w:val="20"/>
                <w:color w:val="auto"/>
              </w:rPr>
            </w:pPr>
            <w:r>
              <w:rPr>
                <w:rFonts w:ascii="Arial" w:cs="Arial" w:eastAsia="Arial" w:hAnsi="Arial"/>
                <w:sz w:val="20"/>
                <w:szCs w:val="20"/>
                <w:color w:val="auto"/>
              </w:rPr>
              <w:t>Less: accumulated 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1,218</w:t>
            </w:r>
          </w:p>
        </w:tc>
        <w:tc>
          <w:tcPr>
            <w:tcW w:w="26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1,091</w:t>
            </w:r>
          </w:p>
        </w:tc>
      </w:tr>
      <w:tr>
        <w:trPr>
          <w:trHeight w:val="239"/>
        </w:trPr>
        <w:tc>
          <w:tcPr>
            <w:tcW w:w="5760" w:type="dxa"/>
            <w:vAlign w:val="bottom"/>
          </w:tcPr>
          <w:p>
            <w:pPr>
              <w:ind w:left="540"/>
              <w:spacing w:after="0"/>
              <w:rPr>
                <w:sz w:val="20"/>
                <w:szCs w:val="20"/>
                <w:color w:val="auto"/>
              </w:rPr>
            </w:pPr>
            <w:r>
              <w:rPr>
                <w:rFonts w:ascii="Arial" w:cs="Arial" w:eastAsia="Arial" w:hAnsi="Arial"/>
                <w:sz w:val="20"/>
                <w:szCs w:val="20"/>
                <w:color w:val="auto"/>
              </w:rPr>
              <w:t>Net</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1,298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1,262</w:t>
            </w:r>
          </w:p>
        </w:tc>
      </w:tr>
      <w:tr>
        <w:trPr>
          <w:trHeight w:val="460"/>
        </w:trPr>
        <w:tc>
          <w:tcPr>
            <w:tcW w:w="5760" w:type="dxa"/>
            <w:vAlign w:val="bottom"/>
          </w:tcPr>
          <w:p>
            <w:pPr>
              <w:ind w:left="180"/>
              <w:spacing w:after="0"/>
              <w:rPr>
                <w:sz w:val="20"/>
                <w:szCs w:val="20"/>
                <w:color w:val="auto"/>
              </w:rPr>
            </w:pPr>
            <w:r>
              <w:rPr>
                <w:rFonts w:ascii="Arial" w:cs="Arial" w:eastAsia="Arial" w:hAnsi="Arial"/>
                <w:sz w:val="20"/>
                <w:szCs w:val="20"/>
                <w:color w:val="auto"/>
              </w:rPr>
              <w:t>Capitalized software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20"/>
                <w:szCs w:val="20"/>
                <w:color w:val="auto"/>
              </w:rPr>
              <w:t>Gross carrying amount</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121,883</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106,583</w:t>
            </w:r>
          </w:p>
        </w:tc>
      </w:tr>
      <w:tr>
        <w:trPr>
          <w:trHeight w:val="231"/>
        </w:trPr>
        <w:tc>
          <w:tcPr>
            <w:tcW w:w="5760" w:type="dxa"/>
            <w:vAlign w:val="bottom"/>
          </w:tcPr>
          <w:p>
            <w:pPr>
              <w:ind w:left="360"/>
              <w:spacing w:after="0"/>
              <w:rPr>
                <w:sz w:val="20"/>
                <w:szCs w:val="20"/>
                <w:color w:val="auto"/>
              </w:rPr>
            </w:pPr>
            <w:r>
              <w:rPr>
                <w:rFonts w:ascii="Arial" w:cs="Arial" w:eastAsia="Arial" w:hAnsi="Arial"/>
                <w:sz w:val="20"/>
                <w:szCs w:val="20"/>
                <w:color w:val="auto"/>
              </w:rPr>
              <w:t>Less: accumulated 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80,774</w:t>
            </w:r>
          </w:p>
        </w:tc>
        <w:tc>
          <w:tcPr>
            <w:tcW w:w="26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70,476</w:t>
            </w:r>
          </w:p>
        </w:tc>
      </w:tr>
      <w:tr>
        <w:trPr>
          <w:trHeight w:val="239"/>
        </w:trPr>
        <w:tc>
          <w:tcPr>
            <w:tcW w:w="5760" w:type="dxa"/>
            <w:vAlign w:val="bottom"/>
          </w:tcPr>
          <w:p>
            <w:pPr>
              <w:ind w:left="540"/>
              <w:spacing w:after="0"/>
              <w:rPr>
                <w:sz w:val="20"/>
                <w:szCs w:val="20"/>
                <w:color w:val="auto"/>
              </w:rPr>
            </w:pPr>
            <w:r>
              <w:rPr>
                <w:rFonts w:ascii="Arial" w:cs="Arial" w:eastAsia="Arial" w:hAnsi="Arial"/>
                <w:sz w:val="20"/>
                <w:szCs w:val="20"/>
                <w:color w:val="auto"/>
              </w:rPr>
              <w:t>Net</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41,109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36,107</w:t>
            </w:r>
          </w:p>
        </w:tc>
      </w:tr>
      <w:tr>
        <w:trPr>
          <w:trHeight w:val="455"/>
        </w:trPr>
        <w:tc>
          <w:tcPr>
            <w:tcW w:w="5760" w:type="dxa"/>
            <w:vAlign w:val="bottom"/>
          </w:tcPr>
          <w:p>
            <w:pPr>
              <w:ind w:left="180"/>
              <w:spacing w:after="0"/>
              <w:rPr>
                <w:sz w:val="20"/>
                <w:szCs w:val="20"/>
                <w:color w:val="auto"/>
              </w:rPr>
            </w:pPr>
            <w:r>
              <w:rPr>
                <w:rFonts w:ascii="Arial" w:cs="Arial" w:eastAsia="Arial" w:hAnsi="Arial"/>
                <w:sz w:val="20"/>
                <w:szCs w:val="20"/>
                <w:color w:val="auto"/>
              </w:rPr>
              <w:t>Customer Relationships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20"/>
                <w:szCs w:val="20"/>
                <w:color w:val="auto"/>
              </w:rPr>
              <w:t>Gross carrying amount</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296,927</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287,447</w:t>
            </w:r>
          </w:p>
        </w:tc>
      </w:tr>
      <w:tr>
        <w:trPr>
          <w:trHeight w:val="231"/>
        </w:trPr>
        <w:tc>
          <w:tcPr>
            <w:tcW w:w="5760" w:type="dxa"/>
            <w:vAlign w:val="bottom"/>
          </w:tcPr>
          <w:p>
            <w:pPr>
              <w:ind w:left="360"/>
              <w:spacing w:after="0"/>
              <w:rPr>
                <w:sz w:val="20"/>
                <w:szCs w:val="20"/>
                <w:color w:val="auto"/>
              </w:rPr>
            </w:pPr>
            <w:r>
              <w:rPr>
                <w:rFonts w:ascii="Arial" w:cs="Arial" w:eastAsia="Arial" w:hAnsi="Arial"/>
                <w:sz w:val="20"/>
                <w:szCs w:val="20"/>
                <w:color w:val="auto"/>
              </w:rPr>
              <w:t>Less: accumulated 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113,311</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96,921</w:t>
            </w:r>
          </w:p>
        </w:tc>
      </w:tr>
      <w:tr>
        <w:trPr>
          <w:trHeight w:val="240"/>
        </w:trPr>
        <w:tc>
          <w:tcPr>
            <w:tcW w:w="5760" w:type="dxa"/>
            <w:vAlign w:val="bottom"/>
          </w:tcPr>
          <w:p>
            <w:pPr>
              <w:ind w:left="540"/>
              <w:spacing w:after="0"/>
              <w:rPr>
                <w:sz w:val="20"/>
                <w:szCs w:val="20"/>
                <w:color w:val="auto"/>
              </w:rPr>
            </w:pPr>
            <w:r>
              <w:rPr>
                <w:rFonts w:ascii="Arial" w:cs="Arial" w:eastAsia="Arial" w:hAnsi="Arial"/>
                <w:sz w:val="20"/>
                <w:szCs w:val="20"/>
                <w:color w:val="auto"/>
              </w:rPr>
              <w:t>Net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183,616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190,526</w:t>
            </w:r>
          </w:p>
        </w:tc>
      </w:tr>
      <w:tr>
        <w:trPr>
          <w:trHeight w:val="460"/>
        </w:trPr>
        <w:tc>
          <w:tcPr>
            <w:tcW w:w="5760" w:type="dxa"/>
            <w:vAlign w:val="bottom"/>
          </w:tcPr>
          <w:p>
            <w:pPr>
              <w:ind w:left="180"/>
              <w:spacing w:after="0"/>
              <w:rPr>
                <w:sz w:val="20"/>
                <w:szCs w:val="20"/>
                <w:color w:val="auto"/>
              </w:rPr>
            </w:pPr>
            <w:r>
              <w:rPr>
                <w:rFonts w:ascii="Arial" w:cs="Arial" w:eastAsia="Arial" w:hAnsi="Arial"/>
                <w:sz w:val="20"/>
                <w:szCs w:val="20"/>
                <w:color w:val="auto"/>
              </w:rPr>
              <w:t>Other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20"/>
                <w:szCs w:val="20"/>
                <w:color w:val="auto"/>
              </w:rPr>
              <w:t>Gross carrying amount</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14,232</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13,985</w:t>
            </w:r>
          </w:p>
        </w:tc>
      </w:tr>
      <w:tr>
        <w:trPr>
          <w:trHeight w:val="231"/>
        </w:trPr>
        <w:tc>
          <w:tcPr>
            <w:tcW w:w="5760" w:type="dxa"/>
            <w:vAlign w:val="bottom"/>
          </w:tcPr>
          <w:p>
            <w:pPr>
              <w:ind w:left="360"/>
              <w:spacing w:after="0"/>
              <w:rPr>
                <w:sz w:val="20"/>
                <w:szCs w:val="20"/>
                <w:color w:val="auto"/>
              </w:rPr>
            </w:pPr>
            <w:r>
              <w:rPr>
                <w:rFonts w:ascii="Arial" w:cs="Arial" w:eastAsia="Arial" w:hAnsi="Arial"/>
                <w:sz w:val="20"/>
                <w:szCs w:val="20"/>
                <w:color w:val="auto"/>
              </w:rPr>
              <w:t>Less: accumulated 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9,578</w:t>
            </w:r>
          </w:p>
        </w:tc>
        <w:tc>
          <w:tcPr>
            <w:tcW w:w="26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7,440</w:t>
            </w:r>
          </w:p>
        </w:tc>
      </w:tr>
      <w:tr>
        <w:trPr>
          <w:trHeight w:val="239"/>
        </w:trPr>
        <w:tc>
          <w:tcPr>
            <w:tcW w:w="5760" w:type="dxa"/>
            <w:vAlign w:val="bottom"/>
          </w:tcPr>
          <w:p>
            <w:pPr>
              <w:ind w:left="540"/>
              <w:spacing w:after="0"/>
              <w:rPr>
                <w:sz w:val="20"/>
                <w:szCs w:val="20"/>
                <w:color w:val="auto"/>
              </w:rPr>
            </w:pPr>
            <w:r>
              <w:rPr>
                <w:rFonts w:ascii="Arial" w:cs="Arial" w:eastAsia="Arial" w:hAnsi="Arial"/>
                <w:sz w:val="20"/>
                <w:szCs w:val="20"/>
                <w:color w:val="auto"/>
              </w:rPr>
              <w:t>Net</w:t>
            </w:r>
          </w:p>
        </w:tc>
        <w:tc>
          <w:tcPr>
            <w:tcW w:w="46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4,654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6,545</w:t>
            </w:r>
          </w:p>
        </w:tc>
      </w:tr>
      <w:tr>
        <w:trPr>
          <w:trHeight w:val="227"/>
        </w:trPr>
        <w:tc>
          <w:tcPr>
            <w:tcW w:w="5760" w:type="dxa"/>
            <w:vAlign w:val="bottom"/>
          </w:tcPr>
          <w:p>
            <w:pPr>
              <w:spacing w:after="0" w:line="227" w:lineRule="exact"/>
              <w:rPr>
                <w:sz w:val="20"/>
                <w:szCs w:val="20"/>
                <w:color w:val="auto"/>
              </w:rPr>
            </w:pPr>
            <w:r>
              <w:rPr>
                <w:rFonts w:ascii="Arial" w:cs="Arial" w:eastAsia="Arial" w:hAnsi="Arial"/>
                <w:sz w:val="20"/>
                <w:szCs w:val="20"/>
                <w:color w:val="auto"/>
              </w:rPr>
              <w:t>Intangible assets with indefinite lives: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44"/>
        </w:trPr>
        <w:tc>
          <w:tcPr>
            <w:tcW w:w="5760" w:type="dxa"/>
            <w:vAlign w:val="bottom"/>
          </w:tcPr>
          <w:p>
            <w:pPr>
              <w:ind w:left="180"/>
              <w:spacing w:after="0" w:line="229" w:lineRule="exact"/>
              <w:rPr>
                <w:sz w:val="20"/>
                <w:szCs w:val="20"/>
                <w:color w:val="auto"/>
              </w:rPr>
            </w:pPr>
            <w:r>
              <w:rPr>
                <w:rFonts w:ascii="Arial" w:cs="Arial" w:eastAsia="Arial" w:hAnsi="Arial"/>
                <w:sz w:val="20"/>
                <w:szCs w:val="20"/>
                <w:color w:val="auto"/>
              </w:rPr>
              <w:t>Trade names</w:t>
            </w:r>
          </w:p>
        </w:tc>
        <w:tc>
          <w:tcPr>
            <w:tcW w:w="18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104"/>
              <w:spacing w:after="0" w:line="229" w:lineRule="exact"/>
              <w:rPr>
                <w:sz w:val="20"/>
                <w:szCs w:val="20"/>
                <w:color w:val="auto"/>
              </w:rPr>
            </w:pPr>
            <w:r>
              <w:rPr>
                <w:rFonts w:ascii="Arial" w:cs="Arial" w:eastAsia="Arial" w:hAnsi="Arial"/>
                <w:sz w:val="20"/>
                <w:szCs w:val="20"/>
                <w:b w:val="1"/>
                <w:bCs w:val="1"/>
                <w:color w:val="auto"/>
                <w:w w:val="71"/>
              </w:rPr>
              <w:t>$</w:t>
            </w:r>
          </w:p>
        </w:tc>
        <w:tc>
          <w:tcPr>
            <w:tcW w:w="8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b w:val="1"/>
                <w:bCs w:val="1"/>
                <w:color w:val="auto"/>
              </w:rPr>
              <w:t>161,447</w:t>
            </w:r>
          </w:p>
        </w:tc>
        <w:tc>
          <w:tcPr>
            <w:tcW w:w="24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line="229" w:lineRule="exact"/>
              <w:rPr>
                <w:sz w:val="20"/>
                <w:szCs w:val="20"/>
                <w:color w:val="auto"/>
              </w:rPr>
            </w:pPr>
            <w:r>
              <w:rPr>
                <w:rFonts w:ascii="Arial" w:cs="Arial" w:eastAsia="Arial" w:hAnsi="Arial"/>
                <w:sz w:val="20"/>
                <w:szCs w:val="20"/>
                <w:color w:val="auto"/>
              </w:rPr>
              <w:t>160,024</w:t>
            </w:r>
          </w:p>
        </w:tc>
      </w:tr>
    </w:tbl>
    <w:p>
      <w:pPr>
        <w:spacing w:after="0" w:line="12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We performed our annual evaluation of goodwill and intangible assets for impairment during the fourth quarter of 2023 and concluded that no impairment existed at September 30, 2023. There were no accumulated impairment losses as of September 30, 2023.</w:t>
      </w:r>
    </w:p>
    <w:p>
      <w:pPr>
        <w:spacing w:after="0" w:line="131" w:lineRule="exact"/>
        <w:rPr>
          <w:sz w:val="20"/>
          <w:szCs w:val="20"/>
          <w:color w:val="auto"/>
        </w:rPr>
      </w:pPr>
    </w:p>
    <w:p>
      <w:pPr>
        <w:ind w:right="540"/>
        <w:spacing w:after="0" w:line="235" w:lineRule="auto"/>
        <w:rPr>
          <w:sz w:val="20"/>
          <w:szCs w:val="20"/>
          <w:color w:val="auto"/>
        </w:rPr>
      </w:pPr>
      <w:r>
        <w:rPr>
          <w:rFonts w:ascii="Times New Roman" w:cs="Times New Roman" w:eastAsia="Times New Roman" w:hAnsi="Times New Roman"/>
          <w:sz w:val="20"/>
          <w:szCs w:val="20"/>
          <w:color w:val="auto"/>
        </w:rPr>
        <w:t>The changes in the carrying amount of goodwill attributable to each business segment for 2023 and 2022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00" w:type="dxa"/>
            <w:vAlign w:val="bottom"/>
          </w:tcPr>
          <w:p>
            <w:pPr>
              <w:spacing w:after="0"/>
              <w:rPr>
                <w:sz w:val="20"/>
                <w:szCs w:val="20"/>
                <w:color w:val="auto"/>
              </w:rPr>
            </w:pPr>
            <w:r>
              <w:rPr>
                <w:rFonts w:ascii="Arial" w:cs="Arial" w:eastAsia="Arial" w:hAnsi="Arial"/>
                <w:sz w:val="20"/>
                <w:szCs w:val="20"/>
                <w:color w:val="auto"/>
              </w:rPr>
              <w:t>(Dollars in millions)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A&amp;D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ind w:left="540"/>
              <w:spacing w:after="0"/>
              <w:rPr>
                <w:sz w:val="20"/>
                <w:szCs w:val="20"/>
                <w:color w:val="auto"/>
              </w:rPr>
            </w:pPr>
            <w:r>
              <w:rPr>
                <w:rFonts w:ascii="Arial" w:cs="Arial" w:eastAsia="Arial" w:hAnsi="Arial"/>
                <w:sz w:val="20"/>
                <w:szCs w:val="20"/>
                <w:color w:val="auto"/>
              </w:rPr>
              <w:t>Test</w:t>
            </w:r>
          </w:p>
        </w:tc>
        <w:tc>
          <w:tcPr>
            <w:tcW w:w="60" w:type="dxa"/>
            <w:vAlign w:val="bottom"/>
          </w:tcPr>
          <w:p>
            <w:pPr>
              <w:spacing w:after="0"/>
              <w:rPr>
                <w:sz w:val="20"/>
                <w:szCs w:val="20"/>
                <w:color w:val="auto"/>
              </w:rPr>
            </w:pPr>
          </w:p>
        </w:tc>
        <w:tc>
          <w:tcPr>
            <w:tcW w:w="1040" w:type="dxa"/>
            <w:vAlign w:val="bottom"/>
            <w:gridSpan w:val="3"/>
          </w:tcPr>
          <w:p>
            <w:pPr>
              <w:ind w:left="520"/>
              <w:spacing w:after="0"/>
              <w:rPr>
                <w:sz w:val="20"/>
                <w:szCs w:val="20"/>
                <w:color w:val="auto"/>
              </w:rPr>
            </w:pPr>
            <w:r>
              <w:rPr>
                <w:rFonts w:ascii="Arial" w:cs="Arial" w:eastAsia="Arial" w:hAnsi="Arial"/>
                <w:sz w:val="20"/>
                <w:szCs w:val="20"/>
                <w:color w:val="auto"/>
              </w:rPr>
              <w:t>USG</w:t>
            </w: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Total</w:t>
            </w:r>
          </w:p>
        </w:tc>
      </w:tr>
      <w:tr>
        <w:trPr>
          <w:trHeight w:val="229"/>
        </w:trPr>
        <w:tc>
          <w:tcPr>
            <w:tcW w:w="36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Balance as of September 30, 2021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104.3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34.1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366.5</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504.9</w:t>
            </w:r>
          </w:p>
        </w:tc>
        <w:tc>
          <w:tcPr>
            <w:tcW w:w="8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20"/>
                <w:szCs w:val="20"/>
                <w:color w:val="auto"/>
              </w:rPr>
              <w:t>Acquisition activity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20"/>
                <w:szCs w:val="20"/>
                <w:color w:val="auto"/>
              </w:rPr>
              <w:t>(4.7)</w:t>
            </w: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19"/>
                <w:szCs w:val="19"/>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20"/>
                <w:szCs w:val="20"/>
                <w:color w:val="auto"/>
              </w:rPr>
              <w:t>Foreign currency translation and other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5"/>
          </w:tcPr>
          <w:p>
            <w:pPr>
              <w:jc w:val="right"/>
              <w:spacing w:after="0"/>
              <w:rPr>
                <w:sz w:val="20"/>
                <w:szCs w:val="20"/>
                <w:color w:val="auto"/>
              </w:rPr>
            </w:pPr>
            <w:r>
              <w:rPr>
                <w:rFonts w:ascii="Arial" w:cs="Arial" w:eastAsia="Arial" w:hAnsi="Arial"/>
                <w:sz w:val="20"/>
                <w:szCs w:val="20"/>
                <w:color w:val="auto"/>
              </w:rPr>
              <w:t>(0.1)</w:t>
            </w:r>
          </w:p>
        </w:tc>
        <w:tc>
          <w:tcPr>
            <w:tcW w:w="2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20"/>
                <w:szCs w:val="20"/>
                <w:color w:val="auto"/>
              </w:rPr>
              <w:t>(13.1)</w:t>
            </w:r>
          </w:p>
        </w:tc>
        <w:tc>
          <w:tcPr>
            <w:tcW w:w="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(13.2 )</w:t>
            </w:r>
          </w:p>
        </w:tc>
      </w:tr>
      <w:tr>
        <w:trPr>
          <w:trHeight w:val="217"/>
        </w:trPr>
        <w:tc>
          <w:tcPr>
            <w:tcW w:w="3600" w:type="dxa"/>
            <w:vAlign w:val="bottom"/>
          </w:tcPr>
          <w:p>
            <w:pPr>
              <w:spacing w:after="0" w:line="217" w:lineRule="exact"/>
              <w:rPr>
                <w:sz w:val="20"/>
                <w:szCs w:val="20"/>
                <w:color w:val="auto"/>
              </w:rPr>
            </w:pPr>
            <w:r>
              <w:rPr>
                <w:rFonts w:ascii="Arial" w:cs="Arial" w:eastAsia="Arial" w:hAnsi="Arial"/>
                <w:sz w:val="20"/>
                <w:szCs w:val="20"/>
                <w:color w:val="auto"/>
              </w:rPr>
              <w:t>Balance as of September 30, 2022</w:t>
            </w:r>
          </w:p>
        </w:tc>
        <w:tc>
          <w:tcPr>
            <w:tcW w:w="300" w:type="dxa"/>
            <w:vAlign w:val="bottom"/>
            <w:gridSpan w:val="3"/>
          </w:tcPr>
          <w:p>
            <w:pPr>
              <w:jc w:val="right"/>
              <w:spacing w:after="0" w:line="217" w:lineRule="exact"/>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110.0</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92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34.0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348.7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492.7</w:t>
            </w:r>
          </w:p>
        </w:tc>
        <w:tc>
          <w:tcPr>
            <w:tcW w:w="80" w:type="dxa"/>
            <w:vAlign w:val="bottom"/>
          </w:tcPr>
          <w:p>
            <w:pPr>
              <w:spacing w:after="0"/>
              <w:rPr>
                <w:sz w:val="18"/>
                <w:szCs w:val="18"/>
                <w:color w:val="auto"/>
              </w:rPr>
            </w:pPr>
          </w:p>
        </w:tc>
      </w:tr>
      <w:tr>
        <w:trPr>
          <w:trHeight w:val="229"/>
        </w:trPr>
        <w:tc>
          <w:tcPr>
            <w:tcW w:w="3600" w:type="dxa"/>
            <w:vAlign w:val="bottom"/>
          </w:tcPr>
          <w:p>
            <w:pPr>
              <w:ind w:left="180"/>
              <w:spacing w:after="0" w:line="229" w:lineRule="exact"/>
              <w:rPr>
                <w:sz w:val="20"/>
                <w:szCs w:val="20"/>
                <w:color w:val="auto"/>
              </w:rPr>
            </w:pPr>
            <w:r>
              <w:rPr>
                <w:rFonts w:ascii="Arial" w:cs="Arial" w:eastAsia="Arial" w:hAnsi="Arial"/>
                <w:sz w:val="20"/>
                <w:szCs w:val="20"/>
                <w:color w:val="auto"/>
              </w:rPr>
              <w:t>Acquisition activity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color w:val="auto"/>
              </w:rPr>
              <w:t>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80"/>
              <w:spacing w:after="0" w:line="22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1040" w:type="dxa"/>
            <w:vAlign w:val="bottom"/>
            <w:gridSpan w:val="3"/>
          </w:tcPr>
          <w:p>
            <w:pPr>
              <w:jc w:val="right"/>
              <w:ind w:right="120"/>
              <w:spacing w:after="0" w:line="229"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9" w:lineRule="exact"/>
              <w:rPr>
                <w:sz w:val="20"/>
                <w:szCs w:val="20"/>
                <w:color w:val="auto"/>
              </w:rPr>
            </w:pPr>
            <w:r>
              <w:rPr>
                <w:rFonts w:ascii="Arial" w:cs="Arial" w:eastAsia="Arial" w:hAnsi="Arial"/>
                <w:sz w:val="20"/>
                <w:szCs w:val="20"/>
                <w:color w:val="auto"/>
              </w:rPr>
              <w:t>5.6</w:t>
            </w:r>
          </w:p>
        </w:tc>
        <w:tc>
          <w:tcPr>
            <w:tcW w:w="80" w:type="dxa"/>
            <w:vAlign w:val="bottom"/>
          </w:tcPr>
          <w:p>
            <w:pPr>
              <w:spacing w:after="0"/>
              <w:rPr>
                <w:sz w:val="19"/>
                <w:szCs w:val="19"/>
                <w:color w:val="auto"/>
              </w:rPr>
            </w:pPr>
          </w:p>
        </w:tc>
      </w:tr>
      <w:tr>
        <w:trPr>
          <w:trHeight w:val="250"/>
        </w:trPr>
        <w:tc>
          <w:tcPr>
            <w:tcW w:w="3600" w:type="dxa"/>
            <w:vAlign w:val="bottom"/>
          </w:tcPr>
          <w:p>
            <w:pPr>
              <w:ind w:left="180"/>
              <w:spacing w:after="0"/>
              <w:rPr>
                <w:sz w:val="20"/>
                <w:szCs w:val="20"/>
                <w:color w:val="auto"/>
              </w:rPr>
            </w:pPr>
            <w:r>
              <w:rPr>
                <w:rFonts w:ascii="Arial" w:cs="Arial" w:eastAsia="Arial" w:hAnsi="Arial"/>
                <w:sz w:val="20"/>
                <w:szCs w:val="20"/>
                <w:color w:val="auto"/>
              </w:rPr>
              <w:t>Foreign currency translation and other</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w:t>
            </w:r>
          </w:p>
        </w:tc>
        <w:tc>
          <w:tcPr>
            <w:tcW w:w="80" w:type="dxa"/>
            <w:vAlign w:val="bottom"/>
          </w:tcPr>
          <w:p>
            <w:pPr>
              <w:spacing w:after="0"/>
              <w:rPr>
                <w:sz w:val="21"/>
                <w:szCs w:val="21"/>
                <w:color w:val="auto"/>
              </w:rPr>
            </w:pPr>
          </w:p>
        </w:tc>
      </w:tr>
      <w:tr>
        <w:trPr>
          <w:trHeight w:val="232"/>
        </w:trPr>
        <w:tc>
          <w:tcPr>
            <w:tcW w:w="3600" w:type="dxa"/>
            <w:vAlign w:val="bottom"/>
          </w:tcPr>
          <w:p>
            <w:pPr>
              <w:spacing w:after="0"/>
              <w:rPr>
                <w:sz w:val="20"/>
                <w:szCs w:val="20"/>
                <w:color w:val="auto"/>
              </w:rPr>
            </w:pPr>
            <w:r>
              <w:rPr>
                <w:rFonts w:ascii="Arial" w:cs="Arial" w:eastAsia="Arial" w:hAnsi="Arial"/>
                <w:sz w:val="20"/>
                <w:szCs w:val="20"/>
                <w:color w:val="auto"/>
              </w:rPr>
              <w:t>Balance as of September 30, 2023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115.6</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34.0</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353.6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503.2</w:t>
            </w:r>
          </w:p>
        </w:tc>
        <w:tc>
          <w:tcPr>
            <w:tcW w:w="8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 expense related to intangible assets with determinable lives was $29.0 million, $25.9 million and</w:t>
      </w:r>
    </w:p>
    <w:p>
      <w:pPr>
        <w:spacing w:after="0" w:line="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$20.8 million in 2023, 2022 and 2021, respectively. Patents are amortized over the life of the patents, generally ten to twenty years. Capitalized software is amortized over the estimated useful life of the software, generally three to seven</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F-19</w:t>
      </w:r>
    </w:p>
    <w:p>
      <w:pPr>
        <w:sectPr>
          <w:pgSz w:w="12240" w:h="15840" w:orient="portrait"/>
          <w:cols w:equalWidth="0" w:num="1">
            <w:col w:w="9460"/>
          </w:cols>
          <w:pgMar w:left="1440" w:top="1439" w:right="1340" w:bottom="0" w:gutter="0" w:footer="0" w:header="0"/>
        </w:sectPr>
      </w:pPr>
    </w:p>
    <w:bookmarkStart w:id="60" w:name="page61"/>
    <w:bookmarkEnd w:id="60"/>
    <w:p>
      <w:pPr>
        <w:spacing w:after="0" w:line="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years. Customer relationships are generally amortized over thirteen to twenty years. Intangible asset amortization for fiscal years 2024 through 2027 is estimated at approximately $17 million per year, and approximately $14.5 million in 2028.</w:t>
      </w:r>
    </w:p>
    <w:p>
      <w:pPr>
        <w:spacing w:after="0" w:line="3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tab/>
        <w:t>Inventories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consisted of the following at September 30, 2023 and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thousands)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00" w:type="dxa"/>
            <w:vAlign w:val="bottom"/>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r>
      <w:tr>
        <w:trPr>
          <w:trHeight w:val="229"/>
        </w:trPr>
        <w:tc>
          <w:tcPr>
            <w:tcW w:w="5680" w:type="dxa"/>
            <w:vAlign w:val="bottom"/>
          </w:tcPr>
          <w:p>
            <w:pPr>
              <w:spacing w:after="0"/>
              <w:rPr>
                <w:sz w:val="20"/>
                <w:szCs w:val="20"/>
                <w:color w:val="auto"/>
              </w:rPr>
            </w:pPr>
            <w:r>
              <w:rPr>
                <w:rFonts w:ascii="Arial" w:cs="Arial" w:eastAsia="Arial" w:hAnsi="Arial"/>
                <w:sz w:val="20"/>
                <w:szCs w:val="20"/>
                <w:color w:val="auto"/>
              </w:rPr>
              <w:t>Finished goods</w:t>
            </w:r>
          </w:p>
        </w:tc>
        <w:tc>
          <w:tcPr>
            <w:tcW w:w="300" w:type="dxa"/>
            <w:vAlign w:val="bottom"/>
            <w:gridSpan w:val="3"/>
          </w:tcPr>
          <w:p>
            <w:pPr>
              <w:jc w:val="right"/>
              <w:ind w:right="14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34,577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32,471</w:t>
            </w:r>
          </w:p>
        </w:tc>
      </w:tr>
      <w:tr>
        <w:trPr>
          <w:trHeight w:val="230"/>
        </w:trPr>
        <w:tc>
          <w:tcPr>
            <w:tcW w:w="5680" w:type="dxa"/>
            <w:vAlign w:val="bottom"/>
          </w:tcPr>
          <w:p>
            <w:pPr>
              <w:spacing w:after="0"/>
              <w:rPr>
                <w:sz w:val="20"/>
                <w:szCs w:val="20"/>
                <w:color w:val="auto"/>
              </w:rPr>
            </w:pPr>
            <w:r>
              <w:rPr>
                <w:rFonts w:ascii="Arial" w:cs="Arial" w:eastAsia="Arial" w:hAnsi="Arial"/>
                <w:sz w:val="20"/>
                <w:szCs w:val="20"/>
                <w:color w:val="auto"/>
              </w:rPr>
              <w:t>Work in process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42,178</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38,492</w:t>
            </w:r>
          </w:p>
        </w:tc>
      </w:tr>
      <w:tr>
        <w:trPr>
          <w:trHeight w:val="231"/>
        </w:trPr>
        <w:tc>
          <w:tcPr>
            <w:tcW w:w="5680" w:type="dxa"/>
            <w:vAlign w:val="bottom"/>
          </w:tcPr>
          <w:p>
            <w:pPr>
              <w:spacing w:after="0"/>
              <w:rPr>
                <w:sz w:val="20"/>
                <w:szCs w:val="20"/>
                <w:color w:val="auto"/>
              </w:rPr>
            </w:pPr>
            <w:r>
              <w:rPr>
                <w:rFonts w:ascii="Arial" w:cs="Arial" w:eastAsia="Arial" w:hAnsi="Arial"/>
                <w:sz w:val="20"/>
                <w:szCs w:val="20"/>
                <w:color w:val="auto"/>
              </w:rPr>
              <w:t>Raw materials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107,312</w:t>
            </w:r>
          </w:p>
        </w:tc>
        <w:tc>
          <w:tcPr>
            <w:tcW w:w="200" w:type="dxa"/>
            <w:vAlign w:val="bottom"/>
            <w:gridSpan w:val="2"/>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91,440</w:t>
            </w:r>
          </w:p>
        </w:tc>
      </w:tr>
      <w:tr>
        <w:trPr>
          <w:trHeight w:val="232"/>
        </w:trPr>
        <w:tc>
          <w:tcPr>
            <w:tcW w:w="5680" w:type="dxa"/>
            <w:vAlign w:val="bottom"/>
          </w:tcPr>
          <w:p>
            <w:pPr>
              <w:ind w:left="360"/>
              <w:spacing w:after="0"/>
              <w:rPr>
                <w:sz w:val="20"/>
                <w:szCs w:val="20"/>
                <w:color w:val="auto"/>
              </w:rPr>
            </w:pPr>
            <w:r>
              <w:rPr>
                <w:rFonts w:ascii="Arial" w:cs="Arial" w:eastAsia="Arial" w:hAnsi="Arial"/>
                <w:sz w:val="20"/>
                <w:szCs w:val="20"/>
                <w:color w:val="auto"/>
              </w:rPr>
              <w:t>Total</w:t>
            </w:r>
          </w:p>
        </w:tc>
        <w:tc>
          <w:tcPr>
            <w:tcW w:w="300" w:type="dxa"/>
            <w:vAlign w:val="bottom"/>
            <w:gridSpan w:val="3"/>
          </w:tcPr>
          <w:p>
            <w:pPr>
              <w:jc w:val="right"/>
              <w:ind w:right="140"/>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184,067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162,403</w:t>
            </w:r>
          </w:p>
        </w:tc>
      </w:tr>
      <w:tr>
        <w:trPr>
          <w:trHeight w:val="20"/>
        </w:trPr>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tab/>
        <w:t>Income Tax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income before income taxes for 2023, 2022 and 2021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thousands)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4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240" w:type="dxa"/>
            <w:vAlign w:val="bottom"/>
            <w:gridSpan w:val="2"/>
          </w:tcPr>
          <w:p>
            <w:pPr>
              <w:spacing w:after="0"/>
              <w:rPr>
                <w:sz w:val="20"/>
                <w:szCs w:val="20"/>
                <w:color w:val="auto"/>
              </w:rPr>
            </w:pPr>
          </w:p>
        </w:tc>
        <w:tc>
          <w:tcPr>
            <w:tcW w:w="1000" w:type="dxa"/>
            <w:vAlign w:val="bottom"/>
            <w:tcBorders>
              <w:bottom w:val="single" w:sz="8" w:color="auto"/>
            </w:tcBorders>
          </w:tcPr>
          <w:p>
            <w:pPr>
              <w:jc w:val="center"/>
              <w:ind w:left="399"/>
              <w:spacing w:after="0"/>
              <w:rPr>
                <w:sz w:val="20"/>
                <w:szCs w:val="20"/>
                <w:color w:val="auto"/>
              </w:rPr>
            </w:pPr>
            <w:r>
              <w:rPr>
                <w:rFonts w:ascii="Arial" w:cs="Arial" w:eastAsia="Arial" w:hAnsi="Arial"/>
                <w:sz w:val="20"/>
                <w:szCs w:val="20"/>
                <w:color w:val="auto"/>
                <w:w w:val="85"/>
              </w:rPr>
              <w:t>2021</w:t>
            </w:r>
          </w:p>
        </w:tc>
      </w:tr>
      <w:tr>
        <w:trPr>
          <w:trHeight w:val="229"/>
        </w:trPr>
        <w:tc>
          <w:tcPr>
            <w:tcW w:w="5720" w:type="dxa"/>
            <w:vAlign w:val="bottom"/>
          </w:tcPr>
          <w:p>
            <w:pPr>
              <w:spacing w:after="0"/>
              <w:rPr>
                <w:sz w:val="20"/>
                <w:szCs w:val="20"/>
                <w:color w:val="auto"/>
              </w:rPr>
            </w:pPr>
            <w:r>
              <w:rPr>
                <w:rFonts w:ascii="Arial" w:cs="Arial" w:eastAsia="Arial" w:hAnsi="Arial"/>
                <w:sz w:val="20"/>
                <w:szCs w:val="20"/>
                <w:color w:val="auto"/>
              </w:rPr>
              <w:t>United States</w:t>
            </w:r>
          </w:p>
        </w:tc>
        <w:tc>
          <w:tcPr>
            <w:tcW w:w="34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98,983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90,674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center"/>
              <w:ind w:left="379"/>
              <w:spacing w:after="0"/>
              <w:rPr>
                <w:sz w:val="20"/>
                <w:szCs w:val="20"/>
                <w:color w:val="auto"/>
              </w:rPr>
            </w:pPr>
            <w:r>
              <w:rPr>
                <w:rFonts w:ascii="Arial" w:cs="Arial" w:eastAsia="Arial" w:hAnsi="Arial"/>
                <w:sz w:val="20"/>
                <w:szCs w:val="20"/>
                <w:color w:val="auto"/>
                <w:w w:val="84"/>
              </w:rPr>
              <w:t>70,214</w:t>
            </w:r>
          </w:p>
        </w:tc>
      </w:tr>
      <w:tr>
        <w:trPr>
          <w:trHeight w:val="230"/>
        </w:trPr>
        <w:tc>
          <w:tcPr>
            <w:tcW w:w="5720" w:type="dxa"/>
            <w:vAlign w:val="bottom"/>
          </w:tcPr>
          <w:p>
            <w:pPr>
              <w:spacing w:after="0"/>
              <w:rPr>
                <w:sz w:val="20"/>
                <w:szCs w:val="20"/>
                <w:color w:val="auto"/>
              </w:rPr>
            </w:pPr>
            <w:r>
              <w:rPr>
                <w:rFonts w:ascii="Arial" w:cs="Arial" w:eastAsia="Arial" w:hAnsi="Arial"/>
                <w:sz w:val="20"/>
                <w:szCs w:val="20"/>
                <w:color w:val="auto"/>
              </w:rPr>
              <w:t>Foreign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19,964</w:t>
            </w:r>
          </w:p>
        </w:tc>
        <w:tc>
          <w:tcPr>
            <w:tcW w:w="24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15,761</w:t>
            </w:r>
          </w:p>
        </w:tc>
        <w:tc>
          <w:tcPr>
            <w:tcW w:w="240" w:type="dxa"/>
            <w:vAlign w:val="bottom"/>
            <w:gridSpan w:val="2"/>
          </w:tcPr>
          <w:p>
            <w:pPr>
              <w:spacing w:after="0"/>
              <w:rPr>
                <w:sz w:val="20"/>
                <w:szCs w:val="20"/>
                <w:color w:val="auto"/>
              </w:rPr>
            </w:pPr>
          </w:p>
        </w:tc>
        <w:tc>
          <w:tcPr>
            <w:tcW w:w="1000" w:type="dxa"/>
            <w:vAlign w:val="bottom"/>
            <w:tcBorders>
              <w:bottom w:val="single" w:sz="8" w:color="auto"/>
            </w:tcBorders>
          </w:tcPr>
          <w:p>
            <w:pPr>
              <w:jc w:val="center"/>
              <w:ind w:left="379"/>
              <w:spacing w:after="0"/>
              <w:rPr>
                <w:sz w:val="20"/>
                <w:szCs w:val="20"/>
                <w:color w:val="auto"/>
              </w:rPr>
            </w:pPr>
            <w:r>
              <w:rPr>
                <w:rFonts w:ascii="Arial" w:cs="Arial" w:eastAsia="Arial" w:hAnsi="Arial"/>
                <w:sz w:val="20"/>
                <w:szCs w:val="20"/>
                <w:color w:val="auto"/>
                <w:w w:val="84"/>
              </w:rPr>
              <w:t>10,457</w:t>
            </w:r>
          </w:p>
        </w:tc>
      </w:tr>
      <w:tr>
        <w:trPr>
          <w:trHeight w:val="232"/>
        </w:trPr>
        <w:tc>
          <w:tcPr>
            <w:tcW w:w="5720" w:type="dxa"/>
            <w:vAlign w:val="bottom"/>
          </w:tcPr>
          <w:p>
            <w:pPr>
              <w:ind w:left="360"/>
              <w:spacing w:after="0"/>
              <w:rPr>
                <w:sz w:val="20"/>
                <w:szCs w:val="20"/>
                <w:color w:val="auto"/>
              </w:rPr>
            </w:pPr>
            <w:r>
              <w:rPr>
                <w:rFonts w:ascii="Arial" w:cs="Arial" w:eastAsia="Arial" w:hAnsi="Arial"/>
                <w:sz w:val="20"/>
                <w:szCs w:val="20"/>
                <w:color w:val="auto"/>
              </w:rPr>
              <w:t>Total income before income taxes</w:t>
            </w:r>
          </w:p>
        </w:tc>
        <w:tc>
          <w:tcPr>
            <w:tcW w:w="34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99"/>
              </w:rPr>
              <w:t>118,947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106,435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center"/>
              <w:ind w:left="379"/>
              <w:spacing w:after="0"/>
              <w:rPr>
                <w:sz w:val="20"/>
                <w:szCs w:val="20"/>
                <w:color w:val="auto"/>
              </w:rPr>
            </w:pPr>
            <w:r>
              <w:rPr>
                <w:rFonts w:ascii="Arial" w:cs="Arial" w:eastAsia="Arial" w:hAnsi="Arial"/>
                <w:sz w:val="20"/>
                <w:szCs w:val="20"/>
                <w:color w:val="auto"/>
                <w:w w:val="84"/>
              </w:rPr>
              <w:t>80,671</w:t>
            </w:r>
          </w:p>
        </w:tc>
      </w:tr>
      <w:tr>
        <w:trPr>
          <w:trHeight w:val="20"/>
        </w:trPr>
        <w:tc>
          <w:tcPr>
            <w:tcW w:w="5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components of income tax expense (benefit) for 2023, 2022 and 2021 consist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thousands)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220" w:type="dxa"/>
            <w:vAlign w:val="bottom"/>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4"/>
        </w:trPr>
        <w:tc>
          <w:tcPr>
            <w:tcW w:w="5660" w:type="dxa"/>
            <w:vAlign w:val="bottom"/>
          </w:tcPr>
          <w:p>
            <w:pPr>
              <w:spacing w:after="0" w:line="224" w:lineRule="exact"/>
              <w:rPr>
                <w:sz w:val="20"/>
                <w:szCs w:val="20"/>
                <w:color w:val="auto"/>
              </w:rPr>
            </w:pPr>
            <w:r>
              <w:rPr>
                <w:rFonts w:ascii="Arial" w:cs="Arial" w:eastAsia="Arial" w:hAnsi="Arial"/>
                <w:sz w:val="20"/>
                <w:szCs w:val="20"/>
                <w:color w:val="auto"/>
              </w:rPr>
              <w:t>Federal: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20"/>
                <w:szCs w:val="20"/>
                <w:color w:val="auto"/>
              </w:rPr>
              <w:t>Current</w:t>
            </w:r>
          </w:p>
        </w:tc>
        <w:tc>
          <w:tcPr>
            <w:tcW w:w="380" w:type="dxa"/>
            <w:vAlign w:val="bottom"/>
            <w:gridSpan w:val="3"/>
          </w:tcPr>
          <w:p>
            <w:pPr>
              <w:jc w:val="right"/>
              <w:ind w:right="99"/>
              <w:spacing w:after="0"/>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24,192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7,248</w:t>
            </w:r>
          </w:p>
        </w:tc>
        <w:tc>
          <w:tcPr>
            <w:tcW w:w="2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14,807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20"/>
                <w:szCs w:val="20"/>
                <w:color w:val="auto"/>
              </w:rPr>
              <w:t>Deferred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(5,816)</w:t>
            </w:r>
          </w:p>
        </w:tc>
        <w:tc>
          <w:tcPr>
            <w:tcW w:w="1020" w:type="dxa"/>
            <w:vAlign w:val="bottom"/>
          </w:tcPr>
          <w:p>
            <w:pPr>
              <w:jc w:val="right"/>
              <w:spacing w:after="0"/>
              <w:rPr>
                <w:sz w:val="20"/>
                <w:szCs w:val="20"/>
                <w:color w:val="auto"/>
              </w:rPr>
            </w:pPr>
            <w:r>
              <w:rPr>
                <w:rFonts w:ascii="Arial" w:cs="Arial" w:eastAsia="Arial" w:hAnsi="Arial"/>
                <w:sz w:val="20"/>
                <w:szCs w:val="20"/>
                <w:color w:val="auto"/>
              </w:rPr>
              <w:t>9,752</w:t>
            </w:r>
          </w:p>
        </w:tc>
        <w:tc>
          <w:tcPr>
            <w:tcW w:w="22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20"/>
                <w:szCs w:val="20"/>
                <w:color w:val="auto"/>
              </w:rPr>
              <w:t>(1,598)</w:t>
            </w:r>
          </w:p>
        </w:tc>
        <w:tc>
          <w:tcPr>
            <w:tcW w:w="40" w:type="dxa"/>
            <w:vAlign w:val="bottom"/>
          </w:tcPr>
          <w:p>
            <w:pPr>
              <w:spacing w:after="0"/>
              <w:rPr>
                <w:sz w:val="20"/>
                <w:szCs w:val="20"/>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20"/>
                <w:szCs w:val="20"/>
                <w:color w:val="auto"/>
              </w:rPr>
              <w:t>State and local: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1"/>
        </w:trPr>
        <w:tc>
          <w:tcPr>
            <w:tcW w:w="5660" w:type="dxa"/>
            <w:vAlign w:val="bottom"/>
          </w:tcPr>
          <w:p>
            <w:pPr>
              <w:ind w:left="180"/>
              <w:spacing w:after="0"/>
              <w:rPr>
                <w:sz w:val="20"/>
                <w:szCs w:val="20"/>
                <w:color w:val="auto"/>
              </w:rPr>
            </w:pPr>
            <w:r>
              <w:rPr>
                <w:rFonts w:ascii="Arial" w:cs="Arial" w:eastAsia="Arial" w:hAnsi="Arial"/>
                <w:sz w:val="20"/>
                <w:szCs w:val="20"/>
                <w:color w:val="auto"/>
              </w:rPr>
              <w:t>Current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3,563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1,635</w:t>
            </w:r>
          </w:p>
        </w:tc>
        <w:tc>
          <w:tcPr>
            <w:tcW w:w="2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2,257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5660" w:type="dxa"/>
            <w:vAlign w:val="bottom"/>
          </w:tcPr>
          <w:p>
            <w:pPr>
              <w:ind w:left="180"/>
              <w:spacing w:after="0" w:line="226" w:lineRule="exact"/>
              <w:rPr>
                <w:sz w:val="20"/>
                <w:szCs w:val="20"/>
                <w:color w:val="auto"/>
              </w:rPr>
            </w:pPr>
            <w:r>
              <w:rPr>
                <w:rFonts w:ascii="Arial" w:cs="Arial" w:eastAsia="Arial" w:hAnsi="Arial"/>
                <w:sz w:val="20"/>
                <w:szCs w:val="20"/>
                <w:color w:val="auto"/>
              </w:rPr>
              <w:t>Deferred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60"/>
              <w:spacing w:after="0" w:line="226" w:lineRule="exact"/>
              <w:rPr>
                <w:sz w:val="20"/>
                <w:szCs w:val="20"/>
                <w:color w:val="auto"/>
              </w:rPr>
            </w:pPr>
            <w:r>
              <w:rPr>
                <w:rFonts w:ascii="Arial" w:cs="Arial" w:eastAsia="Arial" w:hAnsi="Arial"/>
                <w:sz w:val="20"/>
                <w:szCs w:val="20"/>
                <w:b w:val="1"/>
                <w:bCs w:val="1"/>
                <w:color w:val="auto"/>
              </w:rPr>
              <w:t>(1,038)</w:t>
            </w:r>
          </w:p>
        </w:tc>
        <w:tc>
          <w:tcPr>
            <w:tcW w:w="1020" w:type="dxa"/>
            <w:vAlign w:val="bottom"/>
          </w:tcPr>
          <w:p>
            <w:pPr>
              <w:jc w:val="right"/>
              <w:spacing w:after="0" w:line="226" w:lineRule="exact"/>
              <w:rPr>
                <w:sz w:val="20"/>
                <w:szCs w:val="20"/>
                <w:color w:val="auto"/>
              </w:rPr>
            </w:pPr>
            <w:r>
              <w:rPr>
                <w:rFonts w:ascii="Arial" w:cs="Arial" w:eastAsia="Arial" w:hAnsi="Arial"/>
                <w:sz w:val="20"/>
                <w:szCs w:val="20"/>
                <w:color w:val="auto"/>
              </w:rPr>
              <w:t>1,774</w:t>
            </w:r>
          </w:p>
        </w:tc>
        <w:tc>
          <w:tcPr>
            <w:tcW w:w="220" w:type="dxa"/>
            <w:vAlign w:val="bottom"/>
          </w:tcPr>
          <w:p>
            <w:pPr>
              <w:spacing w:after="0"/>
              <w:rPr>
                <w:sz w:val="19"/>
                <w:szCs w:val="19"/>
                <w:color w:val="auto"/>
              </w:rPr>
            </w:pPr>
          </w:p>
        </w:tc>
        <w:tc>
          <w:tcPr>
            <w:tcW w:w="1060" w:type="dxa"/>
            <w:vAlign w:val="bottom"/>
            <w:gridSpan w:val="4"/>
          </w:tcPr>
          <w:p>
            <w:pPr>
              <w:jc w:val="right"/>
              <w:spacing w:after="0" w:line="226" w:lineRule="exact"/>
              <w:rPr>
                <w:sz w:val="20"/>
                <w:szCs w:val="20"/>
                <w:color w:val="auto"/>
              </w:rPr>
            </w:pPr>
            <w:r>
              <w:rPr>
                <w:rFonts w:ascii="Arial" w:cs="Arial" w:eastAsia="Arial" w:hAnsi="Arial"/>
                <w:sz w:val="20"/>
                <w:szCs w:val="20"/>
                <w:color w:val="auto"/>
              </w:rPr>
              <w:t>(786)</w:t>
            </w:r>
          </w:p>
        </w:tc>
        <w:tc>
          <w:tcPr>
            <w:tcW w:w="40" w:type="dxa"/>
            <w:vAlign w:val="bottom"/>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20"/>
                <w:szCs w:val="20"/>
                <w:color w:val="auto"/>
              </w:rPr>
              <w:t>Foreign: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5660" w:type="dxa"/>
            <w:vAlign w:val="bottom"/>
          </w:tcPr>
          <w:p>
            <w:pPr>
              <w:ind w:left="180"/>
              <w:spacing w:after="0"/>
              <w:rPr>
                <w:sz w:val="20"/>
                <w:szCs w:val="20"/>
                <w:color w:val="auto"/>
              </w:rPr>
            </w:pPr>
            <w:r>
              <w:rPr>
                <w:rFonts w:ascii="Arial" w:cs="Arial" w:eastAsia="Arial" w:hAnsi="Arial"/>
                <w:sz w:val="20"/>
                <w:szCs w:val="20"/>
                <w:color w:val="auto"/>
              </w:rPr>
              <w:t>Current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5,694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4,645</w:t>
            </w:r>
          </w:p>
        </w:tc>
        <w:tc>
          <w:tcPr>
            <w:tcW w:w="2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2,922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1"/>
        </w:trPr>
        <w:tc>
          <w:tcPr>
            <w:tcW w:w="5660" w:type="dxa"/>
            <w:vAlign w:val="bottom"/>
          </w:tcPr>
          <w:p>
            <w:pPr>
              <w:ind w:left="180"/>
              <w:spacing w:after="0"/>
              <w:rPr>
                <w:sz w:val="20"/>
                <w:szCs w:val="20"/>
                <w:color w:val="auto"/>
              </w:rPr>
            </w:pPr>
            <w:r>
              <w:rPr>
                <w:rFonts w:ascii="Arial" w:cs="Arial" w:eastAsia="Arial" w:hAnsi="Arial"/>
                <w:sz w:val="20"/>
                <w:szCs w:val="20"/>
                <w:color w:val="auto"/>
              </w:rPr>
              <w:t>Deferred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(193)</w:t>
            </w: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(939)</w:t>
            </w:r>
          </w:p>
        </w:tc>
        <w:tc>
          <w:tcPr>
            <w:tcW w:w="1100" w:type="dxa"/>
            <w:vAlign w:val="bottom"/>
            <w:gridSpan w:val="5"/>
          </w:tcPr>
          <w:p>
            <w:pPr>
              <w:jc w:val="right"/>
              <w:spacing w:after="0"/>
              <w:rPr>
                <w:sz w:val="20"/>
                <w:szCs w:val="20"/>
                <w:color w:val="auto"/>
              </w:rPr>
            </w:pPr>
            <w:r>
              <w:rPr>
                <w:rFonts w:ascii="Arial" w:cs="Arial" w:eastAsia="Arial" w:hAnsi="Arial"/>
                <w:sz w:val="20"/>
                <w:szCs w:val="20"/>
                <w:color w:val="auto"/>
              </w:rPr>
              <w:t>(427)</w:t>
            </w:r>
          </w:p>
        </w:tc>
      </w:tr>
      <w:tr>
        <w:trPr>
          <w:trHeight w:val="235"/>
        </w:trPr>
        <w:tc>
          <w:tcPr>
            <w:tcW w:w="5660" w:type="dxa"/>
            <w:vAlign w:val="bottom"/>
          </w:tcPr>
          <w:p>
            <w:pPr>
              <w:ind w:left="360"/>
              <w:spacing w:after="0"/>
              <w:rPr>
                <w:sz w:val="20"/>
                <w:szCs w:val="20"/>
                <w:color w:val="auto"/>
              </w:rPr>
            </w:pPr>
            <w:r>
              <w:rPr>
                <w:rFonts w:ascii="Arial" w:cs="Arial" w:eastAsia="Arial" w:hAnsi="Arial"/>
                <w:sz w:val="20"/>
                <w:szCs w:val="20"/>
                <w:color w:val="auto"/>
              </w:rPr>
              <w:t>Total</w:t>
            </w:r>
          </w:p>
        </w:tc>
        <w:tc>
          <w:tcPr>
            <w:tcW w:w="8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20"/>
                <w:szCs w:val="20"/>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26,402</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24,115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17,175</w:t>
            </w:r>
          </w:p>
        </w:tc>
        <w:tc>
          <w:tcPr>
            <w:tcW w:w="4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4" w:lineRule="exact"/>
        <w:rPr>
          <w:sz w:val="20"/>
          <w:szCs w:val="20"/>
          <w:color w:val="auto"/>
        </w:rPr>
      </w:pPr>
    </w:p>
    <w:p>
      <w:pPr>
        <w:ind w:right="720"/>
        <w:spacing w:after="0" w:line="235" w:lineRule="auto"/>
        <w:rPr>
          <w:sz w:val="20"/>
          <w:szCs w:val="20"/>
          <w:color w:val="auto"/>
        </w:rPr>
      </w:pPr>
      <w:r>
        <w:rPr>
          <w:rFonts w:ascii="Times New Roman" w:cs="Times New Roman" w:eastAsia="Times New Roman" w:hAnsi="Times New Roman"/>
          <w:sz w:val="20"/>
          <w:szCs w:val="20"/>
          <w:color w:val="auto"/>
        </w:rPr>
        <w:t>The actual income tax expense for 2023, 2022 and 2021 differs from the expected tax expense for those years (computed by applying the U.S. Federal corporate statutory rate)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80" w:type="dxa"/>
            <w:vAlign w:val="bottom"/>
            <w:gridSpan w:val="2"/>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20"/>
                <w:szCs w:val="20"/>
                <w:color w:val="auto"/>
              </w:rPr>
              <w:t>Federal corporate statutory rate</w:t>
            </w: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auto"/>
              </w:rPr>
              <w:t>21.0%</w:t>
            </w:r>
          </w:p>
        </w:tc>
      </w:tr>
      <w:tr>
        <w:trPr>
          <w:trHeight w:val="230"/>
        </w:trPr>
        <w:tc>
          <w:tcPr>
            <w:tcW w:w="5440" w:type="dxa"/>
            <w:vAlign w:val="bottom"/>
            <w:gridSpan w:val="2"/>
          </w:tcPr>
          <w:p>
            <w:pPr>
              <w:spacing w:after="0"/>
              <w:rPr>
                <w:sz w:val="20"/>
                <w:szCs w:val="20"/>
                <w:color w:val="auto"/>
              </w:rPr>
            </w:pPr>
            <w:r>
              <w:rPr>
                <w:rFonts w:ascii="Arial" w:cs="Arial" w:eastAsia="Arial" w:hAnsi="Arial"/>
                <w:sz w:val="20"/>
                <w:szCs w:val="20"/>
                <w:color w:val="auto"/>
              </w:rPr>
              <w:t>State and local, net of Federal benefits</w:t>
            </w: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w:t>
            </w:r>
          </w:p>
        </w:tc>
        <w:tc>
          <w:tcPr>
            <w:tcW w:w="200" w:type="dxa"/>
            <w:vAlign w:val="bottom"/>
          </w:tcPr>
          <w:p>
            <w:pPr>
              <w:spacing w:after="0"/>
              <w:rPr>
                <w:sz w:val="19"/>
                <w:szCs w:val="19"/>
                <w:color w:val="auto"/>
              </w:rPr>
            </w:pPr>
          </w:p>
        </w:tc>
      </w:tr>
      <w:tr>
        <w:trPr>
          <w:trHeight w:val="228"/>
        </w:trPr>
        <w:tc>
          <w:tcPr>
            <w:tcW w:w="5440" w:type="dxa"/>
            <w:vAlign w:val="bottom"/>
            <w:gridSpan w:val="2"/>
          </w:tcPr>
          <w:p>
            <w:pPr>
              <w:spacing w:after="0" w:line="228" w:lineRule="exact"/>
              <w:rPr>
                <w:sz w:val="20"/>
                <w:szCs w:val="20"/>
                <w:color w:val="auto"/>
              </w:rPr>
            </w:pPr>
            <w:r>
              <w:rPr>
                <w:rFonts w:ascii="Arial" w:cs="Arial" w:eastAsia="Arial" w:hAnsi="Arial"/>
                <w:sz w:val="20"/>
                <w:szCs w:val="20"/>
                <w:color w:val="auto"/>
              </w:rPr>
              <w:t>Impact of foreign operations</w:t>
            </w:r>
          </w:p>
        </w:tc>
        <w:tc>
          <w:tcPr>
            <w:tcW w:w="1040" w:type="dxa"/>
            <w:vAlign w:val="bottom"/>
            <w:gridSpan w:val="3"/>
          </w:tcPr>
          <w:p>
            <w:pPr>
              <w:jc w:val="right"/>
              <w:spacing w:after="0" w:line="228" w:lineRule="exact"/>
              <w:rPr>
                <w:sz w:val="20"/>
                <w:szCs w:val="20"/>
                <w:color w:val="auto"/>
              </w:rPr>
            </w:pPr>
            <w:r>
              <w:rPr>
                <w:rFonts w:ascii="Arial" w:cs="Arial" w:eastAsia="Arial" w:hAnsi="Arial"/>
                <w:sz w:val="20"/>
                <w:szCs w:val="20"/>
                <w:b w:val="1"/>
                <w:bCs w:val="1"/>
                <w:color w:val="auto"/>
              </w:rPr>
              <w:t>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auto"/>
              </w:rPr>
              <w:t>(0.3)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(0.4)</w:t>
            </w:r>
          </w:p>
        </w:tc>
      </w:tr>
      <w:tr>
        <w:trPr>
          <w:trHeight w:val="229"/>
        </w:trPr>
        <w:tc>
          <w:tcPr>
            <w:tcW w:w="5440" w:type="dxa"/>
            <w:vAlign w:val="bottom"/>
            <w:gridSpan w:val="2"/>
          </w:tcPr>
          <w:p>
            <w:pPr>
              <w:spacing w:after="0" w:line="229" w:lineRule="exact"/>
              <w:rPr>
                <w:sz w:val="20"/>
                <w:szCs w:val="20"/>
                <w:color w:val="auto"/>
              </w:rPr>
            </w:pPr>
            <w:r>
              <w:rPr>
                <w:rFonts w:ascii="Arial" w:cs="Arial" w:eastAsia="Arial" w:hAnsi="Arial"/>
                <w:sz w:val="20"/>
                <w:szCs w:val="20"/>
                <w:color w:val="auto"/>
              </w:rPr>
              <w:t>Federal research credit</w:t>
            </w:r>
          </w:p>
        </w:tc>
        <w:tc>
          <w:tcPr>
            <w:tcW w:w="1240" w:type="dxa"/>
            <w:vAlign w:val="bottom"/>
            <w:gridSpan w:val="4"/>
          </w:tcPr>
          <w:p>
            <w:pPr>
              <w:jc w:val="right"/>
              <w:ind w:right="160"/>
              <w:spacing w:after="0" w:line="229" w:lineRule="exact"/>
              <w:rPr>
                <w:sz w:val="20"/>
                <w:szCs w:val="20"/>
                <w:color w:val="auto"/>
              </w:rPr>
            </w:pPr>
            <w:r>
              <w:rPr>
                <w:rFonts w:ascii="Arial" w:cs="Arial" w:eastAsia="Arial" w:hAnsi="Arial"/>
                <w:sz w:val="20"/>
                <w:szCs w:val="20"/>
                <w:b w:val="1"/>
                <w:bCs w:val="1"/>
                <w:color w:val="auto"/>
              </w:rPr>
              <w:t>(1.1)</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line="229" w:lineRule="exact"/>
              <w:rPr>
                <w:sz w:val="20"/>
                <w:szCs w:val="20"/>
                <w:color w:val="auto"/>
              </w:rPr>
            </w:pPr>
            <w:r>
              <w:rPr>
                <w:rFonts w:ascii="Arial" w:cs="Arial" w:eastAsia="Arial" w:hAnsi="Arial"/>
                <w:sz w:val="20"/>
                <w:szCs w:val="20"/>
                <w:color w:val="auto"/>
              </w:rPr>
              <w:t>(0.3)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140"/>
              <w:spacing w:after="0" w:line="229" w:lineRule="exact"/>
              <w:rPr>
                <w:sz w:val="20"/>
                <w:szCs w:val="20"/>
                <w:color w:val="auto"/>
              </w:rPr>
            </w:pPr>
            <w:r>
              <w:rPr>
                <w:rFonts w:ascii="Arial" w:cs="Arial" w:eastAsia="Arial" w:hAnsi="Arial"/>
                <w:sz w:val="20"/>
                <w:szCs w:val="20"/>
                <w:color w:val="auto"/>
              </w:rPr>
              <w:t>(0.9)</w:t>
            </w:r>
          </w:p>
        </w:tc>
      </w:tr>
      <w:tr>
        <w:trPr>
          <w:trHeight w:val="230"/>
        </w:trPr>
        <w:tc>
          <w:tcPr>
            <w:tcW w:w="5440" w:type="dxa"/>
            <w:vAlign w:val="bottom"/>
            <w:gridSpan w:val="2"/>
          </w:tcPr>
          <w:p>
            <w:pPr>
              <w:spacing w:after="0"/>
              <w:rPr>
                <w:sz w:val="20"/>
                <w:szCs w:val="20"/>
                <w:color w:val="auto"/>
              </w:rPr>
            </w:pPr>
            <w:r>
              <w:rPr>
                <w:rFonts w:ascii="Arial" w:cs="Arial" w:eastAsia="Arial" w:hAnsi="Arial"/>
                <w:sz w:val="20"/>
                <w:szCs w:val="20"/>
                <w:color w:val="auto"/>
              </w:rPr>
              <w:t>Executive compensation</w:t>
            </w: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0.9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0.5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0.9</w:t>
            </w:r>
          </w:p>
        </w:tc>
        <w:tc>
          <w:tcPr>
            <w:tcW w:w="200" w:type="dxa"/>
            <w:vAlign w:val="bottom"/>
          </w:tcPr>
          <w:p>
            <w:pPr>
              <w:spacing w:after="0"/>
              <w:rPr>
                <w:sz w:val="20"/>
                <w:szCs w:val="20"/>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20"/>
                <w:szCs w:val="20"/>
                <w:color w:val="auto"/>
              </w:rPr>
              <w:t>Valuation allowance</w:t>
            </w: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0.3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20"/>
                <w:szCs w:val="20"/>
                <w:color w:val="auto"/>
              </w:rPr>
              <w:t>U.S. tax on GILTI</w:t>
            </w: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0"/>
                <w:szCs w:val="20"/>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20"/>
                <w:szCs w:val="20"/>
                <w:color w:val="auto"/>
              </w:rPr>
              <w:t>GILTI foreign tax credits</w:t>
            </w:r>
          </w:p>
        </w:tc>
        <w:tc>
          <w:tcPr>
            <w:tcW w:w="1240" w:type="dxa"/>
            <w:vAlign w:val="bottom"/>
            <w:gridSpan w:val="4"/>
          </w:tcPr>
          <w:p>
            <w:pPr>
              <w:jc w:val="right"/>
              <w:ind w:right="160"/>
              <w:spacing w:after="0"/>
              <w:rPr>
                <w:sz w:val="20"/>
                <w:szCs w:val="20"/>
                <w:color w:val="auto"/>
              </w:rPr>
            </w:pPr>
            <w:r>
              <w:rPr>
                <w:rFonts w:ascii="Arial" w:cs="Arial" w:eastAsia="Arial" w:hAnsi="Arial"/>
                <w:sz w:val="20"/>
                <w:szCs w:val="20"/>
                <w:b w:val="1"/>
                <w:bCs w:val="1"/>
                <w:color w:val="auto"/>
              </w:rPr>
              <w:t>(0.9)</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0"/>
                <w:szCs w:val="20"/>
                <w:color w:val="auto"/>
              </w:rPr>
              <w:t>(0.6)</w:t>
            </w:r>
          </w:p>
        </w:tc>
      </w:tr>
      <w:tr>
        <w:trPr>
          <w:trHeight w:val="226"/>
        </w:trPr>
        <w:tc>
          <w:tcPr>
            <w:tcW w:w="5440" w:type="dxa"/>
            <w:vAlign w:val="bottom"/>
            <w:gridSpan w:val="2"/>
          </w:tcPr>
          <w:p>
            <w:pPr>
              <w:spacing w:after="0" w:line="226" w:lineRule="exact"/>
              <w:rPr>
                <w:sz w:val="20"/>
                <w:szCs w:val="20"/>
                <w:color w:val="auto"/>
              </w:rPr>
            </w:pPr>
            <w:r>
              <w:rPr>
                <w:rFonts w:ascii="Arial" w:cs="Arial" w:eastAsia="Arial" w:hAnsi="Arial"/>
                <w:sz w:val="20"/>
                <w:szCs w:val="20"/>
                <w:color w:val="auto"/>
              </w:rPr>
              <w:t>FDII deduction</w:t>
            </w:r>
          </w:p>
        </w:tc>
        <w:tc>
          <w:tcPr>
            <w:tcW w:w="1240" w:type="dxa"/>
            <w:vAlign w:val="bottom"/>
            <w:gridSpan w:val="4"/>
          </w:tcPr>
          <w:p>
            <w:pPr>
              <w:jc w:val="right"/>
              <w:ind w:right="160"/>
              <w:spacing w:after="0" w:line="226" w:lineRule="exact"/>
              <w:rPr>
                <w:sz w:val="20"/>
                <w:szCs w:val="20"/>
                <w:color w:val="auto"/>
              </w:rPr>
            </w:pPr>
            <w:r>
              <w:rPr>
                <w:rFonts w:ascii="Arial" w:cs="Arial" w:eastAsia="Arial" w:hAnsi="Arial"/>
                <w:sz w:val="20"/>
                <w:szCs w:val="20"/>
                <w:b w:val="1"/>
                <w:bCs w:val="1"/>
                <w:color w:val="auto"/>
              </w:rPr>
              <w:t>(1.6)</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line="226" w:lineRule="exact"/>
              <w:rPr>
                <w:sz w:val="20"/>
                <w:szCs w:val="20"/>
                <w:color w:val="auto"/>
              </w:rPr>
            </w:pPr>
            <w:r>
              <w:rPr>
                <w:rFonts w:ascii="Arial" w:cs="Arial" w:eastAsia="Arial" w:hAnsi="Arial"/>
                <w:sz w:val="20"/>
                <w:szCs w:val="20"/>
                <w:color w:val="auto"/>
              </w:rPr>
              <w:t>(0.9)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140"/>
              <w:spacing w:after="0" w:line="226" w:lineRule="exact"/>
              <w:rPr>
                <w:sz w:val="20"/>
                <w:szCs w:val="20"/>
                <w:color w:val="auto"/>
              </w:rPr>
            </w:pPr>
            <w:r>
              <w:rPr>
                <w:rFonts w:ascii="Arial" w:cs="Arial" w:eastAsia="Arial" w:hAnsi="Arial"/>
                <w:sz w:val="20"/>
                <w:szCs w:val="20"/>
                <w:color w:val="auto"/>
              </w:rPr>
              <w:t>(1.7)</w:t>
            </w:r>
          </w:p>
        </w:tc>
      </w:tr>
      <w:tr>
        <w:trPr>
          <w:trHeight w:val="251"/>
        </w:trPr>
        <w:tc>
          <w:tcPr>
            <w:tcW w:w="5440" w:type="dxa"/>
            <w:vAlign w:val="bottom"/>
            <w:gridSpan w:val="2"/>
          </w:tcPr>
          <w:p>
            <w:pPr>
              <w:spacing w:after="0"/>
              <w:rPr>
                <w:sz w:val="20"/>
                <w:szCs w:val="20"/>
                <w:color w:val="auto"/>
              </w:rPr>
            </w:pPr>
            <w:r>
              <w:rPr>
                <w:rFonts w:ascii="Arial" w:cs="Arial" w:eastAsia="Arial" w:hAnsi="Arial"/>
                <w:sz w:val="20"/>
                <w:szCs w:val="20"/>
                <w:color w:val="auto"/>
              </w:rPr>
              <w:t>Other, net</w:t>
            </w:r>
          </w:p>
        </w:tc>
        <w:tc>
          <w:tcPr>
            <w:tcW w:w="10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0.1</w:t>
            </w:r>
          </w:p>
        </w:tc>
        <w:tc>
          <w:tcPr>
            <w:tcW w:w="20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5420" w:type="dxa"/>
            <w:vAlign w:val="bottom"/>
          </w:tcPr>
          <w:p>
            <w:pPr>
              <w:ind w:left="340"/>
              <w:spacing w:after="0" w:line="209" w:lineRule="exact"/>
              <w:rPr>
                <w:sz w:val="20"/>
                <w:szCs w:val="20"/>
                <w:color w:val="auto"/>
              </w:rPr>
            </w:pPr>
            <w:r>
              <w:rPr>
                <w:rFonts w:ascii="Arial" w:cs="Arial" w:eastAsia="Arial" w:hAnsi="Arial"/>
                <w:sz w:val="20"/>
                <w:szCs w:val="20"/>
                <w:color w:val="auto"/>
              </w:rPr>
              <w:t>Effective income tax rate</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60"/>
              <w:spacing w:after="0" w:line="215" w:lineRule="exact"/>
              <w:rPr>
                <w:sz w:val="20"/>
                <w:szCs w:val="20"/>
                <w:color w:val="auto"/>
              </w:rPr>
            </w:pPr>
            <w:r>
              <w:rPr>
                <w:rFonts w:ascii="Arial" w:cs="Arial" w:eastAsia="Arial" w:hAnsi="Arial"/>
                <w:sz w:val="20"/>
                <w:szCs w:val="20"/>
                <w:b w:val="1"/>
                <w:bCs w:val="1"/>
                <w:color w:val="auto"/>
              </w:rPr>
              <w:t>22.2%</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9" w:lineRule="exact"/>
              <w:rPr>
                <w:sz w:val="20"/>
                <w:szCs w:val="20"/>
                <w:color w:val="auto"/>
              </w:rPr>
            </w:pPr>
            <w:r>
              <w:rPr>
                <w:rFonts w:ascii="Arial" w:cs="Arial" w:eastAsia="Arial" w:hAnsi="Arial"/>
                <w:sz w:val="20"/>
                <w:szCs w:val="20"/>
                <w:color w:val="auto"/>
              </w:rPr>
              <w:t>22.7%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60"/>
              <w:spacing w:after="0" w:line="215" w:lineRule="exact"/>
              <w:rPr>
                <w:sz w:val="20"/>
                <w:szCs w:val="20"/>
                <w:color w:val="auto"/>
              </w:rPr>
            </w:pPr>
            <w:r>
              <w:rPr>
                <w:rFonts w:ascii="Arial" w:cs="Arial" w:eastAsia="Arial" w:hAnsi="Arial"/>
                <w:sz w:val="20"/>
                <w:szCs w:val="20"/>
                <w:color w:val="auto"/>
              </w:rPr>
              <w:t>21.3%</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tax effects of temporary differences that give rise to significant portions of the deferred tax assets and liabilities at</w:t>
      </w:r>
    </w:p>
    <w:p>
      <w:pPr>
        <w:spacing w:after="0"/>
        <w:rPr>
          <w:sz w:val="20"/>
          <w:szCs w:val="20"/>
          <w:color w:val="auto"/>
        </w:rPr>
      </w:pPr>
      <w:r>
        <w:rPr>
          <w:rFonts w:ascii="Times New Roman" w:cs="Times New Roman" w:eastAsia="Times New Roman" w:hAnsi="Times New Roman"/>
          <w:sz w:val="20"/>
          <w:szCs w:val="20"/>
          <w:color w:val="auto"/>
        </w:rPr>
        <w:t>September 30, 2023 and 2022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F-20</w:t>
      </w:r>
    </w:p>
    <w:p>
      <w:pPr>
        <w:sectPr>
          <w:pgSz w:w="12240" w:h="15840" w:orient="portrait"/>
          <w:cols w:equalWidth="0" w:num="1">
            <w:col w:w="9480"/>
          </w:cols>
          <w:pgMar w:left="1440" w:top="1440" w:right="1320"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1"/>
        </w:trPr>
        <w:tc>
          <w:tcPr>
            <w:tcW w:w="5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thousands)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20"/>
                <w:szCs w:val="20"/>
                <w:color w:val="auto"/>
              </w:rPr>
              <w:t>Deferred tax assets: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180"/>
              <w:spacing w:after="0" w:line="228" w:lineRule="exact"/>
              <w:rPr>
                <w:sz w:val="20"/>
                <w:szCs w:val="20"/>
                <w:color w:val="auto"/>
              </w:rPr>
            </w:pPr>
            <w:r>
              <w:rPr>
                <w:rFonts w:ascii="Arial" w:cs="Arial" w:eastAsia="Arial" w:hAnsi="Arial"/>
                <w:sz w:val="20"/>
                <w:szCs w:val="20"/>
                <w:color w:val="auto"/>
              </w:rPr>
              <w:t>Inventories</w:t>
            </w:r>
          </w:p>
        </w:tc>
        <w:tc>
          <w:tcPr>
            <w:tcW w:w="300" w:type="dxa"/>
            <w:vAlign w:val="bottom"/>
            <w:gridSpan w:val="3"/>
          </w:tcPr>
          <w:p>
            <w:pPr>
              <w:jc w:val="right"/>
              <w:ind w:right="39"/>
              <w:spacing w:after="0" w:line="228" w:lineRule="exact"/>
              <w:rPr>
                <w:sz w:val="20"/>
                <w:szCs w:val="20"/>
                <w:color w:val="auto"/>
              </w:rPr>
            </w:pPr>
            <w:r>
              <w:rPr>
                <w:rFonts w:ascii="Arial" w:cs="Arial" w:eastAsia="Arial" w:hAnsi="Arial"/>
                <w:sz w:val="20"/>
                <w:szCs w:val="20"/>
                <w:b w:val="1"/>
                <w:bCs w:val="1"/>
                <w:color w:val="auto"/>
              </w:rPr>
              <w:t>$</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5,457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line="228" w:lineRule="exact"/>
              <w:rPr>
                <w:sz w:val="20"/>
                <w:szCs w:val="20"/>
                <w:color w:val="auto"/>
              </w:rPr>
            </w:pPr>
            <w:r>
              <w:rPr>
                <w:rFonts w:ascii="Arial" w:cs="Arial" w:eastAsia="Arial" w:hAnsi="Arial"/>
                <w:sz w:val="20"/>
                <w:szCs w:val="20"/>
                <w:color w:val="auto"/>
              </w:rPr>
              <w:t>4,990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line="229" w:lineRule="exact"/>
              <w:rPr>
                <w:sz w:val="20"/>
                <w:szCs w:val="20"/>
                <w:color w:val="auto"/>
              </w:rPr>
            </w:pPr>
            <w:r>
              <w:rPr>
                <w:rFonts w:ascii="Arial" w:cs="Arial" w:eastAsia="Arial" w:hAnsi="Arial"/>
                <w:sz w:val="20"/>
                <w:szCs w:val="20"/>
                <w:color w:val="auto"/>
              </w:rPr>
              <w:t>Pension and other postretirement benefits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658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Capitalized research and development expenditures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4,114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Lease liabilities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9,822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7,073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Net operating and capital loss carryforwards — domestic</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553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Net operating loss carryforward — foreign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3,714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3,396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Other compensation-related costs and other cost accruals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8,691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9,093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State credit carryforward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2,249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00" w:type="dxa"/>
            <w:vAlign w:val="bottom"/>
          </w:tcPr>
          <w:p>
            <w:pPr>
              <w:ind w:left="180"/>
              <w:spacing w:after="0"/>
              <w:rPr>
                <w:sz w:val="20"/>
                <w:szCs w:val="20"/>
                <w:color w:val="auto"/>
              </w:rPr>
            </w:pPr>
            <w:r>
              <w:rPr>
                <w:rFonts w:ascii="Arial" w:cs="Arial" w:eastAsia="Arial" w:hAnsi="Arial"/>
                <w:sz w:val="20"/>
                <w:szCs w:val="20"/>
                <w:color w:val="auto"/>
              </w:rPr>
              <w:t>Foreign credit carryforward</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20"/>
                <w:szCs w:val="20"/>
                <w:color w:val="auto"/>
              </w:rPr>
              <w:t>Total deferred tax assets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35,258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540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ROU assets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(9,822)</w:t>
            </w:r>
          </w:p>
        </w:tc>
        <w:tc>
          <w:tcPr>
            <w:tcW w:w="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(7,073)</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Goodwill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w w:val="99"/>
              </w:rPr>
              <w:t>(13,313)</w:t>
            </w:r>
          </w:p>
        </w:tc>
        <w:tc>
          <w:tcPr>
            <w:tcW w:w="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(11,691)</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20"/>
                <w:szCs w:val="20"/>
                <w:color w:val="auto"/>
              </w:rPr>
              <w:t>Acquisition intangible assets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w w:val="99"/>
              </w:rPr>
              <w:t>(61,187)</w:t>
            </w:r>
          </w:p>
        </w:tc>
        <w:tc>
          <w:tcPr>
            <w:tcW w:w="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(62,051)</w:t>
            </w:r>
          </w:p>
        </w:tc>
        <w:tc>
          <w:tcPr>
            <w:tcW w:w="0" w:type="dxa"/>
            <w:vAlign w:val="bottom"/>
          </w:tcPr>
          <w:p>
            <w:pPr>
              <w:spacing w:after="0"/>
              <w:rPr>
                <w:sz w:val="1"/>
                <w:szCs w:val="1"/>
                <w:color w:val="auto"/>
              </w:rPr>
            </w:pPr>
          </w:p>
        </w:tc>
      </w:tr>
      <w:tr>
        <w:trPr>
          <w:trHeight w:val="231"/>
        </w:trPr>
        <w:tc>
          <w:tcPr>
            <w:tcW w:w="5400" w:type="dxa"/>
            <w:vAlign w:val="bottom"/>
          </w:tcPr>
          <w:p>
            <w:pPr>
              <w:ind w:left="180"/>
              <w:spacing w:after="0"/>
              <w:rPr>
                <w:sz w:val="20"/>
                <w:szCs w:val="20"/>
                <w:color w:val="auto"/>
              </w:rPr>
            </w:pPr>
            <w:r>
              <w:rPr>
                <w:rFonts w:ascii="Arial" w:cs="Arial" w:eastAsia="Arial" w:hAnsi="Arial"/>
                <w:sz w:val="20"/>
                <w:szCs w:val="20"/>
                <w:color w:val="auto"/>
              </w:rPr>
              <w:t>Depreciation, software amortization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w w:val="99"/>
              </w:rPr>
              <w:t>(21,772)</w:t>
            </w:r>
          </w:p>
        </w:tc>
        <w:tc>
          <w:tcPr>
            <w:tcW w:w="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(24,503)</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20"/>
                <w:szCs w:val="20"/>
                <w:color w:val="auto"/>
              </w:rPr>
              <w:t>Net deferred tax liabilities before valuation allowance</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20"/>
              <w:spacing w:after="0" w:line="225" w:lineRule="exact"/>
              <w:rPr>
                <w:sz w:val="20"/>
                <w:szCs w:val="20"/>
                <w:color w:val="auto"/>
              </w:rPr>
            </w:pPr>
            <w:r>
              <w:rPr>
                <w:rFonts w:ascii="Arial" w:cs="Arial" w:eastAsia="Arial" w:hAnsi="Arial"/>
                <w:sz w:val="20"/>
                <w:szCs w:val="20"/>
                <w:b w:val="1"/>
                <w:bCs w:val="1"/>
                <w:color w:val="auto"/>
                <w:w w:val="99"/>
              </w:rPr>
              <w:t>(70,836)</w:t>
            </w:r>
          </w:p>
        </w:tc>
        <w:tc>
          <w:tcPr>
            <w:tcW w:w="20" w:type="dxa"/>
            <w:vAlign w:val="bottom"/>
          </w:tcPr>
          <w:p>
            <w:pPr>
              <w:spacing w:after="0"/>
              <w:rPr>
                <w:sz w:val="19"/>
                <w:szCs w:val="19"/>
                <w:color w:val="auto"/>
              </w:rPr>
            </w:pPr>
          </w:p>
        </w:tc>
        <w:tc>
          <w:tcPr>
            <w:tcW w:w="1140" w:type="dxa"/>
            <w:vAlign w:val="bottom"/>
          </w:tcPr>
          <w:p>
            <w:pPr>
              <w:jc w:val="right"/>
              <w:spacing w:after="0" w:line="225" w:lineRule="exact"/>
              <w:rPr>
                <w:sz w:val="20"/>
                <w:szCs w:val="20"/>
                <w:color w:val="auto"/>
              </w:rPr>
            </w:pPr>
            <w:r>
              <w:rPr>
                <w:rFonts w:ascii="Arial" w:cs="Arial" w:eastAsia="Arial" w:hAnsi="Arial"/>
                <w:sz w:val="20"/>
                <w:szCs w:val="20"/>
                <w:color w:val="auto"/>
              </w:rPr>
              <w:t>(77,648)</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400" w:type="dxa"/>
            <w:vAlign w:val="bottom"/>
          </w:tcPr>
          <w:p>
            <w:pPr>
              <w:spacing w:after="0"/>
              <w:rPr>
                <w:sz w:val="20"/>
                <w:szCs w:val="20"/>
                <w:color w:val="auto"/>
              </w:rPr>
            </w:pPr>
            <w:r>
              <w:rPr>
                <w:rFonts w:ascii="Arial" w:cs="Arial" w:eastAsia="Arial" w:hAnsi="Arial"/>
                <w:sz w:val="20"/>
                <w:szCs w:val="20"/>
                <w:color w:val="auto"/>
              </w:rPr>
              <w:t>Less valuation allowance</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(1,772)</w:t>
            </w:r>
          </w:p>
        </w:tc>
        <w:tc>
          <w:tcPr>
            <w:tcW w:w="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(1,208)</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r>
              <w:rPr>
                <w:rFonts w:ascii="Arial" w:cs="Arial" w:eastAsia="Arial" w:hAnsi="Arial"/>
                <w:sz w:val="20"/>
                <w:szCs w:val="20"/>
                <w:color w:val="auto"/>
              </w:rPr>
              <w:t>Net deferred tax liabilities</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20"/>
                <w:szCs w:val="20"/>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(72,608)</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(78,856)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We had a foreign net operating loss (NOL) carryforward of $13.2 million at September 30, 2023, which reflects tax loss carryforwards in Germany, South Africa, Canada, Japan, India and the United Kingdom. Approximately $11.1 million of the tax loss carryforwards have no expiration date while the remaining $2.1 million will expire between 2030 and 2042. We had deferred tax assets related to state NOL carryforwards of $0.6 million at September 30, 2023 which expire between 2025 and 2043. We also had state research and other credit carryforwards of $2.2 million of which $0.8 million expires between 2036 and 2038. The remaining $1.4 million does not have an expiration date.</w:t>
      </w:r>
    </w:p>
    <w:p>
      <w:pPr>
        <w:spacing w:after="0" w:line="13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0"/>
          <w:szCs w:val="20"/>
          <w:color w:val="auto"/>
        </w:rPr>
        <w:t>The valuation allowance for deferred tax assets as of September 30, 2023 and 2022 was $1.8 million and $1.2 million, respectively. The net change in the total valuation allowance for each of the years ended September 30, 2023 and 2022 was an increase of $0.6 million and a decrease of $0.8 million, respectively. In addition, we maintained a valuation allowance against state NOL carryforwards that are not expected to be realized in future periods of $0.5 million at September 30 of both 2023 and 2022. Lastly, we recorded a valuation allowance against foreign deferred tax assets of $0.6 million in the year ended September 30, 2023, which resulted in a valuation allowance against foreign deferred assets which may not be realized in future periods of $1.3 million and $0.7 million at September 30,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2023, the Company does not have any material unrecognized tax benefits.</w:t>
      </w:r>
    </w:p>
    <w:p>
      <w:pPr>
        <w:spacing w:after="0" w:line="36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tab/>
        <w:t>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 consists of the following at September 30, 2023 and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(Dollars in thousands)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20"/>
                <w:szCs w:val="20"/>
                <w:color w:val="auto"/>
              </w:rPr>
              <w:t>Total borrowings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102,000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153,000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20"/>
                <w:szCs w:val="20"/>
                <w:color w:val="auto"/>
              </w:rPr>
              <w:t>Current portion of long-term debt and short-term borrowings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20"/>
                <w:szCs w:val="20"/>
                <w:b w:val="1"/>
                <w:bCs w:val="1"/>
                <w:color w:val="auto"/>
              </w:rPr>
              <w:t>(20,000)</w:t>
            </w:r>
          </w:p>
        </w:tc>
        <w:tc>
          <w:tcPr>
            <w:tcW w:w="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b w:val="1"/>
                <w:bCs w:val="1"/>
                <w:color w:val="auto"/>
              </w:rPr>
              <w:t>(20,000)</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360"/>
              <w:spacing w:after="0"/>
              <w:rPr>
                <w:sz w:val="20"/>
                <w:szCs w:val="20"/>
                <w:color w:val="auto"/>
              </w:rPr>
            </w:pPr>
            <w:r>
              <w:rPr>
                <w:rFonts w:ascii="Arial" w:cs="Arial" w:eastAsia="Arial" w:hAnsi="Arial"/>
                <w:sz w:val="20"/>
                <w:szCs w:val="20"/>
                <w:color w:val="auto"/>
              </w:rPr>
              <w:t>Total long-term debt, less current portion</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00" w:type="dxa"/>
            <w:vAlign w:val="bottom"/>
            <w:vMerge w:val="continue"/>
          </w:tcPr>
          <w:p>
            <w:pPr>
              <w:spacing w:after="0"/>
              <w:rPr>
                <w:sz w:val="20"/>
                <w:szCs w:val="20"/>
                <w:color w:val="auto"/>
              </w:rPr>
            </w:pPr>
          </w:p>
        </w:tc>
        <w:tc>
          <w:tcPr>
            <w:tcW w:w="840" w:type="dxa"/>
            <w:vAlign w:val="bottom"/>
            <w:gridSpan w:val="3"/>
          </w:tcPr>
          <w:p>
            <w:pPr>
              <w:jc w:val="right"/>
              <w:ind w:right="104"/>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82,000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133,000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On August 30, 2023, the Company entered into a new five-</w:t>
      </w:r>
      <w:r>
        <w:rPr>
          <w:rFonts w:ascii="Arial" w:cs="Arial" w:eastAsia="Arial" w:hAnsi="Arial"/>
          <w:sz w:val="20"/>
          <w:szCs w:val="20"/>
          <w:color w:val="auto"/>
        </w:rPr>
        <w:t>year credit facility (“the Credit Facility"), replacing its</w:t>
      </w:r>
      <w:r>
        <w:rPr>
          <w:rFonts w:ascii="Times New Roman" w:cs="Times New Roman" w:eastAsia="Times New Roman" w:hAnsi="Times New Roman"/>
          <w:sz w:val="20"/>
          <w:szCs w:val="20"/>
          <w:color w:val="auto"/>
        </w:rPr>
        <w:t xml:space="preserve"> previous credit facility which would have matured September 27, 2024. The Credit Facility includes a $500 million revolving line of credit as well as provisions allowing for the increase of the credit facility commitment amount by an additional $250 million, if necessary, with the consent of the lenders. The bank syndication supporting the facility is comprised of a diverse group of seven banks led by JP Morgan Chase Bank, N.A., as administrative agent, Bank of America, N.A., as syndication agent, and Commerce Bank and TD Bank, N.A. as co-documentation agents. The Credit Facility matures August 30, 2028, with balance due by this date.</w:t>
      </w:r>
    </w:p>
    <w:p>
      <w:pPr>
        <w:spacing w:after="0" w:line="12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 xml:space="preserve">Interest on borrowings under the Credit Facility is calculated at a spread over either an Adjusted Term SOFR Rate, </w:t>
      </w:r>
      <w:r>
        <w:rPr>
          <w:rFonts w:ascii="Arial" w:cs="Arial" w:eastAsia="Arial" w:hAnsi="Arial"/>
          <w:sz w:val="19"/>
          <w:szCs w:val="19"/>
          <w:color w:val="auto"/>
        </w:rPr>
        <w:t>Adjusted EURIBOR Rate, Adjusted CDOR Rate, Alternate Base Rate or Daily Simple RFR, at the Company’s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F-21</w:t>
      </w:r>
    </w:p>
    <w:p>
      <w:pPr>
        <w:sectPr>
          <w:pgSz w:w="12240" w:h="15840" w:orient="portrait"/>
          <w:cols w:equalWidth="0" w:num="1">
            <w:col w:w="9420"/>
          </w:cols>
          <w:pgMar w:left="1440" w:top="1439" w:right="1380" w:bottom="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election. The Credit Facility also requires a facility fee ranging from 12.5 to 25 basis points per annum on the unused</w:t>
      </w:r>
    </w:p>
    <w:p>
      <w:pPr>
        <w:spacing w:after="0" w:line="9" w:lineRule="exact"/>
        <w:rPr>
          <w:sz w:val="20"/>
          <w:szCs w:val="20"/>
          <w:color w:val="auto"/>
        </w:rPr>
      </w:pPr>
    </w:p>
    <w:p>
      <w:pPr>
        <w:ind w:right="160"/>
        <w:spacing w:after="0" w:line="235" w:lineRule="auto"/>
        <w:rPr>
          <w:sz w:val="20"/>
          <w:szCs w:val="20"/>
          <w:color w:val="auto"/>
        </w:rPr>
      </w:pPr>
      <w:r>
        <w:rPr>
          <w:rFonts w:ascii="Arial" w:cs="Arial" w:eastAsia="Arial" w:hAnsi="Arial"/>
          <w:sz w:val="20"/>
          <w:szCs w:val="20"/>
          <w:color w:val="auto"/>
        </w:rPr>
        <w:t xml:space="preserve">portion. The interest rate spreads and the facility fee are subject to increase or decrease depending on the Company’s </w:t>
      </w:r>
      <w:r>
        <w:rPr>
          <w:rFonts w:ascii="Times New Roman" w:cs="Times New Roman" w:eastAsia="Times New Roman" w:hAnsi="Times New Roman"/>
          <w:sz w:val="20"/>
          <w:szCs w:val="20"/>
          <w:color w:val="auto"/>
        </w:rPr>
        <w:t>leverage ratio.</w:t>
      </w:r>
    </w:p>
    <w:p>
      <w:pPr>
        <w:spacing w:after="0" w:line="13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The Credit Facility is secured by the unlimited guaranty of our direct and indirect material U.S. subsidiaries and the pledge of 100% of the equity interests of our direct and indirect material foreign subsidiaries. The financial covenants of the Credit Facility include a leverage ratio and an interest coverage ratio. As of September 30, 2023, we were in compliance with all covenants.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September 30, 2023, we had approximately $390 million available to borrow under the Credit Facility, plus the</w:t>
      </w:r>
    </w:p>
    <w:p>
      <w:pPr>
        <w:spacing w:after="0" w:line="9"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0"/>
          <w:szCs w:val="20"/>
          <w:color w:val="auto"/>
        </w:rPr>
        <w:t xml:space="preserve">$250 million increase option </w:t>
      </w:r>
      <w:r>
        <w:rPr>
          <w:rFonts w:ascii="Arial" w:cs="Arial" w:eastAsia="Arial" w:hAnsi="Arial"/>
          <w:sz w:val="20"/>
          <w:szCs w:val="20"/>
          <w:color w:val="auto"/>
        </w:rPr>
        <w:t>subject to the lenders’ consent,</w:t>
      </w:r>
      <w:r>
        <w:rPr>
          <w:rFonts w:ascii="Times New Roman" w:cs="Times New Roman" w:eastAsia="Times New Roman" w:hAnsi="Times New Roman"/>
          <w:sz w:val="20"/>
          <w:szCs w:val="20"/>
          <w:color w:val="auto"/>
        </w:rPr>
        <w:t xml:space="preserve"> in addition to $41.9 million cash on hand. We classified $20 million as the current portion of long-term debt as of September 30, 2023, as we intend to repay this amount within the next twelve months; however, we have no contractual obligation to repay such amount during the next twelve months.</w:t>
      </w:r>
    </w:p>
    <w:p>
      <w:pPr>
        <w:spacing w:after="0" w:line="1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During 2023 and 2022, our maximum aggregate short-term borrowings at any month-end were $161 million and $208 million, respectively, and the average aggregate short-term borrowings outstanding based on month-end balances were $140.3 million and $189.8 million, respectively. The weighted average interest rates were 5.82% and 2.11% for 2023 and 2022, respectively. As of September 30, 2023, the interest rate on our debt was 6.81%. The letters of credit issued and outstanding under the Credit Facility totaled $8.3 million and $8.0 million at September 30, 2023 and 2022, respectively.</w:t>
      </w:r>
    </w:p>
    <w:p>
      <w:pPr>
        <w:spacing w:after="0" w:line="36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tab/>
        <w:t>Capital Stock</w:t>
      </w:r>
    </w:p>
    <w:p>
      <w:pPr>
        <w:spacing w:after="0" w:line="12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The 30,781,699 and 30,707,748 common shares as presented in the accompanying Consolidated Balance Sheets at September 30, 2023 and 2022 represent the actual number of shares issued at the respective dates. We held 4,995,414 and 4,854,997 common shares in treasury at September 30, 2023 and 2022, respectively.</w:t>
      </w:r>
    </w:p>
    <w:p>
      <w:pPr>
        <w:spacing w:after="0" w:line="13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 xml:space="preserve">In August 2021, our Board of Directors approved a new common stock repurchase program authorizing us to repurchase shares of our stock from time to time in </w:t>
      </w:r>
      <w:r>
        <w:rPr>
          <w:rFonts w:ascii="Arial" w:cs="Arial" w:eastAsia="Arial" w:hAnsi="Arial"/>
          <w:sz w:val="20"/>
          <w:szCs w:val="20"/>
          <w:color w:val="auto"/>
        </w:rPr>
        <w:t>Management’s</w:t>
      </w:r>
      <w:r>
        <w:rPr>
          <w:rFonts w:ascii="Times New Roman" w:cs="Times New Roman" w:eastAsia="Times New Roman" w:hAnsi="Times New Roman"/>
          <w:sz w:val="20"/>
          <w:szCs w:val="20"/>
          <w:color w:val="auto"/>
        </w:rPr>
        <w:t xml:space="preserve"> discretion, in the open market or otherwise, up to a maximum total repurchase amount of $200 million (or the maximum amount permitted under our bank credit agreements, if less). This program is scheduled to expire September 30, 2024. Under this program we repurchased approximately 140,000 shares in 2023 at an aggregate cost of $12.4 million and approximately 257,500 shares in 2022 at an aggregate cost of $20.0 million. We did not repurchase any shares in 2021.</w:t>
      </w:r>
    </w:p>
    <w:p>
      <w:pPr>
        <w:spacing w:after="0" w:line="36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Share-Based Compensation</w:t>
      </w:r>
    </w:p>
    <w:p>
      <w:pPr>
        <w:spacing w:after="0" w:line="124"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0"/>
          <w:szCs w:val="20"/>
          <w:color w:val="auto"/>
        </w:rPr>
        <w:t>We provide compensation benefits to certain key employees under several share-based plans providing for performance-accelerated and/or time-vested restricted stock unit awards, and to non-employee directors under a separate compensation plan for non-employee directors. As of September 30, 2023, our equity compensation plans had a total of 1,033,413 shares authorized and available for future issuance.</w:t>
      </w:r>
    </w:p>
    <w:p>
      <w:pPr>
        <w:spacing w:after="0" w:line="245"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b w:val="1"/>
          <w:bCs w:val="1"/>
          <w:i w:val="1"/>
          <w:iCs w:val="1"/>
          <w:u w:val="single" w:color="auto"/>
          <w:color w:val="auto"/>
        </w:rPr>
        <w:t>Performance-Accelerated Restricted Stock Unit (PARS) Awards, Time-Vested Restricted Stock Unit (RSU) Awards, and Performance Share Unit (PSU) Awards</w:t>
      </w:r>
    </w:p>
    <w:p>
      <w:pPr>
        <w:spacing w:after="0" w:line="12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0"/>
          <w:szCs w:val="20"/>
          <w:color w:val="auto"/>
        </w:rPr>
        <w:t>A PARS award represents the right to receive a specified number of shares of Company common stock if and when the award vests. A PARS award is not stock and does not give the recipient any rights as a shareholder until it vests and is paid out in shares of stock. PARS awards currently outstanding have a five-year vesting period, with accelerated vesting if certain targets based on market conditions are achieved. In these cases, if it is probable that the performance condition will be met, the Company recognizes compensation cost on a straight-line basis over the shorter performance period; otherwise, it will recognize compensation cost over the longer service period. Compensation cost for the outstanding PARS awards is being recognized over the shorter performance period, as it is probable the performance condition will be met. The PARS award grants were valued at the stock price on the date of grant.</w:t>
      </w:r>
    </w:p>
    <w:p>
      <w:pPr>
        <w:spacing w:after="0" w:line="129"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0"/>
          <w:szCs w:val="20"/>
          <w:color w:val="auto"/>
        </w:rPr>
        <w:t>The terms of the RSU awards are similar to those of the PARS awards, but without any provision for acceleration of the vesting date. Each RSU represents the right to receive one share of Company common stock if the recipient remains continuously employed by the Company until the award vests, normally 3 ½ years after the effective award date. The RSU award grants were valued at the stock price on the date of grant.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ectPr>
          <w:pgSz w:w="12240" w:h="15840" w:orient="portrait"/>
          <w:cols w:equalWidth="0" w:num="1">
            <w:col w:w="9500"/>
          </w:cols>
          <w:pgMar w:left="1440" w:top="1439" w:right="1300" w:bottom="0" w:gutter="0" w:footer="0" w:header="0"/>
        </w:sectPr>
      </w:pPr>
    </w:p>
    <w:bookmarkStart w:id="63" w:name="page64"/>
    <w:bookmarkEnd w:id="63"/>
    <w:p>
      <w:pPr>
        <w:spacing w:after="0" w:line="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Beginning in fiscal 2022, the Company granted PSU awards with a three-year vesting period, with each PSU representing the right to receive one share of Company common stock if certain performance targets are achieved. The targets are based on achieving certain EBITDA metrics and a Total Shareholder return (rTSR) metric over a three-year period. In fiscal 2023, the Company granted PSU awards with a three-year vesting period, with performance targets based on achieving certain EBITDA and Return on Invested Capital (ROIC) metrics and utilizing a rTSR modifier.</w:t>
      </w:r>
    </w:p>
    <w:p>
      <w:pPr>
        <w:spacing w:after="0" w:line="112"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20"/>
          <w:szCs w:val="20"/>
          <w:color w:val="auto"/>
        </w:rPr>
        <w:t>Pretax compensation expense related to the above awards was $7.6 million, $6.1 million and $5.6 million for 2023, 2022 and 2021, respectively.</w:t>
      </w:r>
    </w:p>
    <w:p>
      <w:pPr>
        <w:spacing w:after="0" w:line="130" w:lineRule="exact"/>
        <w:rPr>
          <w:sz w:val="20"/>
          <w:szCs w:val="20"/>
          <w:color w:val="auto"/>
        </w:rPr>
      </w:pPr>
    </w:p>
    <w:p>
      <w:pPr>
        <w:ind w:right="560"/>
        <w:spacing w:after="0" w:line="235" w:lineRule="auto"/>
        <w:rPr>
          <w:sz w:val="20"/>
          <w:szCs w:val="20"/>
          <w:color w:val="auto"/>
        </w:rPr>
      </w:pPr>
      <w:r>
        <w:rPr>
          <w:rFonts w:ascii="Times New Roman" w:cs="Times New Roman" w:eastAsia="Times New Roman" w:hAnsi="Times New Roman"/>
          <w:sz w:val="20"/>
          <w:szCs w:val="20"/>
          <w:color w:val="auto"/>
        </w:rPr>
        <w:t>The following summary presents information regarding outstanding share-based compensation awards as of the specified dates, and changes during the specified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20"/>
                <w:szCs w:val="20"/>
                <w:b w:val="1"/>
                <w:bCs w:val="1"/>
                <w:color w:val="auto"/>
              </w:rPr>
              <w:t>FY 2023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FY 2022</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FY 2021</w:t>
            </w:r>
          </w:p>
        </w:tc>
        <w:tc>
          <w:tcPr>
            <w:tcW w:w="780" w:type="dxa"/>
            <w:vAlign w:val="bottom"/>
            <w:tcBorders>
              <w:bottom w:val="single" w:sz="8" w:color="auto"/>
            </w:tcBorders>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85"/>
              </w:rPr>
              <w:t>Estimated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85"/>
              </w:rPr>
              <w:t>Estimated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85"/>
              </w:rPr>
              <w:t>Estimated</w:t>
            </w: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1"/>
              </w:rPr>
              <w:t>Weighted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89"/>
              </w:rPr>
              <w:t>Weighted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89"/>
              </w:rPr>
              <w:t>Weighted</w:t>
            </w:r>
          </w:p>
        </w:tc>
      </w:tr>
      <w:tr>
        <w:trPr>
          <w:trHeight w:val="23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Shares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83"/>
              </w:rPr>
              <w:t>Avg. Price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460"/>
              <w:spacing w:after="0"/>
              <w:rPr>
                <w:sz w:val="20"/>
                <w:szCs w:val="20"/>
                <w:color w:val="auto"/>
              </w:rPr>
            </w:pPr>
            <w:r>
              <w:rPr>
                <w:rFonts w:ascii="Arial" w:cs="Arial" w:eastAsia="Arial" w:hAnsi="Arial"/>
                <w:sz w:val="20"/>
                <w:szCs w:val="20"/>
                <w:color w:val="auto"/>
              </w:rPr>
              <w:t>Shares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83"/>
              </w:rPr>
              <w:t>Avg. Price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460"/>
              <w:spacing w:after="0"/>
              <w:rPr>
                <w:sz w:val="20"/>
                <w:szCs w:val="20"/>
                <w:color w:val="auto"/>
              </w:rPr>
            </w:pPr>
            <w:r>
              <w:rPr>
                <w:rFonts w:ascii="Arial" w:cs="Arial" w:eastAsia="Arial" w:hAnsi="Arial"/>
                <w:sz w:val="20"/>
                <w:szCs w:val="20"/>
                <w:color w:val="auto"/>
              </w:rPr>
              <w:t>Shares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83"/>
              </w:rPr>
              <w:t>Avg. Price</w:t>
            </w:r>
          </w:p>
        </w:tc>
      </w:tr>
      <w:tr>
        <w:trPr>
          <w:trHeight w:val="224"/>
        </w:trPr>
        <w:tc>
          <w:tcPr>
            <w:tcW w:w="20" w:type="dxa"/>
            <w:vAlign w:val="bottom"/>
          </w:tcPr>
          <w:p>
            <w:pPr>
              <w:spacing w:after="0"/>
              <w:rPr>
                <w:sz w:val="19"/>
                <w:szCs w:val="19"/>
                <w:color w:val="auto"/>
              </w:rPr>
            </w:pPr>
          </w:p>
        </w:tc>
        <w:tc>
          <w:tcPr>
            <w:tcW w:w="2160" w:type="dxa"/>
            <w:vAlign w:val="bottom"/>
            <w:tcBorders>
              <w:top w:val="single" w:sz="8" w:color="auto"/>
            </w:tcBorders>
          </w:tcPr>
          <w:p>
            <w:pPr>
              <w:spacing w:after="0" w:line="224" w:lineRule="exact"/>
              <w:rPr>
                <w:sz w:val="20"/>
                <w:szCs w:val="20"/>
                <w:color w:val="auto"/>
              </w:rPr>
            </w:pPr>
            <w:r>
              <w:rPr>
                <w:rFonts w:ascii="Arial" w:cs="Arial" w:eastAsia="Arial" w:hAnsi="Arial"/>
                <w:sz w:val="20"/>
                <w:szCs w:val="20"/>
                <w:color w:val="auto"/>
                <w:w w:val="98"/>
              </w:rPr>
              <w:t>Nonvested at October 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rPr>
              <w:t>265,367</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w w:val="71"/>
              </w:rPr>
              <w:t>$</w:t>
            </w:r>
          </w:p>
        </w:tc>
        <w:tc>
          <w:tcPr>
            <w:tcW w:w="86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rPr>
              <w:t>84.29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226,705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76.15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220,300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66.55</w:t>
            </w:r>
          </w:p>
        </w:tc>
      </w:tr>
      <w:tr>
        <w:trPr>
          <w:trHeight w:val="230"/>
        </w:trPr>
        <w:tc>
          <w:tcPr>
            <w:tcW w:w="2300" w:type="dxa"/>
            <w:vAlign w:val="bottom"/>
            <w:gridSpan w:val="4"/>
          </w:tcPr>
          <w:p>
            <w:pPr>
              <w:spacing w:after="0"/>
              <w:rPr>
                <w:sz w:val="20"/>
                <w:szCs w:val="20"/>
                <w:color w:val="auto"/>
              </w:rPr>
            </w:pPr>
            <w:r>
              <w:rPr>
                <w:rFonts w:ascii="Arial" w:cs="Arial" w:eastAsia="Arial" w:hAnsi="Arial"/>
                <w:sz w:val="20"/>
                <w:szCs w:val="20"/>
                <w:color w:val="auto"/>
              </w:rPr>
              <w:t>Granted</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84,880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93.64</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117,045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82.54</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51,476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108.05</w:t>
            </w:r>
          </w:p>
        </w:tc>
      </w:tr>
      <w:tr>
        <w:trPr>
          <w:trHeight w:val="231"/>
        </w:trPr>
        <w:tc>
          <w:tcPr>
            <w:tcW w:w="2300" w:type="dxa"/>
            <w:vAlign w:val="bottom"/>
            <w:gridSpan w:val="4"/>
          </w:tcPr>
          <w:p>
            <w:pPr>
              <w:spacing w:after="0"/>
              <w:rPr>
                <w:sz w:val="20"/>
                <w:szCs w:val="20"/>
                <w:color w:val="auto"/>
              </w:rPr>
            </w:pPr>
            <w:r>
              <w:rPr>
                <w:rFonts w:ascii="Arial" w:cs="Arial" w:eastAsia="Arial" w:hAnsi="Arial"/>
                <w:sz w:val="20"/>
                <w:szCs w:val="20"/>
                <w:color w:val="auto"/>
              </w:rPr>
              <w:t>Vested</w:t>
            </w:r>
          </w:p>
        </w:tc>
        <w:tc>
          <w:tcPr>
            <w:tcW w:w="12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(119,811)</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82.28</w:t>
            </w:r>
          </w:p>
        </w:tc>
        <w:tc>
          <w:tcPr>
            <w:tcW w:w="1420" w:type="dxa"/>
            <w:vAlign w:val="bottom"/>
            <w:gridSpan w:val="4"/>
          </w:tcPr>
          <w:p>
            <w:pPr>
              <w:jc w:val="right"/>
              <w:ind w:right="160"/>
              <w:spacing w:after="0"/>
              <w:rPr>
                <w:sz w:val="20"/>
                <w:szCs w:val="20"/>
                <w:color w:val="auto"/>
              </w:rPr>
            </w:pPr>
            <w:r>
              <w:rPr>
                <w:rFonts w:ascii="Arial" w:cs="Arial" w:eastAsia="Arial" w:hAnsi="Arial"/>
                <w:sz w:val="20"/>
                <w:szCs w:val="20"/>
                <w:color w:val="auto"/>
              </w:rPr>
              <w:t>(75,327)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56.87</w:t>
            </w:r>
          </w:p>
        </w:tc>
        <w:tc>
          <w:tcPr>
            <w:tcW w:w="1440" w:type="dxa"/>
            <w:vAlign w:val="bottom"/>
            <w:gridSpan w:val="4"/>
          </w:tcPr>
          <w:p>
            <w:pPr>
              <w:jc w:val="right"/>
              <w:ind w:right="160"/>
              <w:spacing w:after="0"/>
              <w:rPr>
                <w:sz w:val="20"/>
                <w:szCs w:val="20"/>
                <w:color w:val="auto"/>
              </w:rPr>
            </w:pPr>
            <w:r>
              <w:rPr>
                <w:rFonts w:ascii="Arial" w:cs="Arial" w:eastAsia="Arial" w:hAnsi="Arial"/>
                <w:sz w:val="20"/>
                <w:szCs w:val="20"/>
                <w:color w:val="auto"/>
              </w:rPr>
              <w:t>(35,753)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64.40</w:t>
            </w:r>
          </w:p>
        </w:tc>
      </w:tr>
      <w:tr>
        <w:trPr>
          <w:trHeight w:val="231"/>
        </w:trPr>
        <w:tc>
          <w:tcPr>
            <w:tcW w:w="2300" w:type="dxa"/>
            <w:vAlign w:val="bottom"/>
            <w:gridSpan w:val="4"/>
          </w:tcPr>
          <w:p>
            <w:pPr>
              <w:spacing w:after="0"/>
              <w:rPr>
                <w:sz w:val="20"/>
                <w:szCs w:val="20"/>
                <w:color w:val="auto"/>
              </w:rPr>
            </w:pPr>
            <w:r>
              <w:rPr>
                <w:rFonts w:ascii="Arial" w:cs="Arial" w:eastAsia="Arial" w:hAnsi="Arial"/>
                <w:sz w:val="20"/>
                <w:szCs w:val="20"/>
                <w:color w:val="auto"/>
              </w:rPr>
              <w:t>Cancelled</w:t>
            </w:r>
          </w:p>
        </w:tc>
        <w:tc>
          <w:tcPr>
            <w:tcW w:w="12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(40,711)</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85.00</w:t>
            </w:r>
          </w:p>
        </w:tc>
        <w:tc>
          <w:tcPr>
            <w:tcW w:w="1420" w:type="dxa"/>
            <w:vAlign w:val="bottom"/>
            <w:gridSpan w:val="4"/>
          </w:tcPr>
          <w:p>
            <w:pPr>
              <w:jc w:val="right"/>
              <w:ind w:right="160"/>
              <w:spacing w:after="0"/>
              <w:rPr>
                <w:sz w:val="20"/>
                <w:szCs w:val="20"/>
                <w:color w:val="auto"/>
              </w:rPr>
            </w:pPr>
            <w:r>
              <w:rPr>
                <w:rFonts w:ascii="Arial" w:cs="Arial" w:eastAsia="Arial" w:hAnsi="Arial"/>
                <w:sz w:val="20"/>
                <w:szCs w:val="20"/>
                <w:color w:val="auto"/>
              </w:rPr>
              <w:t>(3,056)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89.51</w:t>
            </w:r>
          </w:p>
        </w:tc>
        <w:tc>
          <w:tcPr>
            <w:tcW w:w="1440" w:type="dxa"/>
            <w:vAlign w:val="bottom"/>
            <w:gridSpan w:val="4"/>
          </w:tcPr>
          <w:p>
            <w:pPr>
              <w:jc w:val="right"/>
              <w:ind w:right="160"/>
              <w:spacing w:after="0"/>
              <w:rPr>
                <w:sz w:val="20"/>
                <w:szCs w:val="20"/>
                <w:color w:val="auto"/>
              </w:rPr>
            </w:pPr>
            <w:r>
              <w:rPr>
                <w:rFonts w:ascii="Arial" w:cs="Arial" w:eastAsia="Arial" w:hAnsi="Arial"/>
                <w:sz w:val="20"/>
                <w:szCs w:val="20"/>
                <w:color w:val="auto"/>
              </w:rPr>
              <w:t>(9,318)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70.50</w:t>
            </w:r>
          </w:p>
        </w:tc>
      </w:tr>
      <w:tr>
        <w:trPr>
          <w:trHeight w:val="232"/>
        </w:trPr>
        <w:tc>
          <w:tcPr>
            <w:tcW w:w="2300" w:type="dxa"/>
            <w:vAlign w:val="bottom"/>
            <w:gridSpan w:val="4"/>
          </w:tcPr>
          <w:p>
            <w:pPr>
              <w:spacing w:after="0"/>
              <w:rPr>
                <w:sz w:val="20"/>
                <w:szCs w:val="20"/>
                <w:color w:val="auto"/>
              </w:rPr>
            </w:pPr>
            <w:r>
              <w:rPr>
                <w:rFonts w:ascii="Arial" w:cs="Arial" w:eastAsia="Arial" w:hAnsi="Arial"/>
                <w:sz w:val="20"/>
                <w:szCs w:val="20"/>
                <w:color w:val="auto"/>
                <w:w w:val="89"/>
              </w:rPr>
              <w:t>Nonvested at September 30,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189,725</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94.91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265,367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84.29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226,705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76.15</w:t>
            </w: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Compensation Plan for Non-Employee Directors</w:t>
      </w:r>
    </w:p>
    <w:p>
      <w:pPr>
        <w:spacing w:after="0" w:line="12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 xml:space="preserve">In addition to an annual cash retainer, we provide each non-employee director with an annual equity award having a </w:t>
      </w:r>
      <w:r>
        <w:rPr>
          <w:rFonts w:ascii="Arial" w:cs="Arial" w:eastAsia="Arial" w:hAnsi="Arial"/>
          <w:sz w:val="20"/>
          <w:szCs w:val="20"/>
          <w:color w:val="auto"/>
        </w:rPr>
        <w:t>grant date market value of $180,000, based on the NYSE closing price of the Company’s stock on the date of grant</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award is in the form of Restricted Stock Units, each of which represents the right to receive one share of Company stock at the end of a one-year vesting period. At the end of the vesting period, each award will be converted into the right to receive the same number of actual shares of common stock, plus additional shares representing the value of the quarterly dividends which would have accrued on the underlying shares during the vesting period. Compensation expense related to the non-employee director grants was $1.3 million, $1.2 million and $1.3 million for 2023, 2022 and 2021,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Total Share-Based Compensation</w:t>
      </w:r>
    </w:p>
    <w:p>
      <w:pPr>
        <w:spacing w:after="0" w:line="12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0"/>
          <w:szCs w:val="20"/>
          <w:color w:val="auto"/>
        </w:rPr>
        <w:t>The total share-based compensation cost that has been recognized in results of operations and included within SG&amp;A was $8.9 million, $7.3 million and $6.9 million for 2023, 2022 and 2021, respectively. The total income tax benefit recognized in results of operations for share-based compensation arrangements was $1.3 million, $1.5 million and $1.4 million for 2023, 2022 and 2021, respectively. As of September 30, 2023, there was $9.0 million of total unrecognized compensation cost related to share-based compensation arrangements. That cost is expected to be recognized over a weighted-average period of 1.5 years.</w:t>
      </w:r>
    </w:p>
    <w:p>
      <w:pPr>
        <w:spacing w:after="0" w:line="36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tab/>
        <w:t>Business Segment Information</w:t>
      </w:r>
    </w:p>
    <w:p>
      <w:pPr>
        <w:spacing w:after="0" w:line="124"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0"/>
          <w:szCs w:val="20"/>
          <w:color w:val="auto"/>
        </w:rPr>
        <w:t>We are organized based on the products and services we offer, and we classify our continuing business operations in three reportable segments for financial reporting purposes: Aerospace &amp; Defense (A&amp;D), Utility Solutions Group (USG) and RF Test &amp; Measurement, formerly called RF Shielding and Test (Test). In addition, for reporting certain financial information we treat Corporate activities as a separate segment.</w:t>
      </w:r>
    </w:p>
    <w:p>
      <w:pPr>
        <w:spacing w:after="0" w:line="13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 xml:space="preserve">The A&amp;D </w:t>
      </w:r>
      <w:r>
        <w:rPr>
          <w:rFonts w:ascii="Arial" w:cs="Arial" w:eastAsia="Arial" w:hAnsi="Arial"/>
          <w:sz w:val="20"/>
          <w:szCs w:val="20"/>
          <w:color w:val="auto"/>
        </w:rPr>
        <w:t>segment’s operations consist of</w:t>
      </w:r>
      <w:r>
        <w:rPr>
          <w:rFonts w:ascii="Times New Roman" w:cs="Times New Roman" w:eastAsia="Times New Roman" w:hAnsi="Times New Roman"/>
          <w:sz w:val="20"/>
          <w:szCs w:val="20"/>
          <w:color w:val="auto"/>
        </w:rPr>
        <w:t xml:space="preserve"> PTI Technologies Inc. (PTI), VACCO Industries (VACCO), Crissair, Inc. (Crissair), Globe Composite Solutions, LLC (Globe), Westland Technologies, Inc. (Westland), and Mayday Manufacturing Co. (Mayday).The companies within this segment primarily design and manufacture specialty filtration, fluid control and naval products, including hydraulic filter elements and fluid control devices used in aerospace and defense applications, unique filter mechanisms used in micro-propulsion devices for satellites, custom designed filters for manned aircraft and submarines, products and systems to reduce vibration and/or acoustic </w:t>
      </w:r>
      <w:r>
        <w:rPr>
          <w:rFonts w:ascii="Arial" w:cs="Arial" w:eastAsia="Arial" w:hAnsi="Arial"/>
          <w:sz w:val="20"/>
          <w:szCs w:val="20"/>
          <w:color w:val="auto"/>
        </w:rPr>
        <w:t xml:space="preserve">signatures and otherwise reduce or obscure a vessel’s signature, and other communications, sealing, surface control </w:t>
      </w:r>
      <w:r>
        <w:rPr>
          <w:rFonts w:ascii="Times New Roman" w:cs="Times New Roman" w:eastAsia="Times New Roman" w:hAnsi="Times New Roman"/>
          <w:sz w:val="20"/>
          <w:szCs w:val="20"/>
          <w:color w:val="auto"/>
        </w:rPr>
        <w:t>and hydrodynamic related applications to enhance U.S. Navy maritime survivability; precision-tolerance machined components for the aerospace and defense industry; metal processing services; and miniature electro-explosive devices utilized in mission-critical defense and aerospace applications.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ectPr>
          <w:pgSz w:w="12240" w:h="15840" w:orient="portrait"/>
          <w:cols w:equalWidth="0" w:num="1">
            <w:col w:w="9500"/>
          </w:cols>
          <w:pgMar w:left="1440" w:top="1440" w:right="1300" w:bottom="0" w:gutter="0" w:footer="0" w:header="0"/>
        </w:sectPr>
      </w:pPr>
    </w:p>
    <w:bookmarkStart w:id="64" w:name="page65"/>
    <w:bookmarkEnd w:id="64"/>
    <w:p>
      <w:pPr>
        <w:spacing w:after="0" w:line="8"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 xml:space="preserve">The USG segment’s operations consist of Doble Engineering Company </w:t>
      </w:r>
      <w:r>
        <w:rPr>
          <w:rFonts w:ascii="Times New Roman" w:cs="Times New Roman" w:eastAsia="Times New Roman" w:hAnsi="Times New Roman"/>
          <w:sz w:val="20"/>
          <w:szCs w:val="20"/>
          <w:color w:val="auto"/>
        </w:rPr>
        <w:t>and related subsidiaries including Morgan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 xml:space="preserve">Schaffer and Altanova (collectively, Doble), and NRG Systems, Inc. (NRG). Doble is an industry leader in the development, manufacture and delivery of diagnostic testing and data management solutions that enable electric power grid operators to assess the integrity of high-voltage power delivery equipment. It combines three core elements for customers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diagnostic test and condition monitoring instruments, expert consulting, and testing services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provides access to its large reserve of related empirical knowledge. NRG is a global market leader in the design and manufacture of decision support tools for the renewable energy industry, primarily wind and solar. The acquisition of Altanova not only complements our existing products and services but its strong market presence in Europe and Asia provides a significant international platform for our USG segment.</w:t>
      </w:r>
    </w:p>
    <w:p>
      <w:pPr>
        <w:spacing w:after="0" w:line="1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color w:val="auto"/>
        </w:rPr>
        <w:t>The Test segment</w:t>
      </w:r>
      <w:r>
        <w:rPr>
          <w:rFonts w:ascii="Arial" w:cs="Arial" w:eastAsia="Arial" w:hAnsi="Arial"/>
          <w:sz w:val="20"/>
          <w:szCs w:val="20"/>
          <w:color w:val="auto"/>
        </w:rPr>
        <w:t>’s</w:t>
      </w:r>
      <w:r>
        <w:rPr>
          <w:rFonts w:ascii="Times New Roman" w:cs="Times New Roman" w:eastAsia="Times New Roman" w:hAnsi="Times New Roman"/>
          <w:sz w:val="20"/>
          <w:szCs w:val="20"/>
          <w:color w:val="auto"/>
        </w:rPr>
        <w:t xml:space="preserve"> operations consist of ETS-Lindgren Inc. and related subsidiaries (ETS-Lindgren). ETS-Lindgren is an industry leader in designing and manufacturing products and systems to measure and control RF and acoustic energy. It serves the acoustics, medical, health and safety, electronics, wireless communications, automotive and defense markets, supplying a broad range of turnkey systems, including RF test facilities and measurement systems, acoustic test enclosures, RF and magnetically shielded rooms and secure communication facilities, and providing the design, program management, installation and integration services required to successfully complete these types of facilities. It also supplies a broad range of components including RF absorptive materials, filters, antennas, field probes, test cells, proprietary measurement software and other test accessories required to perform a variety of tests and measurements, and offers a variety of services including calibration and product tests. .</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Accounting policies of the segments are the same as those described in the summary of significant accounting policies in Note 1 to the Consolidated Financial Statements. The operating units within each reporting segment have been aggregated because of similar economic characteristics and meet the other aggregation criteria of FASB ASC 280.</w:t>
      </w:r>
    </w:p>
    <w:p>
      <w:pPr>
        <w:spacing w:after="0" w:line="118"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0"/>
          <w:szCs w:val="20"/>
          <w:color w:val="auto"/>
        </w:rPr>
        <w:t>We evaluate the performance of our operating units based on EBIT, which is defined as earnings before interest and taxes. EBIT on a consolidated basis is a non-GAAP financial measure. Intersegment sales and transfers are not significant. Segment assets consist primarily of customer receivables, inventories, capitalized software and fixed assets directly associated with the production processes of the segment. Segment depreciation and amortization is based upon the direct assets listed above.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8"/>
              </w:rPr>
              <w:t>Net Sales</w:t>
            </w: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46"/>
        </w:trPr>
        <w:tc>
          <w:tcPr>
            <w:tcW w:w="5140" w:type="dxa"/>
            <w:vAlign w:val="bottom"/>
            <w:gridSpan w:val="2"/>
          </w:tcPr>
          <w:p>
            <w:pPr>
              <w:spacing w:after="0"/>
              <w:rPr>
                <w:sz w:val="20"/>
                <w:szCs w:val="20"/>
                <w:color w:val="auto"/>
              </w:rPr>
            </w:pPr>
            <w:r>
              <w:rPr>
                <w:rFonts w:ascii="Arial" w:cs="Arial" w:eastAsia="Arial" w:hAnsi="Arial"/>
                <w:sz w:val="20"/>
                <w:szCs w:val="20"/>
                <w:color w:val="auto"/>
              </w:rPr>
              <w:t>(Dollars in millions)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5140" w:type="dxa"/>
            <w:vAlign w:val="bottom"/>
            <w:gridSpan w:val="2"/>
          </w:tcPr>
          <w:p>
            <w:pPr>
              <w:spacing w:after="0" w:line="229" w:lineRule="exact"/>
              <w:rPr>
                <w:sz w:val="20"/>
                <w:szCs w:val="20"/>
                <w:color w:val="auto"/>
              </w:rPr>
            </w:pPr>
            <w:r>
              <w:rPr>
                <w:rFonts w:ascii="Arial" w:cs="Arial" w:eastAsia="Arial" w:hAnsi="Arial"/>
                <w:sz w:val="20"/>
                <w:szCs w:val="20"/>
                <w:color w:val="auto"/>
              </w:rPr>
              <w:t>Year ended 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ind w:left="340"/>
              <w:spacing w:after="0" w:line="229" w:lineRule="exact"/>
              <w:rPr>
                <w:sz w:val="20"/>
                <w:szCs w:val="20"/>
                <w:color w:val="auto"/>
              </w:rPr>
            </w:pPr>
            <w:r>
              <w:rPr>
                <w:rFonts w:ascii="Arial" w:cs="Arial" w:eastAsia="Arial" w:hAnsi="Arial"/>
                <w:sz w:val="20"/>
                <w:szCs w:val="20"/>
                <w:b w:val="1"/>
                <w:bCs w:val="1"/>
                <w:color w:val="auto"/>
                <w:w w:val="94"/>
              </w:rPr>
              <w:t>2023</w:t>
            </w:r>
          </w:p>
        </w:tc>
        <w:tc>
          <w:tcPr>
            <w:tcW w:w="1400" w:type="dxa"/>
            <w:vAlign w:val="bottom"/>
            <w:gridSpan w:val="3"/>
          </w:tcPr>
          <w:p>
            <w:pPr>
              <w:ind w:left="960"/>
              <w:spacing w:after="0" w:line="229" w:lineRule="exact"/>
              <w:rPr>
                <w:sz w:val="20"/>
                <w:szCs w:val="20"/>
                <w:color w:val="auto"/>
              </w:rPr>
            </w:pPr>
            <w:r>
              <w:rPr>
                <w:rFonts w:ascii="Arial" w:cs="Arial" w:eastAsia="Arial" w:hAnsi="Arial"/>
                <w:sz w:val="20"/>
                <w:szCs w:val="20"/>
                <w:color w:val="auto"/>
                <w:w w:val="94"/>
              </w:rPr>
              <w:t>2022</w:t>
            </w:r>
          </w:p>
        </w:tc>
        <w:tc>
          <w:tcPr>
            <w:tcW w:w="1400" w:type="dxa"/>
            <w:vAlign w:val="bottom"/>
            <w:gridSpan w:val="3"/>
          </w:tcPr>
          <w:p>
            <w:pPr>
              <w:ind w:left="980"/>
              <w:spacing w:after="0" w:line="229" w:lineRule="exact"/>
              <w:rPr>
                <w:sz w:val="20"/>
                <w:szCs w:val="20"/>
                <w:color w:val="auto"/>
              </w:rPr>
            </w:pPr>
            <w:r>
              <w:rPr>
                <w:rFonts w:ascii="Arial" w:cs="Arial" w:eastAsia="Arial" w:hAnsi="Arial"/>
                <w:sz w:val="20"/>
                <w:szCs w:val="20"/>
                <w:color w:val="auto"/>
                <w:w w:val="89"/>
              </w:rPr>
              <w:t>2021</w:t>
            </w:r>
          </w:p>
        </w:tc>
      </w:tr>
      <w:tr>
        <w:trPr>
          <w:trHeight w:val="230"/>
        </w:trPr>
        <w:tc>
          <w:tcPr>
            <w:tcW w:w="51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A&amp;D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20"/>
                <w:szCs w:val="20"/>
                <w:b w:val="1"/>
                <w:bCs w:val="1"/>
                <w:color w:val="auto"/>
                <w:w w:val="71"/>
              </w:rPr>
              <w:t>$</w:t>
            </w:r>
          </w:p>
        </w:tc>
        <w:tc>
          <w:tcPr>
            <w:tcW w:w="780" w:type="dxa"/>
            <w:vAlign w:val="bottom"/>
            <w:tcBorders>
              <w:top w:val="single" w:sz="8" w:color="auto"/>
            </w:tcBorders>
          </w:tcPr>
          <w:p>
            <w:pPr>
              <w:ind w:left="360"/>
              <w:spacing w:after="0"/>
              <w:rPr>
                <w:sz w:val="20"/>
                <w:szCs w:val="20"/>
                <w:color w:val="auto"/>
              </w:rPr>
            </w:pPr>
            <w:r>
              <w:rPr>
                <w:rFonts w:ascii="Arial" w:cs="Arial" w:eastAsia="Arial" w:hAnsi="Arial"/>
                <w:sz w:val="20"/>
                <w:szCs w:val="20"/>
                <w:b w:val="1"/>
                <w:bCs w:val="1"/>
                <w:color w:val="auto"/>
                <w:w w:val="79"/>
              </w:rPr>
              <w:t>392.4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tcBorders>
          </w:tcPr>
          <w:p>
            <w:pPr>
              <w:ind w:left="780"/>
              <w:spacing w:after="0"/>
              <w:rPr>
                <w:sz w:val="20"/>
                <w:szCs w:val="20"/>
                <w:color w:val="auto"/>
              </w:rPr>
            </w:pPr>
            <w:r>
              <w:rPr>
                <w:rFonts w:ascii="Arial" w:cs="Arial" w:eastAsia="Arial" w:hAnsi="Arial"/>
                <w:sz w:val="20"/>
                <w:szCs w:val="20"/>
                <w:color w:val="auto"/>
                <w:w w:val="79"/>
              </w:rPr>
              <w:t>351.4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tcBorders>
          </w:tcPr>
          <w:p>
            <w:pPr>
              <w:ind w:left="780"/>
              <w:spacing w:after="0"/>
              <w:rPr>
                <w:sz w:val="20"/>
                <w:szCs w:val="20"/>
                <w:color w:val="auto"/>
              </w:rPr>
            </w:pPr>
            <w:r>
              <w:rPr>
                <w:rFonts w:ascii="Arial" w:cs="Arial" w:eastAsia="Arial" w:hAnsi="Arial"/>
                <w:sz w:val="20"/>
                <w:szCs w:val="20"/>
                <w:color w:val="auto"/>
                <w:w w:val="79"/>
              </w:rPr>
              <w:t>314.8</w:t>
            </w:r>
          </w:p>
        </w:tc>
      </w:tr>
      <w:tr>
        <w:trPr>
          <w:trHeight w:val="230"/>
        </w:trPr>
        <w:tc>
          <w:tcPr>
            <w:tcW w:w="5140" w:type="dxa"/>
            <w:vAlign w:val="bottom"/>
            <w:gridSpan w:val="2"/>
          </w:tcPr>
          <w:p>
            <w:pPr>
              <w:spacing w:after="0"/>
              <w:rPr>
                <w:sz w:val="20"/>
                <w:szCs w:val="20"/>
                <w:color w:val="auto"/>
              </w:rPr>
            </w:pPr>
            <w:r>
              <w:rPr>
                <w:rFonts w:ascii="Arial" w:cs="Arial" w:eastAsia="Arial" w:hAnsi="Arial"/>
                <w:sz w:val="20"/>
                <w:szCs w:val="20"/>
                <w:color w:val="auto"/>
              </w:rPr>
              <w:t>USG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ind w:left="360"/>
              <w:spacing w:after="0"/>
              <w:rPr>
                <w:sz w:val="20"/>
                <w:szCs w:val="20"/>
                <w:color w:val="auto"/>
              </w:rPr>
            </w:pPr>
            <w:r>
              <w:rPr>
                <w:rFonts w:ascii="Arial" w:cs="Arial" w:eastAsia="Arial" w:hAnsi="Arial"/>
                <w:sz w:val="20"/>
                <w:szCs w:val="20"/>
                <w:b w:val="1"/>
                <w:bCs w:val="1"/>
                <w:color w:val="auto"/>
                <w:w w:val="79"/>
              </w:rPr>
              <w:t>342.3</w:t>
            </w:r>
          </w:p>
        </w:tc>
        <w:tc>
          <w:tcPr>
            <w:tcW w:w="1400" w:type="dxa"/>
            <w:vAlign w:val="bottom"/>
            <w:gridSpan w:val="3"/>
          </w:tcPr>
          <w:p>
            <w:pPr>
              <w:ind w:left="980"/>
              <w:spacing w:after="0"/>
              <w:rPr>
                <w:sz w:val="20"/>
                <w:szCs w:val="20"/>
                <w:color w:val="auto"/>
              </w:rPr>
            </w:pPr>
            <w:r>
              <w:rPr>
                <w:rFonts w:ascii="Arial" w:cs="Arial" w:eastAsia="Arial" w:hAnsi="Arial"/>
                <w:sz w:val="20"/>
                <w:szCs w:val="20"/>
                <w:color w:val="auto"/>
                <w:w w:val="79"/>
              </w:rPr>
              <w:t>278.4</w:t>
            </w:r>
          </w:p>
        </w:tc>
        <w:tc>
          <w:tcPr>
            <w:tcW w:w="1400" w:type="dxa"/>
            <w:vAlign w:val="bottom"/>
            <w:gridSpan w:val="3"/>
          </w:tcPr>
          <w:p>
            <w:pPr>
              <w:ind w:left="980"/>
              <w:spacing w:after="0"/>
              <w:rPr>
                <w:sz w:val="20"/>
                <w:szCs w:val="20"/>
                <w:color w:val="auto"/>
              </w:rPr>
            </w:pPr>
            <w:r>
              <w:rPr>
                <w:rFonts w:ascii="Arial" w:cs="Arial" w:eastAsia="Arial" w:hAnsi="Arial"/>
                <w:sz w:val="20"/>
                <w:szCs w:val="20"/>
                <w:color w:val="auto"/>
                <w:w w:val="79"/>
              </w:rPr>
              <w:t>202.9</w:t>
            </w:r>
          </w:p>
        </w:tc>
      </w:tr>
      <w:tr>
        <w:trPr>
          <w:trHeight w:val="231"/>
        </w:trPr>
        <w:tc>
          <w:tcPr>
            <w:tcW w:w="5140" w:type="dxa"/>
            <w:vAlign w:val="bottom"/>
            <w:gridSpan w:val="2"/>
          </w:tcPr>
          <w:p>
            <w:pPr>
              <w:spacing w:after="0"/>
              <w:rPr>
                <w:sz w:val="20"/>
                <w:szCs w:val="20"/>
                <w:color w:val="auto"/>
              </w:rPr>
            </w:pPr>
            <w:r>
              <w:rPr>
                <w:rFonts w:ascii="Arial" w:cs="Arial" w:eastAsia="Arial" w:hAnsi="Arial"/>
                <w:sz w:val="20"/>
                <w:szCs w:val="20"/>
                <w:color w:val="auto"/>
              </w:rPr>
              <w:t>Test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20"/>
                <w:szCs w:val="20"/>
                <w:b w:val="1"/>
                <w:bCs w:val="1"/>
                <w:color w:val="auto"/>
                <w:w w:val="79"/>
              </w:rPr>
              <w:t>221.3</w:t>
            </w:r>
          </w:p>
        </w:tc>
        <w:tc>
          <w:tcPr>
            <w:tcW w:w="200" w:type="dxa"/>
            <w:vAlign w:val="bottom"/>
            <w:gridSpan w:val="2"/>
          </w:tcPr>
          <w:p>
            <w:pPr>
              <w:spacing w:after="0"/>
              <w:rPr>
                <w:sz w:val="20"/>
                <w:szCs w:val="20"/>
                <w:color w:val="auto"/>
              </w:rPr>
            </w:pPr>
          </w:p>
        </w:tc>
        <w:tc>
          <w:tcPr>
            <w:tcW w:w="1200" w:type="dxa"/>
            <w:vAlign w:val="bottom"/>
            <w:tcBorders>
              <w:bottom w:val="single" w:sz="8" w:color="auto"/>
            </w:tcBorders>
          </w:tcPr>
          <w:p>
            <w:pPr>
              <w:ind w:left="780"/>
              <w:spacing w:after="0"/>
              <w:rPr>
                <w:sz w:val="20"/>
                <w:szCs w:val="20"/>
                <w:color w:val="auto"/>
              </w:rPr>
            </w:pPr>
            <w:r>
              <w:rPr>
                <w:rFonts w:ascii="Arial" w:cs="Arial" w:eastAsia="Arial" w:hAnsi="Arial"/>
                <w:sz w:val="20"/>
                <w:szCs w:val="20"/>
                <w:color w:val="auto"/>
                <w:w w:val="79"/>
              </w:rPr>
              <w:t>227.7</w:t>
            </w:r>
          </w:p>
        </w:tc>
        <w:tc>
          <w:tcPr>
            <w:tcW w:w="200" w:type="dxa"/>
            <w:vAlign w:val="bottom"/>
            <w:gridSpan w:val="2"/>
          </w:tcPr>
          <w:p>
            <w:pPr>
              <w:spacing w:after="0"/>
              <w:rPr>
                <w:sz w:val="20"/>
                <w:szCs w:val="20"/>
                <w:color w:val="auto"/>
              </w:rPr>
            </w:pPr>
          </w:p>
        </w:tc>
        <w:tc>
          <w:tcPr>
            <w:tcW w:w="1200" w:type="dxa"/>
            <w:vAlign w:val="bottom"/>
            <w:tcBorders>
              <w:bottom w:val="single" w:sz="8" w:color="auto"/>
            </w:tcBorders>
          </w:tcPr>
          <w:p>
            <w:pPr>
              <w:ind w:left="780"/>
              <w:spacing w:after="0"/>
              <w:rPr>
                <w:sz w:val="20"/>
                <w:szCs w:val="20"/>
                <w:color w:val="auto"/>
              </w:rPr>
            </w:pPr>
            <w:r>
              <w:rPr>
                <w:rFonts w:ascii="Arial" w:cs="Arial" w:eastAsia="Arial" w:hAnsi="Arial"/>
                <w:sz w:val="20"/>
                <w:szCs w:val="20"/>
                <w:color w:val="auto"/>
                <w:w w:val="79"/>
              </w:rPr>
              <w:t>197.7</w:t>
            </w:r>
          </w:p>
        </w:tc>
      </w:tr>
      <w:tr>
        <w:trPr>
          <w:trHeight w:val="232"/>
        </w:trPr>
        <w:tc>
          <w:tcPr>
            <w:tcW w:w="5140" w:type="dxa"/>
            <w:vAlign w:val="bottom"/>
            <w:gridSpan w:val="2"/>
          </w:tcPr>
          <w:p>
            <w:pPr>
              <w:spacing w:after="0"/>
              <w:rPr>
                <w:sz w:val="20"/>
                <w:szCs w:val="20"/>
                <w:color w:val="auto"/>
              </w:rPr>
            </w:pPr>
            <w:r>
              <w:rPr>
                <w:rFonts w:ascii="Arial" w:cs="Arial" w:eastAsia="Arial" w:hAnsi="Arial"/>
                <w:sz w:val="20"/>
                <w:szCs w:val="20"/>
                <w:color w:val="auto"/>
              </w:rPr>
              <w:t>Consolidated totals</w:t>
            </w:r>
          </w:p>
        </w:tc>
        <w:tc>
          <w:tcPr>
            <w:tcW w:w="540" w:type="dxa"/>
            <w:vAlign w:val="bottom"/>
            <w:gridSpan w:val="3"/>
          </w:tcPr>
          <w:p>
            <w:pPr>
              <w:jc w:val="right"/>
              <w:ind w:right="239"/>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ind w:left="360"/>
              <w:spacing w:after="0"/>
              <w:rPr>
                <w:sz w:val="20"/>
                <w:szCs w:val="20"/>
                <w:color w:val="auto"/>
              </w:rPr>
            </w:pPr>
            <w:r>
              <w:rPr>
                <w:rFonts w:ascii="Arial" w:cs="Arial" w:eastAsia="Arial" w:hAnsi="Arial"/>
                <w:sz w:val="20"/>
                <w:szCs w:val="20"/>
                <w:b w:val="1"/>
                <w:bCs w:val="1"/>
                <w:color w:val="auto"/>
                <w:w w:val="79"/>
              </w:rPr>
              <w:t>956.0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ind w:left="780"/>
              <w:spacing w:after="0"/>
              <w:rPr>
                <w:sz w:val="20"/>
                <w:szCs w:val="20"/>
                <w:color w:val="auto"/>
              </w:rPr>
            </w:pPr>
            <w:r>
              <w:rPr>
                <w:rFonts w:ascii="Arial" w:cs="Arial" w:eastAsia="Arial" w:hAnsi="Arial"/>
                <w:sz w:val="20"/>
                <w:szCs w:val="20"/>
                <w:color w:val="auto"/>
                <w:w w:val="79"/>
              </w:rPr>
              <w:t>857.5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ind w:left="780"/>
              <w:spacing w:after="0"/>
              <w:rPr>
                <w:sz w:val="20"/>
                <w:szCs w:val="20"/>
                <w:color w:val="auto"/>
              </w:rPr>
            </w:pPr>
            <w:r>
              <w:rPr>
                <w:rFonts w:ascii="Arial" w:cs="Arial" w:eastAsia="Arial" w:hAnsi="Arial"/>
                <w:sz w:val="20"/>
                <w:szCs w:val="20"/>
                <w:color w:val="auto"/>
                <w:w w:val="79"/>
              </w:rPr>
              <w:t>715.4</w:t>
            </w:r>
          </w:p>
        </w:tc>
      </w:tr>
      <w:tr>
        <w:trPr>
          <w:trHeight w:val="20"/>
        </w:trPr>
        <w:tc>
          <w:tcPr>
            <w:tcW w:w="8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customer exceeded 10% of consolidated sales in 2023, 2022 or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7"/>
              </w:rPr>
              <w:t>EBIT</w:t>
            </w:r>
          </w:p>
        </w:tc>
        <w:tc>
          <w:tcPr>
            <w:tcW w:w="4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5220" w:type="dxa"/>
            <w:vAlign w:val="bottom"/>
            <w:gridSpan w:val="2"/>
          </w:tcPr>
          <w:p>
            <w:pPr>
              <w:spacing w:after="0"/>
              <w:rPr>
                <w:sz w:val="20"/>
                <w:szCs w:val="20"/>
                <w:color w:val="auto"/>
              </w:rPr>
            </w:pPr>
            <w:r>
              <w:rPr>
                <w:rFonts w:ascii="Arial" w:cs="Arial" w:eastAsia="Arial" w:hAnsi="Arial"/>
                <w:sz w:val="20"/>
                <w:szCs w:val="20"/>
                <w:color w:val="auto"/>
              </w:rPr>
              <w:t>(Dollars in millions)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Year ended September 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20"/>
                <w:szCs w:val="20"/>
                <w:color w:val="auto"/>
              </w:rPr>
              <w:t>A&amp;D</w:t>
            </w:r>
          </w:p>
        </w:tc>
        <w:tc>
          <w:tcPr>
            <w:tcW w:w="540" w:type="dxa"/>
            <w:vAlign w:val="bottom"/>
            <w:gridSpan w:val="3"/>
          </w:tcPr>
          <w:p>
            <w:pPr>
              <w:jc w:val="right"/>
              <w:ind w:right="38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USG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Test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20" w:type="dxa"/>
            <w:vAlign w:val="bottom"/>
            <w:gridSpan w:val="2"/>
          </w:tcPr>
          <w:p>
            <w:pPr>
              <w:spacing w:after="0"/>
              <w:rPr>
                <w:sz w:val="20"/>
                <w:szCs w:val="20"/>
                <w:color w:val="auto"/>
              </w:rPr>
            </w:pPr>
            <w:r>
              <w:rPr>
                <w:rFonts w:ascii="Arial" w:cs="Arial" w:eastAsia="Arial" w:hAnsi="Arial"/>
                <w:sz w:val="20"/>
                <w:szCs w:val="20"/>
                <w:color w:val="auto"/>
              </w:rPr>
              <w:t>Reconciliation to consolidated totals (Corporate)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(53.0)</w:t>
            </w:r>
          </w:p>
        </w:tc>
        <w:tc>
          <w:tcPr>
            <w:tcW w:w="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0"/>
                <w:szCs w:val="20"/>
                <w:color w:val="auto"/>
              </w:rPr>
              <w:t>(47.3)</w:t>
            </w:r>
          </w:p>
        </w:tc>
        <w:tc>
          <w:tcPr>
            <w:tcW w:w="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(42.1)</w:t>
            </w:r>
          </w:p>
        </w:tc>
        <w:tc>
          <w:tcPr>
            <w:tcW w:w="0" w:type="dxa"/>
            <w:vAlign w:val="bottom"/>
          </w:tcPr>
          <w:p>
            <w:pPr>
              <w:spacing w:after="0"/>
              <w:rPr>
                <w:sz w:val="1"/>
                <w:szCs w:val="1"/>
                <w:color w:val="auto"/>
              </w:rPr>
            </w:pPr>
          </w:p>
        </w:tc>
      </w:tr>
      <w:tr>
        <w:trPr>
          <w:trHeight w:val="224"/>
        </w:trPr>
        <w:tc>
          <w:tcPr>
            <w:tcW w:w="5220" w:type="dxa"/>
            <w:vAlign w:val="bottom"/>
            <w:gridSpan w:val="2"/>
          </w:tcPr>
          <w:p>
            <w:pPr>
              <w:spacing w:after="0" w:line="225" w:lineRule="exact"/>
              <w:rPr>
                <w:sz w:val="20"/>
                <w:szCs w:val="20"/>
                <w:color w:val="auto"/>
              </w:rPr>
            </w:pPr>
            <w:r>
              <w:rPr>
                <w:rFonts w:ascii="Arial" w:cs="Arial" w:eastAsia="Arial" w:hAnsi="Arial"/>
                <w:sz w:val="20"/>
                <w:szCs w:val="20"/>
                <w:color w:val="auto"/>
              </w:rPr>
              <w:t>Consolidated EBIT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127.7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111.3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Less: interest expense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(8.8)</w:t>
            </w:r>
          </w:p>
        </w:tc>
        <w:tc>
          <w:tcPr>
            <w:tcW w:w="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0"/>
                <w:szCs w:val="20"/>
                <w:color w:val="auto"/>
              </w:rPr>
              <w:t>(4.9)</w:t>
            </w:r>
          </w:p>
        </w:tc>
        <w:tc>
          <w:tcPr>
            <w:tcW w:w="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20"/>
                <w:szCs w:val="20"/>
                <w:color w:val="auto"/>
              </w:rPr>
              <w:t>Earnings before income tax</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20" w:type="dxa"/>
            <w:vAlign w:val="bottom"/>
            <w:gridSpan w:val="2"/>
            <w:vMerge w:val="continue"/>
          </w:tcPr>
          <w:p>
            <w:pPr>
              <w:spacing w:after="0"/>
              <w:rPr>
                <w:sz w:val="20"/>
                <w:szCs w:val="20"/>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118.9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F-24</w:t>
      </w:r>
    </w:p>
    <w:p>
      <w:pPr>
        <w:sectPr>
          <w:pgSz w:w="12240" w:h="15840" w:orient="portrait"/>
          <w:cols w:equalWidth="0" w:num="1">
            <w:col w:w="9500"/>
          </w:cols>
          <w:pgMar w:left="1440" w:top="1440" w:right="1300"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Identifiable Assets</w:t>
            </w:r>
          </w:p>
        </w:tc>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48"/>
        </w:trPr>
        <w:tc>
          <w:tcPr>
            <w:tcW w:w="5220" w:type="dxa"/>
            <w:vAlign w:val="bottom"/>
            <w:gridSpan w:val="2"/>
          </w:tcPr>
          <w:p>
            <w:pPr>
              <w:spacing w:after="0"/>
              <w:rPr>
                <w:sz w:val="20"/>
                <w:szCs w:val="20"/>
                <w:color w:val="auto"/>
              </w:rPr>
            </w:pPr>
            <w:r>
              <w:rPr>
                <w:rFonts w:ascii="Arial" w:cs="Arial" w:eastAsia="Arial" w:hAnsi="Arial"/>
                <w:sz w:val="20"/>
                <w:szCs w:val="20"/>
                <w:color w:val="auto"/>
              </w:rPr>
              <w:t>(Dollars in millions)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1"/>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Year ended September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180" w:type="dxa"/>
            <w:vAlign w:val="bottom"/>
            <w:gridSpan w:val="2"/>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A&amp;D</w:t>
            </w:r>
          </w:p>
        </w:tc>
        <w:tc>
          <w:tcPr>
            <w:tcW w:w="480" w:type="dxa"/>
            <w:vAlign w:val="bottom"/>
            <w:gridSpan w:val="3"/>
          </w:tcPr>
          <w:p>
            <w:pPr>
              <w:jc w:val="right"/>
              <w:ind w:right="30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354.7</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295.2</w:t>
            </w:r>
          </w:p>
        </w:tc>
      </w:tr>
      <w:tr>
        <w:trPr>
          <w:trHeight w:val="226"/>
        </w:trPr>
        <w:tc>
          <w:tcPr>
            <w:tcW w:w="5220" w:type="dxa"/>
            <w:vAlign w:val="bottom"/>
            <w:gridSpan w:val="2"/>
          </w:tcPr>
          <w:p>
            <w:pPr>
              <w:spacing w:after="0" w:line="226" w:lineRule="exact"/>
              <w:rPr>
                <w:sz w:val="20"/>
                <w:szCs w:val="20"/>
                <w:color w:val="auto"/>
              </w:rPr>
            </w:pPr>
            <w:r>
              <w:rPr>
                <w:rFonts w:ascii="Arial" w:cs="Arial" w:eastAsia="Arial" w:hAnsi="Arial"/>
                <w:sz w:val="20"/>
                <w:szCs w:val="20"/>
                <w:color w:val="auto"/>
              </w:rPr>
              <w:t>USG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254.9</w:t>
            </w:r>
          </w:p>
        </w:tc>
        <w:tc>
          <w:tcPr>
            <w:tcW w:w="1440" w:type="dxa"/>
            <w:vAlign w:val="bottom"/>
            <w:gridSpan w:val="3"/>
          </w:tcPr>
          <w:p>
            <w:pPr>
              <w:jc w:val="right"/>
              <w:spacing w:after="0" w:line="226" w:lineRule="exact"/>
              <w:rPr>
                <w:sz w:val="20"/>
                <w:szCs w:val="20"/>
                <w:color w:val="auto"/>
              </w:rPr>
            </w:pPr>
            <w:r>
              <w:rPr>
                <w:rFonts w:ascii="Arial" w:cs="Arial" w:eastAsia="Arial" w:hAnsi="Arial"/>
                <w:sz w:val="20"/>
                <w:szCs w:val="20"/>
                <w:color w:val="auto"/>
              </w:rPr>
              <w:t>220.0</w:t>
            </w: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Test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167.6</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174.6</w:t>
            </w:r>
          </w:p>
        </w:tc>
      </w:tr>
      <w:tr>
        <w:trPr>
          <w:trHeight w:val="231"/>
        </w:trPr>
        <w:tc>
          <w:tcPr>
            <w:tcW w:w="5220" w:type="dxa"/>
            <w:vAlign w:val="bottom"/>
            <w:gridSpan w:val="2"/>
          </w:tcPr>
          <w:p>
            <w:pPr>
              <w:spacing w:after="0"/>
              <w:rPr>
                <w:sz w:val="20"/>
                <w:szCs w:val="20"/>
                <w:color w:val="auto"/>
              </w:rPr>
            </w:pPr>
            <w:r>
              <w:rPr>
                <w:rFonts w:ascii="Arial" w:cs="Arial" w:eastAsia="Arial" w:hAnsi="Arial"/>
                <w:sz w:val="20"/>
                <w:szCs w:val="20"/>
                <w:color w:val="auto"/>
              </w:rPr>
              <w:t>Corporate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906.0</w:t>
            </w:r>
          </w:p>
        </w:tc>
        <w:tc>
          <w:tcPr>
            <w:tcW w:w="180" w:type="dxa"/>
            <w:vAlign w:val="bottom"/>
            <w:gridSpan w:val="2"/>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964.7</w:t>
            </w: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Consolidated totals</w:t>
            </w:r>
          </w:p>
        </w:tc>
        <w:tc>
          <w:tcPr>
            <w:tcW w:w="480" w:type="dxa"/>
            <w:vAlign w:val="bottom"/>
            <w:gridSpan w:val="3"/>
          </w:tcPr>
          <w:p>
            <w:pPr>
              <w:jc w:val="right"/>
              <w:ind w:right="30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1,683.2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1,654.5</w:t>
            </w:r>
          </w:p>
        </w:tc>
      </w:tr>
      <w:tr>
        <w:trPr>
          <w:trHeight w:val="34"/>
        </w:trPr>
        <w:tc>
          <w:tcPr>
            <w:tcW w:w="16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consists primarily of deferred taxes, acquired intangible assets including goodwill and cash balances.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Capital Expenditures</w:t>
            </w: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48"/>
        </w:trPr>
        <w:tc>
          <w:tcPr>
            <w:tcW w:w="5220" w:type="dxa"/>
            <w:vAlign w:val="bottom"/>
            <w:gridSpan w:val="2"/>
          </w:tcPr>
          <w:p>
            <w:pPr>
              <w:spacing w:after="0"/>
              <w:rPr>
                <w:sz w:val="20"/>
                <w:szCs w:val="20"/>
                <w:color w:val="auto"/>
              </w:rPr>
            </w:pPr>
            <w:r>
              <w:rPr>
                <w:rFonts w:ascii="Arial" w:cs="Arial" w:eastAsia="Arial" w:hAnsi="Arial"/>
                <w:sz w:val="20"/>
                <w:szCs w:val="20"/>
                <w:color w:val="auto"/>
              </w:rPr>
              <w:t>(Dollars in millions)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1"/>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Year ended September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00" w:type="dxa"/>
            <w:vAlign w:val="bottom"/>
            <w:gridSpan w:val="2"/>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200" w:type="dxa"/>
            <w:vAlign w:val="bottom"/>
            <w:gridSpan w:val="2"/>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r>
      <w:tr>
        <w:trPr>
          <w:trHeight w:val="229"/>
        </w:trPr>
        <w:tc>
          <w:tcPr>
            <w:tcW w:w="5220" w:type="dxa"/>
            <w:vAlign w:val="bottom"/>
            <w:gridSpan w:val="2"/>
          </w:tcPr>
          <w:p>
            <w:pPr>
              <w:spacing w:after="0"/>
              <w:rPr>
                <w:sz w:val="20"/>
                <w:szCs w:val="20"/>
                <w:color w:val="auto"/>
              </w:rPr>
            </w:pPr>
            <w:r>
              <w:rPr>
                <w:rFonts w:ascii="Arial" w:cs="Arial" w:eastAsia="Arial" w:hAnsi="Arial"/>
                <w:sz w:val="20"/>
                <w:szCs w:val="20"/>
                <w:color w:val="auto"/>
              </w:rPr>
              <w:t>A&amp;D</w:t>
            </w:r>
          </w:p>
        </w:tc>
        <w:tc>
          <w:tcPr>
            <w:tcW w:w="540" w:type="dxa"/>
            <w:vAlign w:val="bottom"/>
            <w:gridSpan w:val="3"/>
          </w:tcPr>
          <w:p>
            <w:pPr>
              <w:jc w:val="right"/>
              <w:ind w:right="34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USG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4.9</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14.4</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11.6</w:t>
            </w:r>
          </w:p>
        </w:tc>
      </w:tr>
      <w:tr>
        <w:trPr>
          <w:trHeight w:val="230"/>
        </w:trPr>
        <w:tc>
          <w:tcPr>
            <w:tcW w:w="5220" w:type="dxa"/>
            <w:vAlign w:val="bottom"/>
            <w:gridSpan w:val="2"/>
          </w:tcPr>
          <w:p>
            <w:pPr>
              <w:spacing w:after="0"/>
              <w:rPr>
                <w:sz w:val="20"/>
                <w:szCs w:val="20"/>
                <w:color w:val="auto"/>
              </w:rPr>
            </w:pPr>
            <w:r>
              <w:rPr>
                <w:rFonts w:ascii="Arial" w:cs="Arial" w:eastAsia="Arial" w:hAnsi="Arial"/>
                <w:sz w:val="20"/>
                <w:szCs w:val="20"/>
                <w:color w:val="auto"/>
              </w:rPr>
              <w:t>Test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4.5</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8.3</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4.7</w:t>
            </w:r>
          </w:p>
        </w:tc>
      </w:tr>
      <w:tr>
        <w:trPr>
          <w:trHeight w:val="231"/>
        </w:trPr>
        <w:tc>
          <w:tcPr>
            <w:tcW w:w="5220" w:type="dxa"/>
            <w:vAlign w:val="bottom"/>
            <w:gridSpan w:val="2"/>
          </w:tcPr>
          <w:p>
            <w:pPr>
              <w:spacing w:after="0"/>
              <w:rPr>
                <w:sz w:val="20"/>
                <w:szCs w:val="20"/>
                <w:color w:val="auto"/>
              </w:rPr>
            </w:pPr>
            <w:r>
              <w:rPr>
                <w:rFonts w:ascii="Arial" w:cs="Arial" w:eastAsia="Arial" w:hAnsi="Arial"/>
                <w:sz w:val="20"/>
                <w:szCs w:val="20"/>
                <w:color w:val="auto"/>
              </w:rPr>
              <w:t>Corporate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2"/>
        </w:trPr>
        <w:tc>
          <w:tcPr>
            <w:tcW w:w="5220" w:type="dxa"/>
            <w:vAlign w:val="bottom"/>
            <w:gridSpan w:val="2"/>
          </w:tcPr>
          <w:p>
            <w:pPr>
              <w:spacing w:after="0"/>
              <w:rPr>
                <w:sz w:val="20"/>
                <w:szCs w:val="20"/>
                <w:color w:val="auto"/>
              </w:rPr>
            </w:pPr>
            <w:r>
              <w:rPr>
                <w:rFonts w:ascii="Arial" w:cs="Arial" w:eastAsia="Arial" w:hAnsi="Arial"/>
                <w:sz w:val="20"/>
                <w:szCs w:val="20"/>
                <w:color w:val="auto"/>
              </w:rPr>
              <w:t>Consolidated totals</w:t>
            </w:r>
          </w:p>
        </w:tc>
        <w:tc>
          <w:tcPr>
            <w:tcW w:w="540" w:type="dxa"/>
            <w:vAlign w:val="bottom"/>
            <w:gridSpan w:val="3"/>
          </w:tcPr>
          <w:p>
            <w:pPr>
              <w:jc w:val="right"/>
              <w:ind w:right="34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22.4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26.7</w:t>
            </w:r>
          </w:p>
        </w:tc>
      </w:tr>
      <w:tr>
        <w:trPr>
          <w:trHeight w:val="20"/>
        </w:trPr>
        <w:tc>
          <w:tcPr>
            <w:tcW w:w="1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0"/>
          <w:szCs w:val="20"/>
          <w:color w:val="auto"/>
        </w:rPr>
        <w:t>In addition to the above amounts, we incurred expenditures for capitalized software of $12.4 million, $12.9 million and $8.8 million in 2023, 2022 and 2021,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 and Amortization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20"/>
                <w:szCs w:val="20"/>
                <w:color w:val="auto"/>
              </w:rPr>
              <w:t>(Dollars in millions)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5240" w:type="dxa"/>
            <w:vAlign w:val="bottom"/>
          </w:tcPr>
          <w:p>
            <w:pPr>
              <w:spacing w:after="0"/>
              <w:rPr>
                <w:sz w:val="20"/>
                <w:szCs w:val="20"/>
                <w:color w:val="auto"/>
              </w:rPr>
            </w:pPr>
            <w:r>
              <w:rPr>
                <w:rFonts w:ascii="Arial" w:cs="Arial" w:eastAsia="Arial" w:hAnsi="Arial"/>
                <w:sz w:val="20"/>
                <w:szCs w:val="20"/>
                <w:color w:val="auto"/>
              </w:rPr>
              <w:t>Year ended September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2022</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2021</w:t>
            </w:r>
          </w:p>
        </w:tc>
      </w:tr>
      <w:tr>
        <w:trPr>
          <w:trHeight w:val="225"/>
        </w:trPr>
        <w:tc>
          <w:tcPr>
            <w:tcW w:w="5240" w:type="dxa"/>
            <w:vAlign w:val="bottom"/>
            <w:tcBorders>
              <w:top w:val="single" w:sz="8" w:color="auto"/>
            </w:tcBorders>
          </w:tcPr>
          <w:p>
            <w:pPr>
              <w:spacing w:after="0" w:line="225" w:lineRule="exact"/>
              <w:rPr>
                <w:sz w:val="20"/>
                <w:szCs w:val="20"/>
                <w:color w:val="auto"/>
              </w:rPr>
            </w:pPr>
            <w:r>
              <w:rPr>
                <w:rFonts w:ascii="Arial" w:cs="Arial" w:eastAsia="Arial" w:hAnsi="Arial"/>
                <w:sz w:val="20"/>
                <w:szCs w:val="20"/>
                <w:color w:val="auto"/>
              </w:rPr>
              <w:t>A&amp;D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12.6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11.1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10.4</w:t>
            </w:r>
          </w:p>
        </w:tc>
      </w:tr>
      <w:tr>
        <w:trPr>
          <w:trHeight w:val="230"/>
        </w:trPr>
        <w:tc>
          <w:tcPr>
            <w:tcW w:w="5240" w:type="dxa"/>
            <w:vAlign w:val="bottom"/>
          </w:tcPr>
          <w:p>
            <w:pPr>
              <w:spacing w:after="0"/>
              <w:rPr>
                <w:sz w:val="20"/>
                <w:szCs w:val="20"/>
                <w:color w:val="auto"/>
              </w:rPr>
            </w:pPr>
            <w:r>
              <w:rPr>
                <w:rFonts w:ascii="Arial" w:cs="Arial" w:eastAsia="Arial" w:hAnsi="Arial"/>
                <w:sz w:val="20"/>
                <w:szCs w:val="20"/>
                <w:color w:val="auto"/>
              </w:rPr>
              <w:t>USG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14.0</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12.6</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13.5</w:t>
            </w:r>
          </w:p>
        </w:tc>
      </w:tr>
      <w:tr>
        <w:trPr>
          <w:trHeight w:val="230"/>
        </w:trPr>
        <w:tc>
          <w:tcPr>
            <w:tcW w:w="5240" w:type="dxa"/>
            <w:vAlign w:val="bottom"/>
          </w:tcPr>
          <w:p>
            <w:pPr>
              <w:spacing w:after="0"/>
              <w:rPr>
                <w:sz w:val="20"/>
                <w:szCs w:val="20"/>
                <w:color w:val="auto"/>
              </w:rPr>
            </w:pPr>
            <w:r>
              <w:rPr>
                <w:rFonts w:ascii="Arial" w:cs="Arial" w:eastAsia="Arial" w:hAnsi="Arial"/>
                <w:sz w:val="20"/>
                <w:szCs w:val="20"/>
                <w:color w:val="auto"/>
              </w:rPr>
              <w:t>Test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5.3</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5.4</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5.2</w:t>
            </w:r>
          </w:p>
        </w:tc>
      </w:tr>
      <w:tr>
        <w:trPr>
          <w:trHeight w:val="231"/>
        </w:trPr>
        <w:tc>
          <w:tcPr>
            <w:tcW w:w="5240" w:type="dxa"/>
            <w:vAlign w:val="bottom"/>
          </w:tcPr>
          <w:p>
            <w:pPr>
              <w:spacing w:after="0"/>
              <w:rPr>
                <w:sz w:val="20"/>
                <w:szCs w:val="20"/>
                <w:color w:val="auto"/>
              </w:rPr>
            </w:pPr>
            <w:r>
              <w:rPr>
                <w:rFonts w:ascii="Arial" w:cs="Arial" w:eastAsia="Arial" w:hAnsi="Arial"/>
                <w:sz w:val="20"/>
                <w:szCs w:val="20"/>
                <w:color w:val="auto"/>
              </w:rPr>
              <w:t>Corporate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18.6</w:t>
            </w: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19.2</w:t>
            </w: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12.9</w:t>
            </w:r>
          </w:p>
        </w:tc>
      </w:tr>
      <w:tr>
        <w:trPr>
          <w:trHeight w:val="233"/>
        </w:trPr>
        <w:tc>
          <w:tcPr>
            <w:tcW w:w="5240" w:type="dxa"/>
            <w:vAlign w:val="bottom"/>
          </w:tcPr>
          <w:p>
            <w:pPr>
              <w:spacing w:after="0"/>
              <w:rPr>
                <w:sz w:val="20"/>
                <w:szCs w:val="20"/>
                <w:color w:val="auto"/>
              </w:rPr>
            </w:pPr>
            <w:r>
              <w:rPr>
                <w:rFonts w:ascii="Arial" w:cs="Arial" w:eastAsia="Arial" w:hAnsi="Arial"/>
                <w:sz w:val="20"/>
                <w:szCs w:val="20"/>
                <w:color w:val="auto"/>
              </w:rPr>
              <w:t>Consolidated totals</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50.5</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42.0</w:t>
            </w:r>
          </w:p>
        </w:tc>
      </w:tr>
      <w:tr>
        <w:trPr>
          <w:trHeight w:val="20"/>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Depreciation expense of property, plant and equipment was $21.6 million, $22.4 million and $21.2 million for 2023, 2022 and 2021,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04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Net Sales</w:t>
            </w:r>
          </w:p>
        </w:tc>
        <w:tc>
          <w:tcPr>
            <w:tcW w:w="3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240" w:type="dxa"/>
            <w:vAlign w:val="bottom"/>
            <w:gridSpan w:val="5"/>
          </w:tcPr>
          <w:p>
            <w:pPr>
              <w:spacing w:after="0"/>
              <w:rPr>
                <w:sz w:val="20"/>
                <w:szCs w:val="20"/>
                <w:color w:val="auto"/>
              </w:rPr>
            </w:pPr>
            <w:r>
              <w:rPr>
                <w:rFonts w:ascii="Arial" w:cs="Arial" w:eastAsia="Arial" w:hAnsi="Arial"/>
                <w:sz w:val="20"/>
                <w:szCs w:val="20"/>
                <w:color w:val="auto"/>
              </w:rPr>
              <w:t>(Dollars in millions)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Year ended September 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229"/>
        </w:trPr>
        <w:tc>
          <w:tcPr>
            <w:tcW w:w="5240" w:type="dxa"/>
            <w:vAlign w:val="bottom"/>
            <w:gridSpan w:val="5"/>
          </w:tcPr>
          <w:p>
            <w:pPr>
              <w:spacing w:after="0"/>
              <w:rPr>
                <w:sz w:val="20"/>
                <w:szCs w:val="20"/>
                <w:color w:val="auto"/>
              </w:rPr>
            </w:pPr>
            <w:r>
              <w:rPr>
                <w:rFonts w:ascii="Arial" w:cs="Arial" w:eastAsia="Arial" w:hAnsi="Arial"/>
                <w:sz w:val="20"/>
                <w:szCs w:val="20"/>
                <w:color w:val="auto"/>
              </w:rPr>
              <w:t>United States</w:t>
            </w:r>
          </w:p>
        </w:tc>
        <w:tc>
          <w:tcPr>
            <w:tcW w:w="540" w:type="dxa"/>
            <w:vAlign w:val="bottom"/>
            <w:gridSpan w:val="5"/>
          </w:tcPr>
          <w:p>
            <w:pPr>
              <w:jc w:val="right"/>
              <w:ind w:right="36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665.4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603.2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517.0</w:t>
            </w:r>
          </w:p>
        </w:tc>
        <w:tc>
          <w:tcPr>
            <w:tcW w:w="0" w:type="dxa"/>
            <w:vAlign w:val="bottom"/>
          </w:tcPr>
          <w:p>
            <w:pPr>
              <w:spacing w:after="0"/>
              <w:rPr>
                <w:sz w:val="1"/>
                <w:szCs w:val="1"/>
                <w:color w:val="auto"/>
              </w:rPr>
            </w:pPr>
          </w:p>
        </w:tc>
      </w:tr>
      <w:tr>
        <w:trPr>
          <w:trHeight w:val="230"/>
        </w:trPr>
        <w:tc>
          <w:tcPr>
            <w:tcW w:w="5240" w:type="dxa"/>
            <w:vAlign w:val="bottom"/>
            <w:gridSpan w:val="5"/>
          </w:tcPr>
          <w:p>
            <w:pPr>
              <w:spacing w:after="0"/>
              <w:rPr>
                <w:sz w:val="20"/>
                <w:szCs w:val="20"/>
                <w:color w:val="auto"/>
              </w:rPr>
            </w:pPr>
            <w:r>
              <w:rPr>
                <w:rFonts w:ascii="Arial" w:cs="Arial" w:eastAsia="Arial" w:hAnsi="Arial"/>
                <w:sz w:val="20"/>
                <w:szCs w:val="20"/>
                <w:color w:val="auto"/>
              </w:rPr>
              <w:t>Asia</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116.3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132.7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104.7</w:t>
            </w:r>
          </w:p>
        </w:tc>
        <w:tc>
          <w:tcPr>
            <w:tcW w:w="0" w:type="dxa"/>
            <w:vAlign w:val="bottom"/>
          </w:tcPr>
          <w:p>
            <w:pPr>
              <w:spacing w:after="0"/>
              <w:rPr>
                <w:sz w:val="1"/>
                <w:szCs w:val="1"/>
                <w:color w:val="auto"/>
              </w:rPr>
            </w:pPr>
          </w:p>
        </w:tc>
      </w:tr>
      <w:tr>
        <w:trPr>
          <w:trHeight w:val="226"/>
        </w:trPr>
        <w:tc>
          <w:tcPr>
            <w:tcW w:w="5240" w:type="dxa"/>
            <w:vAlign w:val="bottom"/>
            <w:gridSpan w:val="5"/>
          </w:tcPr>
          <w:p>
            <w:pPr>
              <w:spacing w:after="0" w:line="226" w:lineRule="exact"/>
              <w:rPr>
                <w:sz w:val="20"/>
                <w:szCs w:val="20"/>
                <w:color w:val="auto"/>
              </w:rPr>
            </w:pPr>
            <w:r>
              <w:rPr>
                <w:rFonts w:ascii="Arial" w:cs="Arial" w:eastAsia="Arial" w:hAnsi="Arial"/>
                <w:sz w:val="20"/>
                <w:szCs w:val="20"/>
                <w:color w:val="auto"/>
              </w:rPr>
              <w:t>Europe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90.4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auto"/>
              </w:rPr>
              <w:t>72.4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Arial" w:cs="Arial" w:eastAsia="Arial" w:hAnsi="Arial"/>
                <w:sz w:val="20"/>
                <w:szCs w:val="20"/>
                <w:color w:val="auto"/>
              </w:rPr>
              <w:t>53.5</w:t>
            </w:r>
          </w:p>
        </w:tc>
        <w:tc>
          <w:tcPr>
            <w:tcW w:w="0" w:type="dxa"/>
            <w:vAlign w:val="bottom"/>
          </w:tcPr>
          <w:p>
            <w:pPr>
              <w:spacing w:after="0"/>
              <w:rPr>
                <w:sz w:val="1"/>
                <w:szCs w:val="1"/>
                <w:color w:val="auto"/>
              </w:rPr>
            </w:pPr>
          </w:p>
        </w:tc>
      </w:tr>
      <w:tr>
        <w:trPr>
          <w:trHeight w:val="230"/>
        </w:trPr>
        <w:tc>
          <w:tcPr>
            <w:tcW w:w="5240" w:type="dxa"/>
            <w:vAlign w:val="bottom"/>
            <w:gridSpan w:val="5"/>
          </w:tcPr>
          <w:p>
            <w:pPr>
              <w:spacing w:after="0"/>
              <w:rPr>
                <w:sz w:val="20"/>
                <w:szCs w:val="20"/>
                <w:color w:val="auto"/>
              </w:rPr>
            </w:pPr>
            <w:r>
              <w:rPr>
                <w:rFonts w:ascii="Arial" w:cs="Arial" w:eastAsia="Arial" w:hAnsi="Arial"/>
                <w:sz w:val="20"/>
                <w:szCs w:val="20"/>
                <w:color w:val="auto"/>
              </w:rPr>
              <w:t>Canada</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46.8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31.2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27.0</w:t>
            </w:r>
          </w:p>
        </w:tc>
        <w:tc>
          <w:tcPr>
            <w:tcW w:w="0" w:type="dxa"/>
            <w:vAlign w:val="bottom"/>
          </w:tcPr>
          <w:p>
            <w:pPr>
              <w:spacing w:after="0"/>
              <w:rPr>
                <w:sz w:val="1"/>
                <w:szCs w:val="1"/>
                <w:color w:val="auto"/>
              </w:rPr>
            </w:pPr>
          </w:p>
        </w:tc>
      </w:tr>
      <w:tr>
        <w:trPr>
          <w:trHeight w:val="231"/>
        </w:trPr>
        <w:tc>
          <w:tcPr>
            <w:tcW w:w="5240" w:type="dxa"/>
            <w:vAlign w:val="bottom"/>
            <w:gridSpan w:val="5"/>
          </w:tcPr>
          <w:p>
            <w:pPr>
              <w:spacing w:after="0"/>
              <w:rPr>
                <w:sz w:val="20"/>
                <w:szCs w:val="20"/>
                <w:color w:val="auto"/>
              </w:rPr>
            </w:pPr>
            <w:r>
              <w:rPr>
                <w:rFonts w:ascii="Arial" w:cs="Arial" w:eastAsia="Arial" w:hAnsi="Arial"/>
                <w:sz w:val="20"/>
                <w:szCs w:val="20"/>
                <w:color w:val="auto"/>
              </w:rPr>
              <w:t>Other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34"/>
        </w:trPr>
        <w:tc>
          <w:tcPr>
            <w:tcW w:w="5240" w:type="dxa"/>
            <w:vAlign w:val="bottom"/>
            <w:gridSpan w:val="5"/>
          </w:tcPr>
          <w:p>
            <w:pPr>
              <w:spacing w:after="0"/>
              <w:rPr>
                <w:sz w:val="20"/>
                <w:szCs w:val="20"/>
                <w:color w:val="auto"/>
              </w:rPr>
            </w:pPr>
            <w:r>
              <w:rPr>
                <w:rFonts w:ascii="Arial" w:cs="Arial" w:eastAsia="Arial" w:hAnsi="Arial"/>
                <w:sz w:val="20"/>
                <w:szCs w:val="20"/>
                <w:color w:val="auto"/>
              </w:rPr>
              <w:t>Consolidated totals</w:t>
            </w:r>
          </w:p>
        </w:tc>
        <w:tc>
          <w:tcPr>
            <w:tcW w:w="540" w:type="dxa"/>
            <w:vAlign w:val="bottom"/>
            <w:gridSpan w:val="5"/>
          </w:tcPr>
          <w:p>
            <w:pPr>
              <w:jc w:val="right"/>
              <w:ind w:right="36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956.0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857.5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715.4</w:t>
            </w:r>
          </w:p>
        </w:tc>
        <w:tc>
          <w:tcPr>
            <w:tcW w:w="0" w:type="dxa"/>
            <w:vAlign w:val="bottom"/>
          </w:tcPr>
          <w:p>
            <w:pPr>
              <w:spacing w:after="0"/>
              <w:rPr>
                <w:sz w:val="1"/>
                <w:szCs w:val="1"/>
                <w:color w:val="auto"/>
              </w:rPr>
            </w:pPr>
          </w:p>
        </w:tc>
      </w:tr>
      <w:tr>
        <w:trPr>
          <w:trHeight w:val="20"/>
        </w:trPr>
        <w:tc>
          <w:tcPr>
            <w:tcW w:w="524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Long-Lived Assets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24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86"/>
              </w:rPr>
              <w:t>(Dollars in millions)</w:t>
            </w:r>
          </w:p>
        </w:tc>
        <w:tc>
          <w:tcPr>
            <w:tcW w:w="37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240" w:type="dxa"/>
            <w:vAlign w:val="bottom"/>
            <w:gridSpan w:val="5"/>
          </w:tcPr>
          <w:p>
            <w:pPr>
              <w:spacing w:after="0"/>
              <w:rPr>
                <w:sz w:val="20"/>
                <w:szCs w:val="20"/>
                <w:color w:val="auto"/>
              </w:rPr>
            </w:pPr>
            <w:r>
              <w:rPr>
                <w:rFonts w:ascii="Arial" w:cs="Arial" w:eastAsia="Arial" w:hAnsi="Arial"/>
                <w:sz w:val="20"/>
                <w:szCs w:val="20"/>
                <w:color w:val="auto"/>
              </w:rPr>
              <w:t>Year ended September 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rPr>
              <w:t>United States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20"/>
                <w:szCs w:val="20"/>
                <w:b w:val="1"/>
                <w:bCs w:val="1"/>
                <w:color w:val="auto"/>
                <w:w w:val="71"/>
              </w:rPr>
              <w:t>$</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141.9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141.5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5"/>
          </w:tcPr>
          <w:p>
            <w:pPr>
              <w:spacing w:after="0"/>
              <w:rPr>
                <w:sz w:val="20"/>
                <w:szCs w:val="20"/>
                <w:color w:val="auto"/>
              </w:rPr>
            </w:pPr>
            <w:r>
              <w:rPr>
                <w:rFonts w:ascii="Arial" w:cs="Arial" w:eastAsia="Arial" w:hAnsi="Arial"/>
                <w:sz w:val="20"/>
                <w:szCs w:val="20"/>
                <w:color w:val="auto"/>
              </w:rPr>
              <w:t>Canada</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b w:val="1"/>
                <w:bCs w:val="1"/>
                <w:color w:val="auto"/>
              </w:rPr>
              <w:t>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4.9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5"/>
          </w:tcPr>
          <w:p>
            <w:pPr>
              <w:spacing w:after="0"/>
              <w:rPr>
                <w:sz w:val="20"/>
                <w:szCs w:val="20"/>
                <w:color w:val="auto"/>
              </w:rPr>
            </w:pPr>
            <w:r>
              <w:rPr>
                <w:rFonts w:ascii="Arial" w:cs="Arial" w:eastAsia="Arial" w:hAnsi="Arial"/>
                <w:sz w:val="20"/>
                <w:szCs w:val="20"/>
                <w:color w:val="auto"/>
              </w:rPr>
              <w:t>Mexico</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b w:val="1"/>
                <w:bCs w:val="1"/>
                <w:color w:val="auto"/>
              </w:rPr>
              <w:t>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40" w:type="dxa"/>
            <w:vAlign w:val="bottom"/>
            <w:gridSpan w:val="5"/>
          </w:tcPr>
          <w:p>
            <w:pPr>
              <w:spacing w:after="0"/>
              <w:rPr>
                <w:sz w:val="20"/>
                <w:szCs w:val="20"/>
                <w:color w:val="auto"/>
              </w:rPr>
            </w:pPr>
            <w:r>
              <w:rPr>
                <w:rFonts w:ascii="Arial" w:cs="Arial" w:eastAsia="Arial" w:hAnsi="Arial"/>
                <w:sz w:val="20"/>
                <w:szCs w:val="20"/>
                <w:color w:val="auto"/>
              </w:rPr>
              <w:t>Other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40" w:type="dxa"/>
            <w:vAlign w:val="bottom"/>
            <w:gridSpan w:val="5"/>
          </w:tcPr>
          <w:p>
            <w:pPr>
              <w:spacing w:after="0"/>
              <w:rPr>
                <w:sz w:val="20"/>
                <w:szCs w:val="20"/>
                <w:color w:val="auto"/>
              </w:rPr>
            </w:pPr>
            <w:r>
              <w:rPr>
                <w:rFonts w:ascii="Arial" w:cs="Arial" w:eastAsia="Arial" w:hAnsi="Arial"/>
                <w:sz w:val="20"/>
                <w:szCs w:val="20"/>
                <w:color w:val="auto"/>
              </w:rPr>
              <w:t>Consolidated totals</w:t>
            </w:r>
          </w:p>
        </w:tc>
        <w:tc>
          <w:tcPr>
            <w:tcW w:w="540" w:type="dxa"/>
            <w:vAlign w:val="bottom"/>
            <w:gridSpan w:val="5"/>
          </w:tcPr>
          <w:p>
            <w:pPr>
              <w:jc w:val="right"/>
              <w:ind w:right="380"/>
              <w:spacing w:after="0"/>
              <w:rPr>
                <w:sz w:val="20"/>
                <w:szCs w:val="20"/>
                <w:color w:val="auto"/>
              </w:rPr>
            </w:pPr>
            <w:r>
              <w:rPr>
                <w:rFonts w:ascii="Arial" w:cs="Arial" w:eastAsia="Arial" w:hAnsi="Arial"/>
                <w:sz w:val="20"/>
                <w:szCs w:val="20"/>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20"/>
                <w:szCs w:val="20"/>
                <w:b w:val="1"/>
                <w:bCs w:val="1"/>
                <w:color w:val="auto"/>
              </w:rPr>
              <w:t>155.5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156.0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0"/>
          <w:szCs w:val="20"/>
          <w:color w:val="auto"/>
        </w:rPr>
        <w:t>We attribute net sales to countries based on the location of the customer. We attribute long-lived assets to countries based on the location of the asset.</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F-25</w:t>
      </w:r>
    </w:p>
    <w:p>
      <w:pPr>
        <w:sectPr>
          <w:pgSz w:w="12240" w:h="15840" w:orient="portrait"/>
          <w:cols w:equalWidth="0" w:num="1">
            <w:col w:w="9420"/>
          </w:cols>
          <w:pgMar w:left="1440" w:top="1420" w:right="1380" w:bottom="0" w:gutter="0" w:footer="0" w:header="0"/>
        </w:sectPr>
      </w:pPr>
    </w:p>
    <w:bookmarkStart w:id="66" w:name="page67"/>
    <w:bookmarkEnd w:id="66"/>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12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color w:val="auto"/>
        </w:rPr>
        <w:t>At September 30, 2023, we had $8.3 million in letters of credit outstanding as guarantees of contract performance and cash amounts that exceeded federally insured amounts. As a normal incident of the businesses in which we are engaged, various claims, charges and litigation are asserted or commenced from time to time against us. Additionally, we are currently involved in various stages of investigation and remediation relating to environmental matters. It is the opinion of Management that the aggregate costs involved in the resolution of these matters, and final judgments, if any, which might be rendered against us are adequately accrued, are covered by insurance or are not likely to have a material adverse effect on our financial results as the estimated exposure to loss is not material.</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Leases</w:t>
      </w:r>
    </w:p>
    <w:p>
      <w:pPr>
        <w:spacing w:after="0" w:line="12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We record our leases in accordance with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We determine at lease inception whether an arrangement that provides control over the use of an asset is a lease. We recognize at lease commencement a right-of-use (ROU) asset and lease liability based on the present value of the future lease payments over the lease term (including anticipated renewals). We have elected not to recognize a ROU asset and lease liability for leases with terms of 12 months or less. Certain of our leases include options to extend the term of the lease for up to 20 years. When it is reasonably certain that we will exercise the option, Management includes the impact of the option in the lease term for purposes of determining total future lease payments. As most of our lease agreements do not explicitly state the discount rate implicit in the lease, Management uses our incremental borrowing rate on the commencement date to calculate the present value of future payments based on the tenor of each arrangement.</w:t>
      </w:r>
    </w:p>
    <w:p>
      <w:pPr>
        <w:spacing w:after="0" w:line="137"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0"/>
          <w:szCs w:val="20"/>
          <w:color w:val="auto"/>
        </w:rPr>
        <w:t>Our leases for real estate commonly include escalating payments. We include these variable lease payments in the calculation of our ROU asset and lease liability. In addition to the present value of the future lease payments, the calculation of the ROU asset also includes any deferred rent, lease pre-payments and initial direct costs of obtaining the lease.</w:t>
      </w:r>
    </w:p>
    <w:p>
      <w:pPr>
        <w:spacing w:after="0" w:line="130" w:lineRule="exact"/>
        <w:rPr>
          <w:sz w:val="20"/>
          <w:szCs w:val="20"/>
          <w:color w:val="auto"/>
        </w:rPr>
      </w:pPr>
    </w:p>
    <w:p>
      <w:pPr>
        <w:jc w:val="both"/>
        <w:ind w:right="340"/>
        <w:spacing w:after="0" w:line="237" w:lineRule="auto"/>
        <w:rPr>
          <w:sz w:val="20"/>
          <w:szCs w:val="20"/>
          <w:color w:val="auto"/>
        </w:rPr>
      </w:pPr>
      <w:r>
        <w:rPr>
          <w:rFonts w:ascii="Times New Roman" w:cs="Times New Roman" w:eastAsia="Times New Roman" w:hAnsi="Times New Roman"/>
          <w:sz w:val="20"/>
          <w:szCs w:val="20"/>
          <w:color w:val="auto"/>
        </w:rPr>
        <w:t>In addition to the base rent, real estate leases typically contain provisions for common-area maintenance and other similar services, which are considered non-lease components for accounting purposes. Non-lease components are excluded from our ROU assets and lease liabilities and expensed as incurred.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leases are for office space, manufacturing facilities, and machinery and equipment.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components of lease costs are shown below:</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restart"/>
          </w:tcPr>
          <w:p>
            <w:pPr>
              <w:jc w:val="center"/>
              <w:ind w:right="520"/>
              <w:spacing w:after="0"/>
              <w:rPr>
                <w:sz w:val="20"/>
                <w:szCs w:val="20"/>
                <w:color w:val="auto"/>
              </w:rPr>
            </w:pPr>
            <w:r>
              <w:rPr>
                <w:rFonts w:ascii="Arial" w:cs="Arial" w:eastAsia="Arial" w:hAnsi="Arial"/>
                <w:sz w:val="20"/>
                <w:szCs w:val="20"/>
                <w:b w:val="1"/>
                <w:bCs w:val="1"/>
                <w:color w:val="auto"/>
                <w:w w:val="81"/>
              </w:rPr>
              <w:t>Year Ended</w:t>
            </w:r>
          </w:p>
        </w:tc>
        <w:tc>
          <w:tcPr>
            <w:tcW w:w="1600" w:type="dxa"/>
            <w:vAlign w:val="bottom"/>
            <w:gridSpan w:val="3"/>
            <w:vMerge w:val="restart"/>
          </w:tcPr>
          <w:p>
            <w:pPr>
              <w:jc w:val="center"/>
              <w:ind w:right="220"/>
              <w:spacing w:after="0"/>
              <w:rPr>
                <w:sz w:val="20"/>
                <w:szCs w:val="20"/>
                <w:color w:val="auto"/>
              </w:rPr>
            </w:pPr>
            <w:r>
              <w:rPr>
                <w:rFonts w:ascii="Arial" w:cs="Arial" w:eastAsia="Arial" w:hAnsi="Arial"/>
                <w:sz w:val="20"/>
                <w:szCs w:val="20"/>
                <w:color w:val="auto"/>
                <w:w w:val="81"/>
              </w:rPr>
              <w:t>Year Ended</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20"/>
                <w:szCs w:val="20"/>
                <w:b w:val="1"/>
                <w:bCs w:val="1"/>
                <w:color w:val="auto"/>
                <w:w w:val="83"/>
              </w:rPr>
              <w:t>September 30,</w:t>
            </w:r>
          </w:p>
        </w:tc>
        <w:tc>
          <w:tcPr>
            <w:tcW w:w="1600" w:type="dxa"/>
            <w:vAlign w:val="bottom"/>
            <w:gridSpan w:val="3"/>
          </w:tcPr>
          <w:p>
            <w:pPr>
              <w:jc w:val="center"/>
              <w:ind w:right="220"/>
              <w:spacing w:after="0"/>
              <w:rPr>
                <w:sz w:val="20"/>
                <w:szCs w:val="20"/>
                <w:color w:val="auto"/>
              </w:rPr>
            </w:pPr>
            <w:r>
              <w:rPr>
                <w:rFonts w:ascii="Arial" w:cs="Arial" w:eastAsia="Arial" w:hAnsi="Arial"/>
                <w:sz w:val="20"/>
                <w:szCs w:val="20"/>
                <w:color w:val="auto"/>
                <w:w w:val="80"/>
              </w:rPr>
              <w:t>September 30,</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rPr>
              <w:t>(Dollars 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20"/>
                <w:szCs w:val="20"/>
                <w:b w:val="1"/>
                <w:bCs w:val="1"/>
                <w:color w:val="auto"/>
                <w:w w:val="85"/>
              </w:rPr>
              <w:t>2023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0"/>
              </w:rPr>
              <w:t>2022</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2"/>
          </w:tcPr>
          <w:p>
            <w:pPr>
              <w:ind w:left="40"/>
              <w:spacing w:after="0"/>
              <w:rPr>
                <w:sz w:val="20"/>
                <w:szCs w:val="20"/>
                <w:color w:val="auto"/>
              </w:rPr>
            </w:pPr>
            <w:r>
              <w:rPr>
                <w:rFonts w:ascii="Arial" w:cs="Arial" w:eastAsia="Arial" w:hAnsi="Arial"/>
                <w:sz w:val="20"/>
                <w:szCs w:val="20"/>
                <w:color w:val="auto"/>
              </w:rPr>
              <w:t>Finance lease cost: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2"/>
          </w:tcPr>
          <w:p>
            <w:pPr>
              <w:ind w:left="400"/>
              <w:spacing w:after="0"/>
              <w:rPr>
                <w:sz w:val="20"/>
                <w:szCs w:val="20"/>
                <w:color w:val="auto"/>
              </w:rPr>
            </w:pPr>
            <w:r>
              <w:rPr>
                <w:rFonts w:ascii="Arial" w:cs="Arial" w:eastAsia="Arial" w:hAnsi="Arial"/>
                <w:sz w:val="20"/>
                <w:szCs w:val="20"/>
                <w:color w:val="auto"/>
              </w:rPr>
              <w:t>Amortization</w:t>
            </w:r>
          </w:p>
        </w:tc>
        <w:tc>
          <w:tcPr>
            <w:tcW w:w="380" w:type="dxa"/>
            <w:vAlign w:val="bottom"/>
            <w:gridSpan w:val="4"/>
          </w:tcPr>
          <w:p>
            <w:pPr>
              <w:ind w:left="280"/>
              <w:spacing w:after="0"/>
              <w:rPr>
                <w:sz w:val="20"/>
                <w:szCs w:val="20"/>
                <w:color w:val="auto"/>
              </w:rPr>
            </w:pPr>
            <w:r>
              <w:rPr>
                <w:rFonts w:ascii="Arial" w:cs="Arial" w:eastAsia="Arial" w:hAnsi="Arial"/>
                <w:sz w:val="20"/>
                <w:szCs w:val="20"/>
                <w:b w:val="1"/>
                <w:bCs w:val="1"/>
                <w:color w:val="auto"/>
                <w:w w:val="71"/>
              </w:rPr>
              <w:t>$</w:t>
            </w:r>
          </w:p>
        </w:tc>
        <w:tc>
          <w:tcPr>
            <w:tcW w:w="1100" w:type="dxa"/>
            <w:vAlign w:val="bottom"/>
          </w:tcPr>
          <w:p>
            <w:pPr>
              <w:jc w:val="right"/>
              <w:ind w:right="19"/>
              <w:spacing w:after="0"/>
              <w:rPr>
                <w:sz w:val="20"/>
                <w:szCs w:val="20"/>
                <w:color w:val="auto"/>
              </w:rPr>
            </w:pPr>
            <w:r>
              <w:rPr>
                <w:rFonts w:ascii="Arial" w:cs="Arial" w:eastAsia="Arial" w:hAnsi="Arial"/>
                <w:sz w:val="20"/>
                <w:szCs w:val="20"/>
                <w:b w:val="1"/>
                <w:bCs w:val="1"/>
                <w:color w:val="auto"/>
              </w:rPr>
              <w:t>1,572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1,572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2"/>
          </w:tcPr>
          <w:p>
            <w:pPr>
              <w:ind w:left="400"/>
              <w:spacing w:after="0" w:line="227" w:lineRule="exact"/>
              <w:rPr>
                <w:sz w:val="20"/>
                <w:szCs w:val="20"/>
                <w:color w:val="auto"/>
              </w:rPr>
            </w:pPr>
            <w:r>
              <w:rPr>
                <w:rFonts w:ascii="Arial" w:cs="Arial" w:eastAsia="Arial" w:hAnsi="Arial"/>
                <w:sz w:val="20"/>
                <w:szCs w:val="20"/>
                <w:color w:val="auto"/>
              </w:rPr>
              <w:t>Interest on lease liabilities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9"/>
              <w:spacing w:after="0" w:line="227" w:lineRule="exact"/>
              <w:rPr>
                <w:sz w:val="20"/>
                <w:szCs w:val="20"/>
                <w:color w:val="auto"/>
              </w:rPr>
            </w:pPr>
            <w:r>
              <w:rPr>
                <w:rFonts w:ascii="Arial" w:cs="Arial" w:eastAsia="Arial" w:hAnsi="Arial"/>
                <w:sz w:val="20"/>
                <w:szCs w:val="20"/>
                <w:b w:val="1"/>
                <w:bCs w:val="1"/>
                <w:color w:val="auto"/>
              </w:rPr>
              <w:t>925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Arial" w:cs="Arial" w:eastAsia="Arial" w:hAnsi="Arial"/>
                <w:sz w:val="20"/>
                <w:szCs w:val="20"/>
                <w:color w:val="auto"/>
              </w:rPr>
              <w:t>973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60" w:type="dxa"/>
            <w:vAlign w:val="bottom"/>
            <w:gridSpan w:val="2"/>
          </w:tcPr>
          <w:p>
            <w:pPr>
              <w:ind w:left="40"/>
              <w:spacing w:after="0"/>
              <w:rPr>
                <w:sz w:val="20"/>
                <w:szCs w:val="20"/>
                <w:color w:val="auto"/>
              </w:rPr>
            </w:pPr>
            <w:r>
              <w:rPr>
                <w:rFonts w:ascii="Arial" w:cs="Arial" w:eastAsia="Arial" w:hAnsi="Arial"/>
                <w:sz w:val="20"/>
                <w:szCs w:val="20"/>
                <w:color w:val="auto"/>
              </w:rPr>
              <w:t>Operating lease cost</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b w:val="1"/>
                <w:bCs w:val="1"/>
                <w:color w:val="auto"/>
              </w:rPr>
              <w:t>7,224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6,347</w:t>
            </w:r>
          </w:p>
        </w:tc>
        <w:tc>
          <w:tcPr>
            <w:tcW w:w="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2"/>
          </w:tcPr>
          <w:p>
            <w:pPr>
              <w:ind w:left="40"/>
              <w:spacing w:after="0" w:line="210" w:lineRule="exact"/>
              <w:rPr>
                <w:sz w:val="20"/>
                <w:szCs w:val="20"/>
                <w:color w:val="auto"/>
              </w:rPr>
            </w:pPr>
            <w:r>
              <w:rPr>
                <w:rFonts w:ascii="Arial" w:cs="Arial" w:eastAsia="Arial" w:hAnsi="Arial"/>
                <w:sz w:val="20"/>
                <w:szCs w:val="20"/>
                <w:color w:val="auto"/>
              </w:rPr>
              <w:t>Total lease cost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line="210" w:lineRule="exact"/>
              <w:rPr>
                <w:sz w:val="20"/>
                <w:szCs w:val="20"/>
                <w:color w:val="auto"/>
              </w:rPr>
            </w:pPr>
            <w:r>
              <w:rPr>
                <w:rFonts w:ascii="Arial" w:cs="Arial" w:eastAsia="Arial" w:hAnsi="Arial"/>
                <w:sz w:val="20"/>
                <w:szCs w:val="20"/>
                <w:b w:val="1"/>
                <w:bCs w:val="1"/>
                <w:color w:val="auto"/>
                <w:w w:val="71"/>
              </w:rPr>
              <w:t>$</w:t>
            </w:r>
          </w:p>
        </w:tc>
        <w:tc>
          <w:tcPr>
            <w:tcW w:w="1100" w:type="dxa"/>
            <w:vAlign w:val="bottom"/>
            <w:tcBorders>
              <w:bottom w:val="single" w:sz="8" w:color="auto"/>
            </w:tcBorders>
          </w:tcPr>
          <w:p>
            <w:pPr>
              <w:jc w:val="right"/>
              <w:ind w:right="19"/>
              <w:spacing w:after="0" w:line="210" w:lineRule="exact"/>
              <w:rPr>
                <w:sz w:val="20"/>
                <w:szCs w:val="20"/>
                <w:color w:val="auto"/>
              </w:rPr>
            </w:pPr>
            <w:r>
              <w:rPr>
                <w:rFonts w:ascii="Arial" w:cs="Arial" w:eastAsia="Arial" w:hAnsi="Arial"/>
                <w:sz w:val="20"/>
                <w:szCs w:val="20"/>
                <w:b w:val="1"/>
                <w:bCs w:val="1"/>
                <w:color w:val="auto"/>
              </w:rPr>
              <w:t>9,721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8,892</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6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Additional information related to leases is shown below:</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vMerge w:val="restart"/>
          </w:tcPr>
          <w:p>
            <w:pPr>
              <w:jc w:val="center"/>
              <w:ind w:right="540"/>
              <w:spacing w:after="0"/>
              <w:rPr>
                <w:sz w:val="20"/>
                <w:szCs w:val="20"/>
                <w:color w:val="auto"/>
              </w:rPr>
            </w:pPr>
            <w:r>
              <w:rPr>
                <w:rFonts w:ascii="Arial" w:cs="Arial" w:eastAsia="Arial" w:hAnsi="Arial"/>
                <w:sz w:val="20"/>
                <w:szCs w:val="20"/>
                <w:b w:val="1"/>
                <w:bCs w:val="1"/>
                <w:color w:val="auto"/>
                <w:w w:val="83"/>
              </w:rPr>
              <w:t>Year Ended</w:t>
            </w:r>
          </w:p>
        </w:tc>
        <w:tc>
          <w:tcPr>
            <w:tcW w:w="1600" w:type="dxa"/>
            <w:vAlign w:val="bottom"/>
            <w:gridSpan w:val="3"/>
            <w:vMerge w:val="restart"/>
          </w:tcPr>
          <w:p>
            <w:pPr>
              <w:ind w:left="220"/>
              <w:spacing w:after="0"/>
              <w:rPr>
                <w:sz w:val="20"/>
                <w:szCs w:val="20"/>
                <w:color w:val="auto"/>
              </w:rPr>
            </w:pPr>
            <w:r>
              <w:rPr>
                <w:rFonts w:ascii="Arial" w:cs="Arial" w:eastAsia="Arial" w:hAnsi="Arial"/>
                <w:sz w:val="20"/>
                <w:szCs w:val="20"/>
                <w:color w:val="auto"/>
              </w:rPr>
              <w:t>Year Ended</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5"/>
          </w:tcPr>
          <w:p>
            <w:pPr>
              <w:spacing w:after="0"/>
              <w:rPr>
                <w:sz w:val="20"/>
                <w:szCs w:val="20"/>
                <w:color w:val="auto"/>
              </w:rPr>
            </w:pPr>
            <w:r>
              <w:rPr>
                <w:rFonts w:ascii="Arial" w:cs="Arial" w:eastAsia="Arial" w:hAnsi="Arial"/>
                <w:sz w:val="20"/>
                <w:szCs w:val="20"/>
                <w:b w:val="1"/>
                <w:bCs w:val="1"/>
                <w:color w:val="auto"/>
              </w:rPr>
              <w:t>September 30,</w:t>
            </w:r>
          </w:p>
        </w:tc>
        <w:tc>
          <w:tcPr>
            <w:tcW w:w="1600" w:type="dxa"/>
            <w:vAlign w:val="bottom"/>
            <w:gridSpan w:val="3"/>
          </w:tcPr>
          <w:p>
            <w:pPr>
              <w:ind w:left="10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20"/>
                <w:szCs w:val="20"/>
                <w:color w:val="auto"/>
              </w:rPr>
              <w:t>(Dollars in thousands)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79"/>
              <w:spacing w:after="0"/>
              <w:rPr>
                <w:sz w:val="20"/>
                <w:szCs w:val="20"/>
                <w:color w:val="auto"/>
              </w:rPr>
            </w:pPr>
            <w:r>
              <w:rPr>
                <w:rFonts w:ascii="Arial" w:cs="Arial" w:eastAsia="Arial" w:hAnsi="Arial"/>
                <w:sz w:val="20"/>
                <w:szCs w:val="20"/>
                <w:b w:val="1"/>
                <w:bCs w:val="1"/>
                <w:color w:val="auto"/>
                <w:w w:val="80"/>
              </w:rPr>
              <w:t>2023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399"/>
              <w:spacing w:after="0"/>
              <w:rPr>
                <w:sz w:val="20"/>
                <w:szCs w:val="20"/>
                <w:color w:val="auto"/>
              </w:rPr>
            </w:pPr>
            <w:r>
              <w:rPr>
                <w:rFonts w:ascii="Arial" w:cs="Arial" w:eastAsia="Arial" w:hAnsi="Arial"/>
                <w:sz w:val="20"/>
                <w:szCs w:val="20"/>
                <w:color w:val="auto"/>
              </w:rPr>
              <w:t>2022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87"/>
              </w:rPr>
              <w:t>Cash paid for amounts included in the measurement of lease liabilities: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2"/>
          </w:tcPr>
          <w:p>
            <w:pPr>
              <w:ind w:left="360"/>
              <w:spacing w:after="0"/>
              <w:rPr>
                <w:sz w:val="20"/>
                <w:szCs w:val="20"/>
                <w:color w:val="auto"/>
              </w:rPr>
            </w:pPr>
            <w:r>
              <w:rPr>
                <w:rFonts w:ascii="Arial" w:cs="Arial" w:eastAsia="Arial" w:hAnsi="Arial"/>
                <w:sz w:val="20"/>
                <w:szCs w:val="20"/>
                <w:color w:val="auto"/>
              </w:rPr>
              <w:t>Operating cash flows from operating leases</w:t>
            </w:r>
          </w:p>
        </w:tc>
        <w:tc>
          <w:tcPr>
            <w:tcW w:w="380" w:type="dxa"/>
            <w:vAlign w:val="bottom"/>
            <w:gridSpan w:val="4"/>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6,964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6,101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2"/>
          </w:tcPr>
          <w:p>
            <w:pPr>
              <w:ind w:left="360"/>
              <w:spacing w:after="0" w:line="226" w:lineRule="exact"/>
              <w:rPr>
                <w:sz w:val="20"/>
                <w:szCs w:val="20"/>
                <w:color w:val="auto"/>
              </w:rPr>
            </w:pPr>
            <w:r>
              <w:rPr>
                <w:rFonts w:ascii="Arial" w:cs="Arial" w:eastAsia="Arial" w:hAnsi="Arial"/>
                <w:sz w:val="20"/>
                <w:szCs w:val="20"/>
                <w:color w:val="auto"/>
              </w:rPr>
              <w:t>Operating cash flows from finance leases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925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line="226" w:lineRule="exact"/>
              <w:rPr>
                <w:sz w:val="20"/>
                <w:szCs w:val="20"/>
                <w:color w:val="auto"/>
              </w:rPr>
            </w:pPr>
            <w:r>
              <w:rPr>
                <w:rFonts w:ascii="Arial" w:cs="Arial" w:eastAsia="Arial" w:hAnsi="Arial"/>
                <w:sz w:val="20"/>
                <w:szCs w:val="20"/>
                <w:color w:val="auto"/>
              </w:rPr>
              <w:t>973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2"/>
          </w:tcPr>
          <w:p>
            <w:pPr>
              <w:ind w:left="360"/>
              <w:spacing w:after="0"/>
              <w:rPr>
                <w:sz w:val="20"/>
                <w:szCs w:val="20"/>
                <w:color w:val="auto"/>
              </w:rPr>
            </w:pPr>
            <w:r>
              <w:rPr>
                <w:rFonts w:ascii="Arial" w:cs="Arial" w:eastAsia="Arial" w:hAnsi="Arial"/>
                <w:sz w:val="20"/>
                <w:szCs w:val="20"/>
                <w:color w:val="auto"/>
              </w:rPr>
              <w:t>Financing cash flows from finance leases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1,331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1,224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20"/>
                <w:szCs w:val="20"/>
                <w:color w:val="auto"/>
                <w:w w:val="89"/>
              </w:rPr>
              <w:t>Right-of-use assets obtained in exchange for operating lease liabilities</w:t>
            </w:r>
          </w:p>
        </w:tc>
        <w:tc>
          <w:tcPr>
            <w:tcW w:w="380" w:type="dxa"/>
            <w:vAlign w:val="bottom"/>
            <w:gridSpan w:val="4"/>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16,243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4,160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20"/>
                <w:szCs w:val="20"/>
                <w:color w:val="auto"/>
              </w:rPr>
              <w:t>Weighted-average remaining lease term:</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60" w:type="dxa"/>
            <w:vAlign w:val="bottom"/>
            <w:gridSpan w:val="2"/>
          </w:tcPr>
          <w:p>
            <w:pPr>
              <w:ind w:left="360"/>
              <w:spacing w:after="0" w:line="226" w:lineRule="exact"/>
              <w:rPr>
                <w:sz w:val="20"/>
                <w:szCs w:val="20"/>
                <w:color w:val="auto"/>
              </w:rPr>
            </w:pPr>
            <w:r>
              <w:rPr>
                <w:rFonts w:ascii="Arial" w:cs="Arial" w:eastAsia="Arial" w:hAnsi="Arial"/>
                <w:sz w:val="20"/>
                <w:szCs w:val="20"/>
                <w:color w:val="auto"/>
              </w:rPr>
              <w:t>Operating leases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center"/>
              <w:ind w:left="639"/>
              <w:spacing w:after="0" w:line="226" w:lineRule="exact"/>
              <w:rPr>
                <w:sz w:val="20"/>
                <w:szCs w:val="20"/>
                <w:color w:val="auto"/>
              </w:rPr>
            </w:pPr>
            <w:r>
              <w:rPr>
                <w:rFonts w:ascii="Arial" w:cs="Arial" w:eastAsia="Arial" w:hAnsi="Arial"/>
                <w:sz w:val="20"/>
                <w:szCs w:val="20"/>
                <w:b w:val="1"/>
                <w:bCs w:val="1"/>
                <w:color w:val="auto"/>
                <w:w w:val="80"/>
              </w:rPr>
              <w:t>11.1 yrs</w:t>
            </w:r>
          </w:p>
        </w:tc>
        <w:tc>
          <w:tcPr>
            <w:tcW w:w="1600" w:type="dxa"/>
            <w:vAlign w:val="bottom"/>
            <w:gridSpan w:val="3"/>
          </w:tcPr>
          <w:p>
            <w:pPr>
              <w:ind w:left="1120"/>
              <w:spacing w:after="0" w:line="226" w:lineRule="exact"/>
              <w:rPr>
                <w:sz w:val="20"/>
                <w:szCs w:val="20"/>
                <w:color w:val="auto"/>
              </w:rPr>
            </w:pPr>
            <w:r>
              <w:rPr>
                <w:rFonts w:ascii="Arial" w:cs="Arial" w:eastAsia="Arial" w:hAnsi="Arial"/>
                <w:sz w:val="20"/>
                <w:szCs w:val="20"/>
                <w:color w:val="auto"/>
                <w:w w:val="76"/>
              </w:rPr>
              <w:t>9.3 yrs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2"/>
          </w:tcPr>
          <w:p>
            <w:pPr>
              <w:ind w:left="360"/>
              <w:spacing w:after="0"/>
              <w:rPr>
                <w:sz w:val="20"/>
                <w:szCs w:val="20"/>
                <w:color w:val="auto"/>
              </w:rPr>
            </w:pPr>
            <w:r>
              <w:rPr>
                <w:rFonts w:ascii="Arial" w:cs="Arial" w:eastAsia="Arial" w:hAnsi="Arial"/>
                <w:sz w:val="20"/>
                <w:szCs w:val="20"/>
                <w:color w:val="auto"/>
              </w:rPr>
              <w:t>Finance leases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left="639"/>
              <w:spacing w:after="0"/>
              <w:rPr>
                <w:sz w:val="20"/>
                <w:szCs w:val="20"/>
                <w:color w:val="auto"/>
              </w:rPr>
            </w:pPr>
            <w:r>
              <w:rPr>
                <w:rFonts w:ascii="Arial" w:cs="Arial" w:eastAsia="Arial" w:hAnsi="Arial"/>
                <w:sz w:val="20"/>
                <w:szCs w:val="20"/>
                <w:b w:val="1"/>
                <w:bCs w:val="1"/>
                <w:color w:val="auto"/>
                <w:w w:val="80"/>
              </w:rPr>
              <w:t>11.1 yrs</w:t>
            </w:r>
          </w:p>
        </w:tc>
        <w:tc>
          <w:tcPr>
            <w:tcW w:w="1600" w:type="dxa"/>
            <w:vAlign w:val="bottom"/>
            <w:gridSpan w:val="3"/>
          </w:tcPr>
          <w:p>
            <w:pPr>
              <w:ind w:left="1020"/>
              <w:spacing w:after="0"/>
              <w:rPr>
                <w:sz w:val="20"/>
                <w:szCs w:val="20"/>
                <w:color w:val="auto"/>
              </w:rPr>
            </w:pPr>
            <w:r>
              <w:rPr>
                <w:rFonts w:ascii="Arial" w:cs="Arial" w:eastAsia="Arial" w:hAnsi="Arial"/>
                <w:sz w:val="20"/>
                <w:szCs w:val="20"/>
                <w:color w:val="auto"/>
                <w:w w:val="78"/>
              </w:rPr>
              <w:t>12.0 yrs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20"/>
                <w:szCs w:val="20"/>
                <w:color w:val="auto"/>
              </w:rPr>
              <w:t>Weighted-average discount rate: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2"/>
          </w:tcPr>
          <w:p>
            <w:pPr>
              <w:ind w:left="360"/>
              <w:spacing w:after="0"/>
              <w:rPr>
                <w:sz w:val="20"/>
                <w:szCs w:val="20"/>
                <w:color w:val="auto"/>
              </w:rPr>
            </w:pPr>
            <w:r>
              <w:rPr>
                <w:rFonts w:ascii="Arial" w:cs="Arial" w:eastAsia="Arial" w:hAnsi="Arial"/>
                <w:sz w:val="20"/>
                <w:szCs w:val="20"/>
                <w:color w:val="auto"/>
              </w:rPr>
              <w:t>Operating leases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left="639"/>
              <w:spacing w:after="0"/>
              <w:rPr>
                <w:sz w:val="20"/>
                <w:szCs w:val="20"/>
                <w:color w:val="auto"/>
              </w:rPr>
            </w:pPr>
            <w:r>
              <w:rPr>
                <w:rFonts w:ascii="Arial" w:cs="Arial" w:eastAsia="Arial" w:hAnsi="Arial"/>
                <w:sz w:val="20"/>
                <w:szCs w:val="20"/>
                <w:b w:val="1"/>
                <w:bCs w:val="1"/>
                <w:color w:val="auto"/>
                <w:w w:val="82"/>
              </w:rPr>
              <w:t>4.5 %</w:t>
            </w:r>
          </w:p>
        </w:tc>
        <w:tc>
          <w:tcPr>
            <w:tcW w:w="20" w:type="dxa"/>
            <w:vAlign w:val="bottom"/>
          </w:tcPr>
          <w:p>
            <w:pPr>
              <w:spacing w:after="0"/>
              <w:rPr>
                <w:sz w:val="20"/>
                <w:szCs w:val="20"/>
                <w:color w:val="auto"/>
              </w:rPr>
            </w:pPr>
          </w:p>
        </w:tc>
        <w:tc>
          <w:tcPr>
            <w:tcW w:w="1600" w:type="dxa"/>
            <w:vAlign w:val="bottom"/>
            <w:gridSpan w:val="3"/>
          </w:tcPr>
          <w:p>
            <w:pPr>
              <w:ind w:left="1120"/>
              <w:spacing w:after="0"/>
              <w:rPr>
                <w:sz w:val="20"/>
                <w:szCs w:val="20"/>
                <w:color w:val="auto"/>
              </w:rPr>
            </w:pPr>
            <w:r>
              <w:rPr>
                <w:rFonts w:ascii="Arial" w:cs="Arial" w:eastAsia="Arial" w:hAnsi="Arial"/>
                <w:sz w:val="20"/>
                <w:szCs w:val="20"/>
                <w:color w:val="auto"/>
                <w:w w:val="89"/>
              </w:rPr>
              <w:t>3.2 %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2"/>
          </w:tcPr>
          <w:p>
            <w:pPr>
              <w:ind w:left="360"/>
              <w:spacing w:after="0"/>
              <w:rPr>
                <w:sz w:val="20"/>
                <w:szCs w:val="20"/>
                <w:color w:val="auto"/>
              </w:rPr>
            </w:pPr>
            <w:r>
              <w:rPr>
                <w:rFonts w:ascii="Arial" w:cs="Arial" w:eastAsia="Arial" w:hAnsi="Arial"/>
                <w:sz w:val="20"/>
                <w:szCs w:val="20"/>
                <w:color w:val="auto"/>
              </w:rPr>
              <w:t>Finance leases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left="639"/>
              <w:spacing w:after="0"/>
              <w:rPr>
                <w:sz w:val="20"/>
                <w:szCs w:val="20"/>
                <w:color w:val="auto"/>
              </w:rPr>
            </w:pPr>
            <w:r>
              <w:rPr>
                <w:rFonts w:ascii="Arial" w:cs="Arial" w:eastAsia="Arial" w:hAnsi="Arial"/>
                <w:sz w:val="20"/>
                <w:szCs w:val="20"/>
                <w:b w:val="1"/>
                <w:bCs w:val="1"/>
                <w:color w:val="auto"/>
                <w:w w:val="82"/>
              </w:rPr>
              <w:t>4.6 %</w:t>
            </w:r>
          </w:p>
        </w:tc>
        <w:tc>
          <w:tcPr>
            <w:tcW w:w="20" w:type="dxa"/>
            <w:vAlign w:val="bottom"/>
          </w:tcPr>
          <w:p>
            <w:pPr>
              <w:spacing w:after="0"/>
              <w:rPr>
                <w:sz w:val="20"/>
                <w:szCs w:val="20"/>
                <w:color w:val="auto"/>
              </w:rPr>
            </w:pPr>
          </w:p>
        </w:tc>
        <w:tc>
          <w:tcPr>
            <w:tcW w:w="1600" w:type="dxa"/>
            <w:vAlign w:val="bottom"/>
            <w:gridSpan w:val="3"/>
          </w:tcPr>
          <w:p>
            <w:pPr>
              <w:ind w:left="1120"/>
              <w:spacing w:after="0"/>
              <w:rPr>
                <w:sz w:val="20"/>
                <w:szCs w:val="20"/>
                <w:color w:val="auto"/>
              </w:rPr>
            </w:pPr>
            <w:r>
              <w:rPr>
                <w:rFonts w:ascii="Arial" w:cs="Arial" w:eastAsia="Arial" w:hAnsi="Arial"/>
                <w:sz w:val="20"/>
                <w:szCs w:val="20"/>
                <w:color w:val="auto"/>
                <w:w w:val="89"/>
              </w:rPr>
              <w:t>4.6 %</w:t>
            </w:r>
          </w:p>
        </w:tc>
        <w:tc>
          <w:tcPr>
            <w:tcW w:w="0" w:type="dxa"/>
            <w:vAlign w:val="bottom"/>
          </w:tcPr>
          <w:p>
            <w:pPr>
              <w:spacing w:after="0"/>
              <w:rPr>
                <w:sz w:val="1"/>
                <w:szCs w:val="1"/>
                <w:color w:val="auto"/>
              </w:rPr>
            </w:pPr>
          </w:p>
        </w:tc>
      </w:tr>
      <w:tr>
        <w:trPr>
          <w:trHeight w:val="620"/>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2"/>
          </w:tcPr>
          <w:p>
            <w:pPr>
              <w:ind w:left="4100"/>
              <w:spacing w:after="0"/>
              <w:rPr>
                <w:sz w:val="20"/>
                <w:szCs w:val="20"/>
                <w:color w:val="auto"/>
              </w:rPr>
            </w:pPr>
            <w:r>
              <w:rPr>
                <w:rFonts w:ascii="Arial" w:cs="Arial" w:eastAsia="Arial" w:hAnsi="Arial"/>
                <w:sz w:val="20"/>
                <w:szCs w:val="20"/>
                <w:color w:val="auto"/>
              </w:rPr>
              <w:t>F-26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480"/>
          </w:cols>
          <w:pgMar w:left="1440" w:top="1440" w:right="1320" w:bottom="0" w:gutter="0" w:footer="0" w:header="0"/>
        </w:sectPr>
      </w:pPr>
    </w:p>
    <w:bookmarkStart w:id="67" w:name="page68"/>
    <w:bookmarkEnd w:id="67"/>
    <w:p>
      <w:pPr>
        <w:spacing w:after="0" w:line="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table below is a reconciliation of future undiscounted cash flows to the operating and finance lease liabilities, and the related ROU assets, presented on our Consolidated Balance Sheet on September 30, 2023:</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(Dollars in thousands)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20"/>
                <w:szCs w:val="20"/>
                <w:b w:val="1"/>
                <w:bCs w:val="1"/>
                <w:color w:val="auto"/>
                <w:w w:val="82"/>
              </w:rPr>
              <w:t>Operating</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ind w:right="99"/>
              <w:spacing w:after="0"/>
              <w:rPr>
                <w:sz w:val="20"/>
                <w:szCs w:val="20"/>
                <w:color w:val="auto"/>
              </w:rPr>
            </w:pPr>
            <w:r>
              <w:rPr>
                <w:rFonts w:ascii="Arial" w:cs="Arial" w:eastAsia="Arial" w:hAnsi="Arial"/>
                <w:sz w:val="20"/>
                <w:szCs w:val="20"/>
                <w:b w:val="1"/>
                <w:bCs w:val="1"/>
                <w:color w:val="auto"/>
              </w:rPr>
              <w:t>Finance</w:t>
            </w:r>
          </w:p>
        </w:tc>
      </w:tr>
      <w:tr>
        <w:trPr>
          <w:trHeight w:val="231"/>
        </w:trPr>
        <w:tc>
          <w:tcPr>
            <w:tcW w:w="6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Years Ending September 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20"/>
                <w:szCs w:val="20"/>
                <w:b w:val="1"/>
                <w:bCs w:val="1"/>
                <w:color w:val="auto"/>
                <w:w w:val="97"/>
              </w:rPr>
              <w:t>Leases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20"/>
                <w:szCs w:val="20"/>
                <w:b w:val="1"/>
                <w:bCs w:val="1"/>
                <w:color w:val="auto"/>
              </w:rPr>
              <w:t>Leases</w:t>
            </w:r>
          </w:p>
        </w:tc>
      </w:tr>
      <w:tr>
        <w:trPr>
          <w:trHeight w:val="224"/>
        </w:trPr>
        <w:tc>
          <w:tcPr>
            <w:tcW w:w="6040" w:type="dxa"/>
            <w:vAlign w:val="bottom"/>
          </w:tcPr>
          <w:p>
            <w:pPr>
              <w:spacing w:after="0" w:line="224" w:lineRule="exact"/>
              <w:rPr>
                <w:sz w:val="20"/>
                <w:szCs w:val="20"/>
                <w:color w:val="auto"/>
              </w:rPr>
            </w:pPr>
            <w:r>
              <w:rPr>
                <w:rFonts w:ascii="Arial" w:cs="Arial" w:eastAsia="Arial" w:hAnsi="Arial"/>
                <w:sz w:val="20"/>
                <w:szCs w:val="20"/>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24" w:lineRule="exact"/>
              <w:rPr>
                <w:sz w:val="20"/>
                <w:szCs w:val="20"/>
                <w:color w:val="auto"/>
              </w:rPr>
            </w:pPr>
            <w:r>
              <w:rPr>
                <w:rFonts w:ascii="Arial" w:cs="Arial" w:eastAsia="Arial" w:hAnsi="Arial"/>
                <w:sz w:val="20"/>
                <w:szCs w:val="20"/>
                <w:color w:val="auto"/>
              </w:rPr>
              <w:t>6,826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Arial" w:cs="Arial" w:eastAsia="Arial" w:hAnsi="Arial"/>
                <w:sz w:val="20"/>
                <w:szCs w:val="20"/>
                <w:color w:val="auto"/>
              </w:rPr>
              <w:t>2,315</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5,645</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2,370</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4,436</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2,434</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2027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4,229</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2,494</w:t>
            </w:r>
          </w:p>
        </w:tc>
      </w:tr>
      <w:tr>
        <w:trPr>
          <w:trHeight w:val="231"/>
        </w:trPr>
        <w:tc>
          <w:tcPr>
            <w:tcW w:w="6040" w:type="dxa"/>
            <w:vAlign w:val="bottom"/>
          </w:tcPr>
          <w:p>
            <w:pPr>
              <w:spacing w:after="0"/>
              <w:rPr>
                <w:sz w:val="20"/>
                <w:szCs w:val="20"/>
                <w:color w:val="auto"/>
              </w:rPr>
            </w:pPr>
            <w:r>
              <w:rPr>
                <w:rFonts w:ascii="Arial" w:cs="Arial" w:eastAsia="Arial" w:hAnsi="Arial"/>
                <w:sz w:val="20"/>
                <w:szCs w:val="20"/>
                <w:color w:val="auto"/>
              </w:rPr>
              <w:t>2028 and thereafter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32,806</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16,503</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Total minimum lease payments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53,942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26,116</w:t>
            </w:r>
          </w:p>
        </w:tc>
      </w:tr>
      <w:tr>
        <w:trPr>
          <w:trHeight w:val="231"/>
        </w:trPr>
        <w:tc>
          <w:tcPr>
            <w:tcW w:w="6040" w:type="dxa"/>
            <w:vAlign w:val="bottom"/>
          </w:tcPr>
          <w:p>
            <w:pPr>
              <w:spacing w:after="0"/>
              <w:rPr>
                <w:sz w:val="20"/>
                <w:szCs w:val="20"/>
                <w:color w:val="auto"/>
              </w:rPr>
            </w:pPr>
            <w:r>
              <w:rPr>
                <w:rFonts w:ascii="Arial" w:cs="Arial" w:eastAsia="Arial" w:hAnsi="Arial"/>
                <w:sz w:val="20"/>
                <w:szCs w:val="20"/>
                <w:color w:val="auto"/>
              </w:rPr>
              <w:t>Less: amounts representing interest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12,262</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6,265</w:t>
            </w:r>
          </w:p>
        </w:tc>
      </w:tr>
      <w:tr>
        <w:trPr>
          <w:trHeight w:val="224"/>
        </w:trPr>
        <w:tc>
          <w:tcPr>
            <w:tcW w:w="6040" w:type="dxa"/>
            <w:vAlign w:val="bottom"/>
          </w:tcPr>
          <w:p>
            <w:pPr>
              <w:spacing w:after="0" w:line="225" w:lineRule="exact"/>
              <w:rPr>
                <w:sz w:val="20"/>
                <w:szCs w:val="20"/>
                <w:color w:val="auto"/>
              </w:rPr>
            </w:pPr>
            <w:r>
              <w:rPr>
                <w:rFonts w:ascii="Arial" w:cs="Arial" w:eastAsia="Arial" w:hAnsi="Arial"/>
                <w:sz w:val="20"/>
                <w:szCs w:val="20"/>
                <w:color w:val="auto"/>
              </w:rPr>
              <w:t>Present value of net minimum lease payments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41,680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19,851</w:t>
            </w:r>
          </w:p>
        </w:tc>
      </w:tr>
      <w:tr>
        <w:trPr>
          <w:trHeight w:val="231"/>
        </w:trPr>
        <w:tc>
          <w:tcPr>
            <w:tcW w:w="6040" w:type="dxa"/>
            <w:vAlign w:val="bottom"/>
          </w:tcPr>
          <w:p>
            <w:pPr>
              <w:spacing w:after="0"/>
              <w:rPr>
                <w:sz w:val="20"/>
                <w:szCs w:val="20"/>
                <w:color w:val="auto"/>
              </w:rPr>
            </w:pPr>
            <w:r>
              <w:rPr>
                <w:rFonts w:ascii="Arial" w:cs="Arial" w:eastAsia="Arial" w:hAnsi="Arial"/>
                <w:sz w:val="20"/>
                <w:szCs w:val="20"/>
                <w:color w:val="auto"/>
              </w:rPr>
              <w:t>Less: current portion of lease obligations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5,126</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1,444</w:t>
            </w:r>
          </w:p>
        </w:tc>
      </w:tr>
      <w:tr>
        <w:trPr>
          <w:trHeight w:val="239"/>
        </w:trPr>
        <w:tc>
          <w:tcPr>
            <w:tcW w:w="6040" w:type="dxa"/>
            <w:vAlign w:val="bottom"/>
          </w:tcPr>
          <w:p>
            <w:pPr>
              <w:spacing w:after="0"/>
              <w:rPr>
                <w:sz w:val="20"/>
                <w:szCs w:val="20"/>
                <w:color w:val="auto"/>
              </w:rPr>
            </w:pPr>
            <w:r>
              <w:rPr>
                <w:rFonts w:ascii="Arial" w:cs="Arial" w:eastAsia="Arial" w:hAnsi="Arial"/>
                <w:sz w:val="20"/>
                <w:szCs w:val="20"/>
                <w:color w:val="auto"/>
              </w:rPr>
              <w:t>Non-current portion of lease obligations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36,554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18,407</w:t>
            </w:r>
          </w:p>
        </w:tc>
      </w:tr>
      <w:tr>
        <w:trPr>
          <w:trHeight w:val="427"/>
        </w:trPr>
        <w:tc>
          <w:tcPr>
            <w:tcW w:w="6040" w:type="dxa"/>
            <w:vAlign w:val="bottom"/>
          </w:tcPr>
          <w:p>
            <w:pPr>
              <w:spacing w:after="0"/>
              <w:rPr>
                <w:sz w:val="20"/>
                <w:szCs w:val="20"/>
                <w:color w:val="auto"/>
              </w:rPr>
            </w:pPr>
            <w:r>
              <w:rPr>
                <w:rFonts w:ascii="Arial" w:cs="Arial" w:eastAsia="Arial" w:hAnsi="Arial"/>
                <w:sz w:val="20"/>
                <w:szCs w:val="20"/>
                <w:color w:val="auto"/>
              </w:rPr>
              <w:t>ROU assets</w:t>
            </w:r>
          </w:p>
        </w:tc>
        <w:tc>
          <w:tcPr>
            <w:tcW w:w="220" w:type="dxa"/>
            <w:vAlign w:val="bottom"/>
          </w:tcPr>
          <w:p>
            <w:pPr>
              <w:spacing w:after="0"/>
              <w:rPr>
                <w:sz w:val="24"/>
                <w:szCs w:val="2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39,839</w:t>
            </w:r>
          </w:p>
        </w:tc>
        <w:tc>
          <w:tcPr>
            <w:tcW w:w="220" w:type="dxa"/>
            <w:vAlign w:val="bottom"/>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15,771</w:t>
            </w:r>
          </w:p>
        </w:tc>
      </w:tr>
    </w:tbl>
    <w:p>
      <w:pPr>
        <w:spacing w:after="0" w:line="12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table below is a reconciliation of future undiscounted cash flows to the operating and finance lease liabilities, and the related ROU assets, presented on our Consolidated Balance Sheet on September 30, 2022:</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(Dollars in thousands)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20"/>
                <w:szCs w:val="20"/>
                <w:b w:val="1"/>
                <w:bCs w:val="1"/>
                <w:color w:val="auto"/>
                <w:w w:val="82"/>
              </w:rPr>
              <w:t>Operating</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ind w:right="99"/>
              <w:spacing w:after="0"/>
              <w:rPr>
                <w:sz w:val="20"/>
                <w:szCs w:val="20"/>
                <w:color w:val="auto"/>
              </w:rPr>
            </w:pPr>
            <w:r>
              <w:rPr>
                <w:rFonts w:ascii="Arial" w:cs="Arial" w:eastAsia="Arial" w:hAnsi="Arial"/>
                <w:sz w:val="20"/>
                <w:szCs w:val="20"/>
                <w:b w:val="1"/>
                <w:bCs w:val="1"/>
                <w:color w:val="auto"/>
              </w:rPr>
              <w:t>Finance</w:t>
            </w:r>
          </w:p>
        </w:tc>
      </w:tr>
      <w:tr>
        <w:trPr>
          <w:trHeight w:val="231"/>
        </w:trPr>
        <w:tc>
          <w:tcPr>
            <w:tcW w:w="6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Years Ending September 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20"/>
                <w:szCs w:val="20"/>
                <w:b w:val="1"/>
                <w:bCs w:val="1"/>
                <w:color w:val="auto"/>
                <w:w w:val="97"/>
              </w:rPr>
              <w:t>Leases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20"/>
                <w:szCs w:val="20"/>
                <w:b w:val="1"/>
                <w:bCs w:val="1"/>
                <w:color w:val="auto"/>
              </w:rPr>
              <w:t>Leases</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2023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5,953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2,256</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5,132</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2,315</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3,790</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2,370</w:t>
            </w:r>
          </w:p>
        </w:tc>
      </w:tr>
      <w:tr>
        <w:trPr>
          <w:trHeight w:val="230"/>
        </w:trPr>
        <w:tc>
          <w:tcPr>
            <w:tcW w:w="6040" w:type="dxa"/>
            <w:vAlign w:val="bottom"/>
          </w:tcPr>
          <w:p>
            <w:pPr>
              <w:spacing w:after="0"/>
              <w:rPr>
                <w:sz w:val="20"/>
                <w:szCs w:val="20"/>
                <w:color w:val="auto"/>
              </w:rPr>
            </w:pPr>
            <w:r>
              <w:rPr>
                <w:rFonts w:ascii="Arial" w:cs="Arial" w:eastAsia="Arial" w:hAnsi="Arial"/>
                <w:sz w:val="20"/>
                <w:szCs w:val="20"/>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2,881</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2,434</w:t>
            </w:r>
          </w:p>
        </w:tc>
      </w:tr>
      <w:tr>
        <w:trPr>
          <w:trHeight w:val="231"/>
        </w:trPr>
        <w:tc>
          <w:tcPr>
            <w:tcW w:w="6040" w:type="dxa"/>
            <w:vAlign w:val="bottom"/>
          </w:tcPr>
          <w:p>
            <w:pPr>
              <w:spacing w:after="0"/>
              <w:rPr>
                <w:sz w:val="20"/>
                <w:szCs w:val="20"/>
                <w:color w:val="auto"/>
              </w:rPr>
            </w:pPr>
            <w:r>
              <w:rPr>
                <w:rFonts w:ascii="Arial" w:cs="Arial" w:eastAsia="Arial" w:hAnsi="Arial"/>
                <w:sz w:val="20"/>
                <w:szCs w:val="20"/>
                <w:color w:val="auto"/>
              </w:rPr>
              <w:t>2027 and thereafter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17,029</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18,997</w:t>
            </w:r>
          </w:p>
        </w:tc>
      </w:tr>
      <w:tr>
        <w:trPr>
          <w:trHeight w:val="224"/>
        </w:trPr>
        <w:tc>
          <w:tcPr>
            <w:tcW w:w="6040" w:type="dxa"/>
            <w:vAlign w:val="bottom"/>
          </w:tcPr>
          <w:p>
            <w:pPr>
              <w:spacing w:after="0" w:line="225" w:lineRule="exact"/>
              <w:rPr>
                <w:sz w:val="20"/>
                <w:szCs w:val="20"/>
                <w:color w:val="auto"/>
              </w:rPr>
            </w:pPr>
            <w:r>
              <w:rPr>
                <w:rFonts w:ascii="Arial" w:cs="Arial" w:eastAsia="Arial" w:hAnsi="Arial"/>
                <w:sz w:val="20"/>
                <w:szCs w:val="20"/>
                <w:color w:val="auto"/>
              </w:rPr>
              <w:t>Total minimum lease payments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34,785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jc w:val="right"/>
              <w:spacing w:after="0" w:line="225" w:lineRule="exact"/>
              <w:rPr>
                <w:sz w:val="20"/>
                <w:szCs w:val="20"/>
                <w:color w:val="auto"/>
              </w:rPr>
            </w:pPr>
            <w:r>
              <w:rPr>
                <w:rFonts w:ascii="Arial" w:cs="Arial" w:eastAsia="Arial" w:hAnsi="Arial"/>
                <w:sz w:val="20"/>
                <w:szCs w:val="20"/>
                <w:color w:val="auto"/>
              </w:rPr>
              <w:t>28,372</w:t>
            </w:r>
          </w:p>
        </w:tc>
      </w:tr>
      <w:tr>
        <w:trPr>
          <w:trHeight w:val="231"/>
        </w:trPr>
        <w:tc>
          <w:tcPr>
            <w:tcW w:w="6040" w:type="dxa"/>
            <w:vAlign w:val="bottom"/>
          </w:tcPr>
          <w:p>
            <w:pPr>
              <w:spacing w:after="0"/>
              <w:rPr>
                <w:sz w:val="20"/>
                <w:szCs w:val="20"/>
                <w:color w:val="auto"/>
              </w:rPr>
            </w:pPr>
            <w:r>
              <w:rPr>
                <w:rFonts w:ascii="Arial" w:cs="Arial" w:eastAsia="Arial" w:hAnsi="Arial"/>
                <w:sz w:val="20"/>
                <w:szCs w:val="20"/>
                <w:color w:val="auto"/>
              </w:rPr>
              <w:t>Less: amounts representing interest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4,760</w:t>
            </w:r>
          </w:p>
        </w:tc>
        <w:tc>
          <w:tcPr>
            <w:tcW w:w="240" w:type="dxa"/>
            <w:vAlign w:val="bottom"/>
            <w:gridSpan w:val="2"/>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7,189</w:t>
            </w:r>
          </w:p>
        </w:tc>
      </w:tr>
      <w:tr>
        <w:trPr>
          <w:trHeight w:val="229"/>
        </w:trPr>
        <w:tc>
          <w:tcPr>
            <w:tcW w:w="6040" w:type="dxa"/>
            <w:vAlign w:val="bottom"/>
          </w:tcPr>
          <w:p>
            <w:pPr>
              <w:spacing w:after="0"/>
              <w:rPr>
                <w:sz w:val="20"/>
                <w:szCs w:val="20"/>
                <w:color w:val="auto"/>
              </w:rPr>
            </w:pPr>
            <w:r>
              <w:rPr>
                <w:rFonts w:ascii="Arial" w:cs="Arial" w:eastAsia="Arial" w:hAnsi="Arial"/>
                <w:sz w:val="20"/>
                <w:szCs w:val="20"/>
                <w:color w:val="auto"/>
              </w:rPr>
              <w:t>Present value of net minimum lease payments</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30,025</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21,183</w:t>
            </w:r>
          </w:p>
        </w:tc>
      </w:tr>
      <w:tr>
        <w:trPr>
          <w:trHeight w:val="231"/>
        </w:trPr>
        <w:tc>
          <w:tcPr>
            <w:tcW w:w="6040" w:type="dxa"/>
            <w:vAlign w:val="bottom"/>
          </w:tcPr>
          <w:p>
            <w:pPr>
              <w:spacing w:after="0"/>
              <w:rPr>
                <w:sz w:val="20"/>
                <w:szCs w:val="20"/>
                <w:color w:val="auto"/>
              </w:rPr>
            </w:pPr>
            <w:r>
              <w:rPr>
                <w:rFonts w:ascii="Arial" w:cs="Arial" w:eastAsia="Arial" w:hAnsi="Arial"/>
                <w:sz w:val="20"/>
                <w:szCs w:val="20"/>
                <w:color w:val="auto"/>
              </w:rPr>
              <w:t>Less: current portion of lease obligations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5,172</w:t>
            </w:r>
          </w:p>
        </w:tc>
        <w:tc>
          <w:tcPr>
            <w:tcW w:w="1260" w:type="dxa"/>
            <w:vAlign w:val="bottom"/>
            <w:gridSpan w:val="3"/>
          </w:tcPr>
          <w:p>
            <w:pPr>
              <w:jc w:val="right"/>
              <w:spacing w:after="0"/>
              <w:rPr>
                <w:sz w:val="20"/>
                <w:szCs w:val="20"/>
                <w:color w:val="auto"/>
              </w:rPr>
            </w:pPr>
            <w:r>
              <w:rPr>
                <w:rFonts w:ascii="Arial" w:cs="Arial" w:eastAsia="Arial" w:hAnsi="Arial"/>
                <w:sz w:val="20"/>
                <w:szCs w:val="20"/>
                <w:color w:val="auto"/>
              </w:rPr>
              <w:t>1,331</w:t>
            </w:r>
          </w:p>
        </w:tc>
      </w:tr>
      <w:tr>
        <w:trPr>
          <w:trHeight w:val="239"/>
        </w:trPr>
        <w:tc>
          <w:tcPr>
            <w:tcW w:w="6040" w:type="dxa"/>
            <w:vAlign w:val="bottom"/>
          </w:tcPr>
          <w:p>
            <w:pPr>
              <w:spacing w:after="0"/>
              <w:rPr>
                <w:sz w:val="20"/>
                <w:szCs w:val="20"/>
                <w:color w:val="auto"/>
              </w:rPr>
            </w:pPr>
            <w:r>
              <w:rPr>
                <w:rFonts w:ascii="Arial" w:cs="Arial" w:eastAsia="Arial" w:hAnsi="Arial"/>
                <w:sz w:val="20"/>
                <w:szCs w:val="20"/>
                <w:color w:val="auto"/>
              </w:rPr>
              <w:t>Non-current portion of lease obligations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24,853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19,852</w:t>
            </w:r>
          </w:p>
        </w:tc>
      </w:tr>
      <w:tr>
        <w:trPr>
          <w:trHeight w:val="426"/>
        </w:trPr>
        <w:tc>
          <w:tcPr>
            <w:tcW w:w="6040" w:type="dxa"/>
            <w:vAlign w:val="bottom"/>
          </w:tcPr>
          <w:p>
            <w:pPr>
              <w:spacing w:after="0"/>
              <w:rPr>
                <w:sz w:val="20"/>
                <w:szCs w:val="20"/>
                <w:color w:val="auto"/>
              </w:rPr>
            </w:pPr>
            <w:r>
              <w:rPr>
                <w:rFonts w:ascii="Arial" w:cs="Arial" w:eastAsia="Arial" w:hAnsi="Arial"/>
                <w:sz w:val="20"/>
                <w:szCs w:val="20"/>
                <w:color w:val="auto"/>
              </w:rPr>
              <w:t>ROU assets</w:t>
            </w:r>
          </w:p>
        </w:tc>
        <w:tc>
          <w:tcPr>
            <w:tcW w:w="220" w:type="dxa"/>
            <w:vAlign w:val="bottom"/>
          </w:tcPr>
          <w:p>
            <w:pPr>
              <w:spacing w:after="0"/>
              <w:rPr>
                <w:sz w:val="24"/>
                <w:szCs w:val="2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29,150</w:t>
            </w:r>
          </w:p>
        </w:tc>
        <w:tc>
          <w:tcPr>
            <w:tcW w:w="220" w:type="dxa"/>
            <w:vAlign w:val="bottom"/>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17,343</w:t>
            </w:r>
          </w:p>
        </w:tc>
      </w:tr>
    </w:tbl>
    <w:p>
      <w:pPr>
        <w:spacing w:after="0" w:line="12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color w:val="auto"/>
        </w:rPr>
        <w:t>We include operating and finance lease liabilities in the Consolidated Balance Sheet in accrued other expenses (current portion) and other liabilities (long-term portion). We include operating lease ROU assets as a caption on the Consolidated Balance Sheet and include finance lease ROU assets in Property, plant and equipment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F-27</w:t>
      </w:r>
    </w:p>
    <w:p>
      <w:pPr>
        <w:sectPr>
          <w:pgSz w:w="12240" w:h="15840" w:orient="portrait"/>
          <w:cols w:equalWidth="0" w:num="1">
            <w:col w:w="9440"/>
          </w:cols>
          <w:pgMar w:left="1440" w:top="1440" w:right="1360" w:bottom="0" w:gutter="0" w:footer="0" w:header="0"/>
        </w:sectPr>
      </w:pPr>
    </w:p>
    <w:bookmarkStart w:id="68" w:name="page69"/>
    <w:bookmarkEnd w:id="68"/>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Revenues</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Disaggregation of Revenues</w:t>
      </w:r>
    </w:p>
    <w:p>
      <w:pPr>
        <w:spacing w:after="0" w:line="13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The tables below present our revenues by customer type, geographic location, and revenue recognition method for the years ended September 30, 2023 and 2022, as we believe this presentation best depicts how the nature, amount, timing and uncertainty of net sales and cash flows are affected by economic factors. The tables also include a reconciliation of the disaggregated revenue within our reportable segments.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20"/>
                <w:szCs w:val="20"/>
                <w:b w:val="1"/>
                <w:bCs w:val="1"/>
                <w:i w:val="1"/>
                <w:iCs w:val="1"/>
                <w:color w:val="auto"/>
              </w:rPr>
              <w:t>Year Ended September 30, 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39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i w:val="1"/>
                <w:iCs w:val="1"/>
                <w:color w:val="auto"/>
              </w:rPr>
              <w:t>(In thousands)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20"/>
                <w:szCs w:val="20"/>
                <w:b w:val="1"/>
                <w:bCs w:val="1"/>
                <w:color w:val="auto"/>
              </w:rPr>
              <w:t>A&amp;D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b w:val="1"/>
                <w:bCs w:val="1"/>
                <w:color w:val="auto"/>
              </w:rPr>
              <w:t>USG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20"/>
                <w:szCs w:val="20"/>
                <w:b w:val="1"/>
                <w:bCs w:val="1"/>
                <w:color w:val="auto"/>
              </w:rPr>
              <w:t>Test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20"/>
                <w:szCs w:val="20"/>
                <w:b w:val="1"/>
                <w:bCs w:val="1"/>
                <w:color w:val="auto"/>
              </w:rPr>
              <w:t>Total</w:t>
            </w:r>
          </w:p>
        </w:tc>
      </w:tr>
      <w:tr>
        <w:trPr>
          <w:trHeight w:val="383"/>
        </w:trPr>
        <w:tc>
          <w:tcPr>
            <w:tcW w:w="3900" w:type="dxa"/>
            <w:vAlign w:val="bottom"/>
          </w:tcPr>
          <w:p>
            <w:pPr>
              <w:ind w:left="120"/>
              <w:spacing w:after="0"/>
              <w:rPr>
                <w:sz w:val="20"/>
                <w:szCs w:val="20"/>
                <w:color w:val="auto"/>
              </w:rPr>
            </w:pPr>
            <w:r>
              <w:rPr>
                <w:rFonts w:ascii="Arial" w:cs="Arial" w:eastAsia="Arial" w:hAnsi="Arial"/>
                <w:sz w:val="20"/>
                <w:szCs w:val="20"/>
                <w:b w:val="1"/>
                <w:bCs w:val="1"/>
                <w:color w:val="auto"/>
              </w:rPr>
              <w:t>Customer type: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20"/>
                <w:szCs w:val="20"/>
                <w:b w:val="1"/>
                <w:bCs w:val="1"/>
                <w:color w:val="auto"/>
                <w:w w:val="84"/>
              </w:rPr>
              <w:t>Commercial . . . . . . . . . . . . . . . . . . . . . . . . . . . . . . .</w:t>
            </w:r>
          </w:p>
        </w:tc>
        <w:tc>
          <w:tcPr>
            <w:tcW w:w="38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4"/>
              </w:rPr>
              <w:t>178,447</w:t>
            </w:r>
          </w:p>
        </w:tc>
        <w:tc>
          <w:tcPr>
            <w:tcW w:w="1120" w:type="dxa"/>
            <w:vAlign w:val="bottom"/>
            <w:gridSpan w:val="3"/>
          </w:tcPr>
          <w:p>
            <w:pPr>
              <w:jc w:val="right"/>
              <w:spacing w:after="0"/>
              <w:rPr>
                <w:sz w:val="20"/>
                <w:szCs w:val="20"/>
                <w:color w:val="auto"/>
              </w:rPr>
            </w:pPr>
            <w:r>
              <w:rPr>
                <w:rFonts w:ascii="Arial" w:cs="Arial" w:eastAsia="Arial" w:hAnsi="Arial"/>
                <w:sz w:val="20"/>
                <w:szCs w:val="20"/>
                <w:b w:val="1"/>
                <w:bCs w:val="1"/>
                <w:color w:val="auto"/>
              </w:rPr>
              <w:t>331,836</w:t>
            </w:r>
          </w:p>
        </w:tc>
        <w:tc>
          <w:tcPr>
            <w:tcW w:w="1120" w:type="dxa"/>
            <w:vAlign w:val="bottom"/>
            <w:gridSpan w:val="3"/>
          </w:tcPr>
          <w:p>
            <w:pPr>
              <w:jc w:val="right"/>
              <w:spacing w:after="0"/>
              <w:rPr>
                <w:sz w:val="20"/>
                <w:szCs w:val="20"/>
                <w:color w:val="auto"/>
              </w:rPr>
            </w:pPr>
            <w:r>
              <w:rPr>
                <w:rFonts w:ascii="Arial" w:cs="Arial" w:eastAsia="Arial" w:hAnsi="Arial"/>
                <w:sz w:val="20"/>
                <w:szCs w:val="20"/>
                <w:b w:val="1"/>
                <w:bCs w:val="1"/>
                <w:color w:val="auto"/>
              </w:rPr>
              <w:t>193,744</w:t>
            </w:r>
          </w:p>
        </w:tc>
        <w:tc>
          <w:tcPr>
            <w:tcW w:w="1180" w:type="dxa"/>
            <w:vAlign w:val="bottom"/>
            <w:gridSpan w:val="3"/>
          </w:tcPr>
          <w:p>
            <w:pPr>
              <w:jc w:val="right"/>
              <w:spacing w:after="0"/>
              <w:rPr>
                <w:sz w:val="20"/>
                <w:szCs w:val="20"/>
                <w:color w:val="auto"/>
              </w:rPr>
            </w:pPr>
            <w:r>
              <w:rPr>
                <w:rFonts w:ascii="Arial" w:cs="Arial" w:eastAsia="Arial" w:hAnsi="Arial"/>
                <w:sz w:val="20"/>
                <w:szCs w:val="20"/>
                <w:b w:val="1"/>
                <w:bCs w:val="1"/>
                <w:color w:val="auto"/>
              </w:rPr>
              <w:t>704,027</w:t>
            </w:r>
          </w:p>
        </w:tc>
      </w:tr>
      <w:tr>
        <w:trPr>
          <w:trHeight w:val="231"/>
        </w:trPr>
        <w:tc>
          <w:tcPr>
            <w:tcW w:w="3900" w:type="dxa"/>
            <w:vAlign w:val="bottom"/>
          </w:tcPr>
          <w:p>
            <w:pPr>
              <w:spacing w:after="0"/>
              <w:rPr>
                <w:sz w:val="20"/>
                <w:szCs w:val="20"/>
                <w:color w:val="auto"/>
              </w:rPr>
            </w:pPr>
            <w:r>
              <w:rPr>
                <w:rFonts w:ascii="Arial" w:cs="Arial" w:eastAsia="Arial" w:hAnsi="Arial"/>
                <w:sz w:val="20"/>
                <w:szCs w:val="20"/>
                <w:b w:val="1"/>
                <w:bCs w:val="1"/>
                <w:color w:val="auto"/>
                <w:w w:val="83"/>
              </w:rPr>
              <w:t>Government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4"/>
              </w:rPr>
              <w:t>213,996</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10,484</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27,526</w:t>
            </w:r>
          </w:p>
        </w:tc>
        <w:tc>
          <w:tcPr>
            <w:tcW w:w="18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252,006</w:t>
            </w:r>
          </w:p>
        </w:tc>
      </w:tr>
      <w:tr>
        <w:trPr>
          <w:trHeight w:val="229"/>
        </w:trPr>
        <w:tc>
          <w:tcPr>
            <w:tcW w:w="3900" w:type="dxa"/>
            <w:vAlign w:val="bottom"/>
          </w:tcPr>
          <w:p>
            <w:pPr>
              <w:ind w:left="120"/>
              <w:spacing w:after="0" w:line="219" w:lineRule="exact"/>
              <w:rPr>
                <w:sz w:val="20"/>
                <w:szCs w:val="20"/>
                <w:color w:val="auto"/>
              </w:rPr>
            </w:pPr>
            <w:r>
              <w:rPr>
                <w:rFonts w:ascii="Arial" w:cs="Arial" w:eastAsia="Arial" w:hAnsi="Arial"/>
                <w:sz w:val="20"/>
                <w:szCs w:val="20"/>
                <w:b w:val="1"/>
                <w:bCs w:val="1"/>
                <w:color w:val="auto"/>
                <w:w w:val="83"/>
              </w:rPr>
              <w:t>Total revenues . . . . . . . . . . . . . . . . . . . . . . . . . . . .</w:t>
            </w:r>
          </w:p>
        </w:tc>
        <w:tc>
          <w:tcPr>
            <w:tcW w:w="3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4"/>
              </w:rPr>
              <w:t>392,443</w:t>
            </w:r>
          </w:p>
        </w:tc>
        <w:tc>
          <w:tcPr>
            <w:tcW w:w="11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342,320</w:t>
            </w:r>
          </w:p>
        </w:tc>
        <w:tc>
          <w:tcPr>
            <w:tcW w:w="11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221,270</w:t>
            </w:r>
          </w:p>
        </w:tc>
        <w:tc>
          <w:tcPr>
            <w:tcW w:w="11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956,033</w:t>
            </w:r>
          </w:p>
        </w:tc>
      </w:tr>
      <w:tr>
        <w:trPr>
          <w:trHeight w:val="436"/>
        </w:trPr>
        <w:tc>
          <w:tcPr>
            <w:tcW w:w="3900" w:type="dxa"/>
            <w:vAlign w:val="bottom"/>
          </w:tcPr>
          <w:p>
            <w:pPr>
              <w:ind w:left="120"/>
              <w:spacing w:after="0"/>
              <w:rPr>
                <w:sz w:val="20"/>
                <w:szCs w:val="20"/>
                <w:color w:val="auto"/>
              </w:rPr>
            </w:pPr>
            <w:r>
              <w:rPr>
                <w:rFonts w:ascii="Arial" w:cs="Arial" w:eastAsia="Arial" w:hAnsi="Arial"/>
                <w:sz w:val="20"/>
                <w:szCs w:val="20"/>
                <w:b w:val="1"/>
                <w:bCs w:val="1"/>
                <w:color w:val="auto"/>
              </w:rPr>
              <w:t>Geographic location:</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31"/>
        </w:trPr>
        <w:tc>
          <w:tcPr>
            <w:tcW w:w="3900" w:type="dxa"/>
            <w:vAlign w:val="bottom"/>
          </w:tcPr>
          <w:p>
            <w:pPr>
              <w:spacing w:after="0"/>
              <w:rPr>
                <w:sz w:val="20"/>
                <w:szCs w:val="20"/>
                <w:color w:val="auto"/>
              </w:rPr>
            </w:pPr>
            <w:r>
              <w:rPr>
                <w:rFonts w:ascii="Arial" w:cs="Arial" w:eastAsia="Arial" w:hAnsi="Arial"/>
                <w:sz w:val="20"/>
                <w:szCs w:val="20"/>
                <w:b w:val="1"/>
                <w:bCs w:val="1"/>
                <w:color w:val="auto"/>
                <w:w w:val="84"/>
              </w:rPr>
              <w:t>United States . . . . . . . . . . . . . . . . . . . . . . . . . . . . . .</w:t>
            </w:r>
          </w:p>
        </w:tc>
        <w:tc>
          <w:tcPr>
            <w:tcW w:w="38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4"/>
              </w:rPr>
              <w:t>326,566</w:t>
            </w:r>
          </w:p>
        </w:tc>
        <w:tc>
          <w:tcPr>
            <w:tcW w:w="1120" w:type="dxa"/>
            <w:vAlign w:val="bottom"/>
            <w:gridSpan w:val="3"/>
          </w:tcPr>
          <w:p>
            <w:pPr>
              <w:jc w:val="right"/>
              <w:spacing w:after="0"/>
              <w:rPr>
                <w:sz w:val="20"/>
                <w:szCs w:val="20"/>
                <w:color w:val="auto"/>
              </w:rPr>
            </w:pPr>
            <w:r>
              <w:rPr>
                <w:rFonts w:ascii="Arial" w:cs="Arial" w:eastAsia="Arial" w:hAnsi="Arial"/>
                <w:sz w:val="20"/>
                <w:szCs w:val="20"/>
                <w:b w:val="1"/>
                <w:bCs w:val="1"/>
                <w:color w:val="auto"/>
              </w:rPr>
              <w:t>220,536</w:t>
            </w:r>
          </w:p>
        </w:tc>
        <w:tc>
          <w:tcPr>
            <w:tcW w:w="1120" w:type="dxa"/>
            <w:vAlign w:val="bottom"/>
            <w:gridSpan w:val="3"/>
          </w:tcPr>
          <w:p>
            <w:pPr>
              <w:jc w:val="right"/>
              <w:spacing w:after="0"/>
              <w:rPr>
                <w:sz w:val="20"/>
                <w:szCs w:val="20"/>
                <w:color w:val="auto"/>
              </w:rPr>
            </w:pPr>
            <w:r>
              <w:rPr>
                <w:rFonts w:ascii="Arial" w:cs="Arial" w:eastAsia="Arial" w:hAnsi="Arial"/>
                <w:sz w:val="20"/>
                <w:szCs w:val="20"/>
                <w:b w:val="1"/>
                <w:bCs w:val="1"/>
                <w:color w:val="auto"/>
              </w:rPr>
              <w:t>118,289</w:t>
            </w:r>
          </w:p>
        </w:tc>
        <w:tc>
          <w:tcPr>
            <w:tcW w:w="1180" w:type="dxa"/>
            <w:vAlign w:val="bottom"/>
            <w:gridSpan w:val="3"/>
          </w:tcPr>
          <w:p>
            <w:pPr>
              <w:jc w:val="right"/>
              <w:spacing w:after="0"/>
              <w:rPr>
                <w:sz w:val="20"/>
                <w:szCs w:val="20"/>
                <w:color w:val="auto"/>
              </w:rPr>
            </w:pPr>
            <w:r>
              <w:rPr>
                <w:rFonts w:ascii="Arial" w:cs="Arial" w:eastAsia="Arial" w:hAnsi="Arial"/>
                <w:sz w:val="20"/>
                <w:szCs w:val="20"/>
                <w:b w:val="1"/>
                <w:bCs w:val="1"/>
                <w:color w:val="auto"/>
              </w:rPr>
              <w:t>665,391</w:t>
            </w:r>
          </w:p>
        </w:tc>
      </w:tr>
      <w:tr>
        <w:trPr>
          <w:trHeight w:val="231"/>
        </w:trPr>
        <w:tc>
          <w:tcPr>
            <w:tcW w:w="3900" w:type="dxa"/>
            <w:vAlign w:val="bottom"/>
          </w:tcPr>
          <w:p>
            <w:pPr>
              <w:spacing w:after="0"/>
              <w:rPr>
                <w:sz w:val="20"/>
                <w:szCs w:val="20"/>
                <w:color w:val="auto"/>
              </w:rPr>
            </w:pPr>
            <w:r>
              <w:rPr>
                <w:rFonts w:ascii="Arial" w:cs="Arial" w:eastAsia="Arial" w:hAnsi="Arial"/>
                <w:sz w:val="20"/>
                <w:szCs w:val="20"/>
                <w:b w:val="1"/>
                <w:bCs w:val="1"/>
                <w:color w:val="auto"/>
                <w:w w:val="83"/>
              </w:rPr>
              <w:t>International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65,877</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121,784</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102,981</w:t>
            </w:r>
          </w:p>
        </w:tc>
        <w:tc>
          <w:tcPr>
            <w:tcW w:w="18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290,642</w:t>
            </w:r>
          </w:p>
        </w:tc>
      </w:tr>
      <w:tr>
        <w:trPr>
          <w:trHeight w:val="229"/>
        </w:trPr>
        <w:tc>
          <w:tcPr>
            <w:tcW w:w="3900" w:type="dxa"/>
            <w:vAlign w:val="bottom"/>
          </w:tcPr>
          <w:p>
            <w:pPr>
              <w:ind w:left="120"/>
              <w:spacing w:after="0" w:line="219" w:lineRule="exact"/>
              <w:rPr>
                <w:sz w:val="20"/>
                <w:szCs w:val="20"/>
                <w:color w:val="auto"/>
              </w:rPr>
            </w:pPr>
            <w:r>
              <w:rPr>
                <w:rFonts w:ascii="Arial" w:cs="Arial" w:eastAsia="Arial" w:hAnsi="Arial"/>
                <w:sz w:val="20"/>
                <w:szCs w:val="20"/>
                <w:b w:val="1"/>
                <w:bCs w:val="1"/>
                <w:color w:val="auto"/>
                <w:w w:val="83"/>
              </w:rPr>
              <w:t>Total revenues . . . . . . . . . . . . . . . . . . . . . . . . . . . .</w:t>
            </w:r>
          </w:p>
        </w:tc>
        <w:tc>
          <w:tcPr>
            <w:tcW w:w="3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94"/>
              </w:rPr>
              <w:t>392,443</w:t>
            </w:r>
          </w:p>
        </w:tc>
        <w:tc>
          <w:tcPr>
            <w:tcW w:w="11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342,320</w:t>
            </w:r>
          </w:p>
        </w:tc>
        <w:tc>
          <w:tcPr>
            <w:tcW w:w="112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221,270</w:t>
            </w:r>
          </w:p>
        </w:tc>
        <w:tc>
          <w:tcPr>
            <w:tcW w:w="11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956,033</w:t>
            </w:r>
          </w:p>
        </w:tc>
      </w:tr>
      <w:tr>
        <w:trPr>
          <w:trHeight w:val="416"/>
        </w:trPr>
        <w:tc>
          <w:tcPr>
            <w:tcW w:w="3900" w:type="dxa"/>
            <w:vAlign w:val="bottom"/>
          </w:tcPr>
          <w:p>
            <w:pPr>
              <w:ind w:left="120"/>
              <w:spacing w:after="0"/>
              <w:rPr>
                <w:sz w:val="20"/>
                <w:szCs w:val="20"/>
                <w:color w:val="auto"/>
              </w:rPr>
            </w:pPr>
            <w:r>
              <w:rPr>
                <w:rFonts w:ascii="Arial" w:cs="Arial" w:eastAsia="Arial" w:hAnsi="Arial"/>
                <w:sz w:val="20"/>
                <w:szCs w:val="20"/>
                <w:b w:val="1"/>
                <w:bCs w:val="1"/>
                <w:color w:val="auto"/>
              </w:rPr>
              <w:t>Revenue recognition method: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20"/>
                <w:szCs w:val="20"/>
                <w:b w:val="1"/>
                <w:bCs w:val="1"/>
                <w:color w:val="auto"/>
                <w:w w:val="83"/>
              </w:rPr>
              <w:t>Point in time . . . . . . . . . . . . . . . . . . . . . . . . . . . . . . .</w:t>
            </w:r>
          </w:p>
        </w:tc>
        <w:tc>
          <w:tcPr>
            <w:tcW w:w="380" w:type="dxa"/>
            <w:vAlign w:val="bottom"/>
            <w:gridSpan w:val="3"/>
          </w:tcPr>
          <w:p>
            <w:pPr>
              <w:jc w:val="right"/>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4"/>
              </w:rPr>
              <w:t>178,222</w:t>
            </w:r>
          </w:p>
        </w:tc>
        <w:tc>
          <w:tcPr>
            <w:tcW w:w="1120" w:type="dxa"/>
            <w:vAlign w:val="bottom"/>
            <w:gridSpan w:val="3"/>
          </w:tcPr>
          <w:p>
            <w:pPr>
              <w:jc w:val="right"/>
              <w:spacing w:after="0"/>
              <w:rPr>
                <w:sz w:val="20"/>
                <w:szCs w:val="20"/>
                <w:color w:val="auto"/>
              </w:rPr>
            </w:pPr>
            <w:r>
              <w:rPr>
                <w:rFonts w:ascii="Arial" w:cs="Arial" w:eastAsia="Arial" w:hAnsi="Arial"/>
                <w:sz w:val="20"/>
                <w:szCs w:val="20"/>
                <w:b w:val="1"/>
                <w:bCs w:val="1"/>
                <w:color w:val="auto"/>
              </w:rPr>
              <w:t>281,977</w:t>
            </w:r>
          </w:p>
        </w:tc>
        <w:tc>
          <w:tcPr>
            <w:tcW w:w="1120" w:type="dxa"/>
            <w:vAlign w:val="bottom"/>
            <w:gridSpan w:val="3"/>
          </w:tcPr>
          <w:p>
            <w:pPr>
              <w:jc w:val="right"/>
              <w:spacing w:after="0"/>
              <w:rPr>
                <w:sz w:val="20"/>
                <w:szCs w:val="20"/>
                <w:color w:val="auto"/>
              </w:rPr>
            </w:pPr>
            <w:r>
              <w:rPr>
                <w:rFonts w:ascii="Arial" w:cs="Arial" w:eastAsia="Arial" w:hAnsi="Arial"/>
                <w:sz w:val="20"/>
                <w:szCs w:val="20"/>
                <w:b w:val="1"/>
                <w:bCs w:val="1"/>
                <w:color w:val="auto"/>
              </w:rPr>
              <w:t>44,042</w:t>
            </w:r>
          </w:p>
        </w:tc>
        <w:tc>
          <w:tcPr>
            <w:tcW w:w="1180" w:type="dxa"/>
            <w:vAlign w:val="bottom"/>
            <w:gridSpan w:val="3"/>
          </w:tcPr>
          <w:p>
            <w:pPr>
              <w:jc w:val="right"/>
              <w:spacing w:after="0"/>
              <w:rPr>
                <w:sz w:val="20"/>
                <w:szCs w:val="20"/>
                <w:color w:val="auto"/>
              </w:rPr>
            </w:pPr>
            <w:r>
              <w:rPr>
                <w:rFonts w:ascii="Arial" w:cs="Arial" w:eastAsia="Arial" w:hAnsi="Arial"/>
                <w:sz w:val="20"/>
                <w:szCs w:val="20"/>
                <w:b w:val="1"/>
                <w:bCs w:val="1"/>
                <w:color w:val="auto"/>
              </w:rPr>
              <w:t>504,241</w:t>
            </w:r>
          </w:p>
        </w:tc>
      </w:tr>
      <w:tr>
        <w:trPr>
          <w:trHeight w:val="231"/>
        </w:trPr>
        <w:tc>
          <w:tcPr>
            <w:tcW w:w="3900" w:type="dxa"/>
            <w:vAlign w:val="bottom"/>
          </w:tcPr>
          <w:p>
            <w:pPr>
              <w:spacing w:after="0"/>
              <w:rPr>
                <w:sz w:val="20"/>
                <w:szCs w:val="20"/>
                <w:color w:val="auto"/>
              </w:rPr>
            </w:pPr>
            <w:r>
              <w:rPr>
                <w:rFonts w:ascii="Arial" w:cs="Arial" w:eastAsia="Arial" w:hAnsi="Arial"/>
                <w:sz w:val="20"/>
                <w:szCs w:val="20"/>
                <w:b w:val="1"/>
                <w:bCs w:val="1"/>
                <w:color w:val="auto"/>
                <w:w w:val="84"/>
              </w:rPr>
              <w:t>Over time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4"/>
              </w:rPr>
              <w:t>214,221</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60,343</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177,228</w:t>
            </w:r>
          </w:p>
        </w:tc>
        <w:tc>
          <w:tcPr>
            <w:tcW w:w="18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451,792</w:t>
            </w:r>
          </w:p>
        </w:tc>
      </w:tr>
      <w:tr>
        <w:trPr>
          <w:trHeight w:val="230"/>
        </w:trPr>
        <w:tc>
          <w:tcPr>
            <w:tcW w:w="3900" w:type="dxa"/>
            <w:vAlign w:val="bottom"/>
          </w:tcPr>
          <w:p>
            <w:pPr>
              <w:ind w:left="120"/>
              <w:spacing w:after="0" w:line="220" w:lineRule="exact"/>
              <w:rPr>
                <w:sz w:val="20"/>
                <w:szCs w:val="20"/>
                <w:color w:val="auto"/>
              </w:rPr>
            </w:pPr>
            <w:r>
              <w:rPr>
                <w:rFonts w:ascii="Arial" w:cs="Arial" w:eastAsia="Arial" w:hAnsi="Arial"/>
                <w:sz w:val="20"/>
                <w:szCs w:val="20"/>
                <w:b w:val="1"/>
                <w:bCs w:val="1"/>
                <w:color w:val="auto"/>
                <w:w w:val="83"/>
              </w:rPr>
              <w:t>Total revenues . . . . . . . . . . . . . . . . . . . . . . . . . . . .</w:t>
            </w:r>
          </w:p>
        </w:tc>
        <w:tc>
          <w:tcPr>
            <w:tcW w:w="380" w:type="dxa"/>
            <w:vAlign w:val="bottom"/>
            <w:gridSpan w:val="3"/>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94"/>
              </w:rPr>
              <w:t>392,443</w:t>
            </w:r>
          </w:p>
        </w:tc>
        <w:tc>
          <w:tcPr>
            <w:tcW w:w="1120" w:type="dxa"/>
            <w:vAlign w:val="bottom"/>
            <w:gridSpan w:val="3"/>
          </w:tcPr>
          <w:p>
            <w:pPr>
              <w:jc w:val="right"/>
              <w:spacing w:after="0" w:line="220" w:lineRule="exact"/>
              <w:rPr>
                <w:sz w:val="20"/>
                <w:szCs w:val="20"/>
                <w:color w:val="auto"/>
              </w:rPr>
            </w:pPr>
            <w:r>
              <w:rPr>
                <w:rFonts w:ascii="Arial" w:cs="Arial" w:eastAsia="Arial" w:hAnsi="Arial"/>
                <w:sz w:val="20"/>
                <w:szCs w:val="20"/>
                <w:b w:val="1"/>
                <w:bCs w:val="1"/>
                <w:color w:val="auto"/>
              </w:rPr>
              <w:t>342,320</w:t>
            </w:r>
          </w:p>
        </w:tc>
        <w:tc>
          <w:tcPr>
            <w:tcW w:w="1120" w:type="dxa"/>
            <w:vAlign w:val="bottom"/>
            <w:gridSpan w:val="3"/>
          </w:tcPr>
          <w:p>
            <w:pPr>
              <w:jc w:val="right"/>
              <w:spacing w:after="0" w:line="220" w:lineRule="exact"/>
              <w:rPr>
                <w:sz w:val="20"/>
                <w:szCs w:val="20"/>
                <w:color w:val="auto"/>
              </w:rPr>
            </w:pPr>
            <w:r>
              <w:rPr>
                <w:rFonts w:ascii="Arial" w:cs="Arial" w:eastAsia="Arial" w:hAnsi="Arial"/>
                <w:sz w:val="20"/>
                <w:szCs w:val="20"/>
                <w:b w:val="1"/>
                <w:bCs w:val="1"/>
                <w:color w:val="auto"/>
              </w:rPr>
              <w:t>221,270</w:t>
            </w:r>
          </w:p>
        </w:tc>
        <w:tc>
          <w:tcPr>
            <w:tcW w:w="1180" w:type="dxa"/>
            <w:vAlign w:val="bottom"/>
            <w:gridSpan w:val="3"/>
          </w:tcPr>
          <w:p>
            <w:pPr>
              <w:jc w:val="right"/>
              <w:spacing w:after="0" w:line="220" w:lineRule="exact"/>
              <w:rPr>
                <w:sz w:val="20"/>
                <w:szCs w:val="20"/>
                <w:color w:val="auto"/>
              </w:rPr>
            </w:pPr>
            <w:r>
              <w:rPr>
                <w:rFonts w:ascii="Arial" w:cs="Arial" w:eastAsia="Arial" w:hAnsi="Arial"/>
                <w:sz w:val="20"/>
                <w:szCs w:val="20"/>
                <w:b w:val="1"/>
                <w:bCs w:val="1"/>
                <w:color w:val="auto"/>
              </w:rPr>
              <w:t>956,033</w:t>
            </w:r>
          </w:p>
        </w:tc>
      </w:tr>
      <w:tr>
        <w:trPr>
          <w:trHeight w:val="458"/>
        </w:trPr>
        <w:tc>
          <w:tcPr>
            <w:tcW w:w="3900" w:type="dxa"/>
            <w:vAlign w:val="bottom"/>
          </w:tcPr>
          <w:p>
            <w:pPr>
              <w:spacing w:after="0"/>
              <w:rPr>
                <w:sz w:val="20"/>
                <w:szCs w:val="20"/>
                <w:color w:val="auto"/>
              </w:rPr>
            </w:pPr>
            <w:r>
              <w:rPr>
                <w:rFonts w:ascii="Arial" w:cs="Arial" w:eastAsia="Arial" w:hAnsi="Arial"/>
                <w:sz w:val="20"/>
                <w:szCs w:val="20"/>
                <w:i w:val="1"/>
                <w:iCs w:val="1"/>
                <w:color w:val="auto"/>
              </w:rPr>
              <w:t>Year Ended September 30, 2022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33"/>
        </w:trPr>
        <w:tc>
          <w:tcPr>
            <w:tcW w:w="390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(In thousands)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20"/>
                <w:szCs w:val="20"/>
                <w:color w:val="auto"/>
              </w:rPr>
              <w:t>A&amp;D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rPr>
              <w:t>USG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20"/>
                <w:szCs w:val="20"/>
                <w:color w:val="auto"/>
              </w:rPr>
              <w:t>Test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20"/>
                <w:szCs w:val="20"/>
                <w:color w:val="auto"/>
              </w:rPr>
              <w:t>Total</w:t>
            </w:r>
          </w:p>
        </w:tc>
      </w:tr>
      <w:tr>
        <w:trPr>
          <w:trHeight w:val="383"/>
        </w:trPr>
        <w:tc>
          <w:tcPr>
            <w:tcW w:w="3900" w:type="dxa"/>
            <w:vAlign w:val="bottom"/>
          </w:tcPr>
          <w:p>
            <w:pPr>
              <w:ind w:left="120"/>
              <w:spacing w:after="0"/>
              <w:rPr>
                <w:sz w:val="20"/>
                <w:szCs w:val="20"/>
                <w:color w:val="auto"/>
              </w:rPr>
            </w:pPr>
            <w:r>
              <w:rPr>
                <w:rFonts w:ascii="Arial" w:cs="Arial" w:eastAsia="Arial" w:hAnsi="Arial"/>
                <w:sz w:val="20"/>
                <w:szCs w:val="20"/>
                <w:color w:val="auto"/>
              </w:rPr>
              <w:t>Customer type: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w w:val="83"/>
              </w:rPr>
              <w:t>Commercial . . . . . . . . . . . . . . . . . . . . . . . . . . . . . . . .</w:t>
            </w:r>
          </w:p>
        </w:tc>
        <w:tc>
          <w:tcPr>
            <w:tcW w:w="3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94"/>
              </w:rPr>
              <w:t>144,305</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272,432</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209,016</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625,753</w:t>
            </w:r>
          </w:p>
        </w:tc>
      </w:tr>
      <w:tr>
        <w:trPr>
          <w:trHeight w:val="231"/>
        </w:trPr>
        <w:tc>
          <w:tcPr>
            <w:tcW w:w="3900" w:type="dxa"/>
            <w:vAlign w:val="bottom"/>
          </w:tcPr>
          <w:p>
            <w:pPr>
              <w:spacing w:after="0"/>
              <w:rPr>
                <w:sz w:val="20"/>
                <w:szCs w:val="20"/>
                <w:color w:val="auto"/>
              </w:rPr>
            </w:pPr>
            <w:r>
              <w:rPr>
                <w:rFonts w:ascii="Arial" w:cs="Arial" w:eastAsia="Arial" w:hAnsi="Arial"/>
                <w:sz w:val="20"/>
                <w:szCs w:val="20"/>
                <w:color w:val="auto"/>
                <w:w w:val="83"/>
              </w:rPr>
              <w:t>Government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4"/>
              </w:rPr>
              <w:t>207,108</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5,935</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18,706</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231,749</w:t>
            </w:r>
          </w:p>
        </w:tc>
      </w:tr>
      <w:tr>
        <w:trPr>
          <w:trHeight w:val="230"/>
        </w:trPr>
        <w:tc>
          <w:tcPr>
            <w:tcW w:w="3900" w:type="dxa"/>
            <w:vAlign w:val="bottom"/>
          </w:tcPr>
          <w:p>
            <w:pPr>
              <w:ind w:left="120"/>
              <w:spacing w:after="0" w:line="220" w:lineRule="exact"/>
              <w:rPr>
                <w:sz w:val="20"/>
                <w:szCs w:val="20"/>
                <w:color w:val="auto"/>
              </w:rPr>
            </w:pPr>
            <w:r>
              <w:rPr>
                <w:rFonts w:ascii="Arial" w:cs="Arial" w:eastAsia="Arial" w:hAnsi="Arial"/>
                <w:sz w:val="20"/>
                <w:szCs w:val="20"/>
                <w:color w:val="auto"/>
                <w:w w:val="84"/>
              </w:rPr>
              <w:t>. . . . . . . . . . . . . . . . . . . . . . . . . . . . .Totalrevenues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351,413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278,367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227,722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857,502</w:t>
            </w:r>
          </w:p>
        </w:tc>
      </w:tr>
      <w:tr>
        <w:trPr>
          <w:trHeight w:val="392"/>
        </w:trPr>
        <w:tc>
          <w:tcPr>
            <w:tcW w:w="3900" w:type="dxa"/>
            <w:vAlign w:val="bottom"/>
          </w:tcPr>
          <w:p>
            <w:pPr>
              <w:ind w:left="120"/>
              <w:spacing w:after="0"/>
              <w:rPr>
                <w:sz w:val="20"/>
                <w:szCs w:val="20"/>
                <w:color w:val="auto"/>
              </w:rPr>
            </w:pPr>
            <w:r>
              <w:rPr>
                <w:rFonts w:ascii="Arial" w:cs="Arial" w:eastAsia="Arial" w:hAnsi="Arial"/>
                <w:sz w:val="20"/>
                <w:szCs w:val="20"/>
                <w:color w:val="auto"/>
              </w:rPr>
              <w:t>Geographic location:</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w w:val="83"/>
              </w:rPr>
              <w:t>United States . . . . . . . . . . . . . . . . . . . . . . . . . . . . . . .</w:t>
            </w:r>
          </w:p>
        </w:tc>
        <w:tc>
          <w:tcPr>
            <w:tcW w:w="3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94"/>
              </w:rPr>
              <w:t>299,158</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180,586</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123,428</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603,172</w:t>
            </w:r>
          </w:p>
        </w:tc>
      </w:tr>
      <w:tr>
        <w:trPr>
          <w:trHeight w:val="231"/>
        </w:trPr>
        <w:tc>
          <w:tcPr>
            <w:tcW w:w="3900" w:type="dxa"/>
            <w:vAlign w:val="bottom"/>
          </w:tcPr>
          <w:p>
            <w:pPr>
              <w:spacing w:after="0"/>
              <w:rPr>
                <w:sz w:val="20"/>
                <w:szCs w:val="20"/>
                <w:color w:val="auto"/>
              </w:rPr>
            </w:pPr>
            <w:r>
              <w:rPr>
                <w:rFonts w:ascii="Arial" w:cs="Arial" w:eastAsia="Arial" w:hAnsi="Arial"/>
                <w:sz w:val="20"/>
                <w:szCs w:val="20"/>
                <w:color w:val="auto"/>
                <w:w w:val="83"/>
              </w:rPr>
              <w:t>International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52,255</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97,781</w:t>
            </w:r>
          </w:p>
        </w:tc>
        <w:tc>
          <w:tcPr>
            <w:tcW w:w="180" w:type="dxa"/>
            <w:vAlign w:val="bottom"/>
            <w:gridSpan w:val="2"/>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104,294</w:t>
            </w:r>
          </w:p>
        </w:tc>
        <w:tc>
          <w:tcPr>
            <w:tcW w:w="18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254,330</w:t>
            </w:r>
          </w:p>
        </w:tc>
      </w:tr>
      <w:tr>
        <w:trPr>
          <w:trHeight w:val="230"/>
        </w:trPr>
        <w:tc>
          <w:tcPr>
            <w:tcW w:w="3900" w:type="dxa"/>
            <w:vAlign w:val="bottom"/>
          </w:tcPr>
          <w:p>
            <w:pPr>
              <w:ind w:left="120"/>
              <w:spacing w:after="0" w:line="220" w:lineRule="exact"/>
              <w:rPr>
                <w:sz w:val="20"/>
                <w:szCs w:val="20"/>
                <w:color w:val="auto"/>
              </w:rPr>
            </w:pPr>
            <w:r>
              <w:rPr>
                <w:rFonts w:ascii="Arial" w:cs="Arial" w:eastAsia="Arial" w:hAnsi="Arial"/>
                <w:sz w:val="20"/>
                <w:szCs w:val="20"/>
                <w:color w:val="auto"/>
                <w:w w:val="83"/>
              </w:rPr>
              <w:t>Total revenues. . . . . . . . . . . . . . . . . . . . . . . . . . . . .</w:t>
            </w:r>
          </w:p>
        </w:tc>
        <w:tc>
          <w:tcPr>
            <w:tcW w:w="38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w:t>
            </w:r>
          </w:p>
        </w:tc>
        <w:tc>
          <w:tcPr>
            <w:tcW w:w="760" w:type="dxa"/>
            <w:vAlign w:val="bottom"/>
          </w:tcPr>
          <w:p>
            <w:pPr>
              <w:jc w:val="right"/>
              <w:spacing w:after="0" w:line="220" w:lineRule="exact"/>
              <w:rPr>
                <w:sz w:val="20"/>
                <w:szCs w:val="20"/>
                <w:color w:val="auto"/>
              </w:rPr>
            </w:pPr>
            <w:r>
              <w:rPr>
                <w:rFonts w:ascii="Arial" w:cs="Arial" w:eastAsia="Arial" w:hAnsi="Arial"/>
                <w:sz w:val="20"/>
                <w:szCs w:val="20"/>
                <w:color w:val="auto"/>
                <w:w w:val="94"/>
              </w:rPr>
              <w:t>351,413</w:t>
            </w:r>
          </w:p>
        </w:tc>
        <w:tc>
          <w:tcPr>
            <w:tcW w:w="112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278,367</w:t>
            </w:r>
          </w:p>
        </w:tc>
        <w:tc>
          <w:tcPr>
            <w:tcW w:w="112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227,722</w:t>
            </w:r>
          </w:p>
        </w:tc>
        <w:tc>
          <w:tcPr>
            <w:tcW w:w="118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857,502</w:t>
            </w:r>
          </w:p>
        </w:tc>
      </w:tr>
      <w:tr>
        <w:trPr>
          <w:trHeight w:val="392"/>
        </w:trPr>
        <w:tc>
          <w:tcPr>
            <w:tcW w:w="3900" w:type="dxa"/>
            <w:vAlign w:val="bottom"/>
          </w:tcPr>
          <w:p>
            <w:pPr>
              <w:ind w:left="120"/>
              <w:spacing w:after="0"/>
              <w:rPr>
                <w:sz w:val="20"/>
                <w:szCs w:val="20"/>
                <w:color w:val="auto"/>
              </w:rPr>
            </w:pPr>
            <w:r>
              <w:rPr>
                <w:rFonts w:ascii="Arial" w:cs="Arial" w:eastAsia="Arial" w:hAnsi="Arial"/>
                <w:sz w:val="20"/>
                <w:szCs w:val="20"/>
                <w:color w:val="auto"/>
              </w:rPr>
              <w:t>Revenue recognition method: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w w:val="83"/>
              </w:rPr>
              <w:t>Point in time . . . . . . . . . . . . . . . . . . . . . . . . . . . . . . . .</w:t>
            </w:r>
          </w:p>
        </w:tc>
        <w:tc>
          <w:tcPr>
            <w:tcW w:w="3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94"/>
              </w:rPr>
              <w:t>144,039</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226,418</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58,522</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428,979</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w w:val="83"/>
              </w:rPr>
              <w:t>Over time .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4"/>
              </w:rPr>
              <w:t>207,374</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51,949</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169,200</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428,523</w:t>
            </w:r>
          </w:p>
        </w:tc>
      </w:tr>
      <w:tr>
        <w:trPr>
          <w:trHeight w:val="235"/>
        </w:trPr>
        <w:tc>
          <w:tcPr>
            <w:tcW w:w="3900" w:type="dxa"/>
            <w:vAlign w:val="bottom"/>
          </w:tcPr>
          <w:p>
            <w:pPr>
              <w:ind w:left="120"/>
              <w:spacing w:after="0" w:line="220" w:lineRule="exact"/>
              <w:rPr>
                <w:sz w:val="20"/>
                <w:szCs w:val="20"/>
                <w:color w:val="auto"/>
              </w:rPr>
            </w:pPr>
            <w:r>
              <w:rPr>
                <w:rFonts w:ascii="Arial" w:cs="Arial" w:eastAsia="Arial" w:hAnsi="Arial"/>
                <w:sz w:val="20"/>
                <w:szCs w:val="20"/>
                <w:color w:val="auto"/>
                <w:w w:val="84"/>
              </w:rPr>
              <w:t>. . . . . . . . . . . . . . . . . . . . . . . . . . . . .Totalrevenues</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4"/>
              </w:rPr>
              <w:t>351,413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278,367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227,722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857,502</w:t>
            </w:r>
          </w:p>
        </w:tc>
      </w:tr>
    </w:tbl>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Remaining Performance Obligations</w:t>
      </w:r>
    </w:p>
    <w:p>
      <w:pPr>
        <w:spacing w:after="0" w:line="1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Remaining performance obligations represent the aggregate transaction price allocated to performance obligations which are fully or partially unsatisfied at the end of the period. Remaining performance obligations include noncancelable purchase orders and other long-term contracts. At September 30, 2023, we had approximately $360 million in remaining performance obligations for contracts with an original duration of greater than one year which we expect approximately 80% to be recognized as revenues in the next twenty-four months and approximately 20%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F-28</w:t>
      </w:r>
    </w:p>
    <w:p>
      <w:pPr>
        <w:sectPr>
          <w:pgSz w:w="12240" w:h="15840" w:orient="portrait"/>
          <w:cols w:equalWidth="0" w:num="1">
            <w:col w:w="9500"/>
          </w:cols>
          <w:pgMar w:left="1440" w:top="1440" w:right="1300" w:bottom="0" w:gutter="0" w:footer="0" w:header="0"/>
        </w:sectPr>
      </w:pPr>
    </w:p>
    <w:bookmarkStart w:id="69" w:name="page70"/>
    <w:bookmarkEnd w:id="69"/>
    <w:p>
      <w:pPr>
        <w:spacing w:after="0"/>
        <w:tabs>
          <w:tab w:leader="none" w:pos="340" w:val="left"/>
        </w:tabs>
        <w:rPr>
          <w:sz w:val="20"/>
          <w:szCs w:val="20"/>
          <w:color w:val="auto"/>
        </w:rPr>
      </w:pPr>
      <w:r>
        <w:rPr>
          <w:rFonts w:ascii="Arial" w:cs="Arial" w:eastAsia="Arial" w:hAnsi="Arial"/>
          <w:sz w:val="20"/>
          <w:szCs w:val="20"/>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Contract assets, contract liabilities and accounts receivable</w:t>
      </w:r>
    </w:p>
    <w:p>
      <w:pPr>
        <w:spacing w:after="0" w:line="13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We report assets and liabilities related to our contracts with customers on a contract-by-contract basis at the end of each reporting period. At September 30, 2023, our contract assets, contract liabilities and accounts receivable totaled $138.6 million, $123.1 million and $198.6 million, respectively. At September 30, 2022, our contract assets, contract liabilities and accounts receivable totaled $125.2 million, $137.6 million and $164.6 million, respectively. At September 30, 2021, our contract assets, contract liabilities and accounts receivable totaled $93.8 million, $108.8 million and $146.3 million, respectively. During 2023, we recognized approximately $80 million in revenues that were included in the contract liabilities balance at September 30, 2022.</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Subsequent Event</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On November 9, 2023, the Company acquired MPE Limited (MPE), based in the United Kingdom, for a purchase price of approximately $57 million. MPE is a leading global manufacturer of high-performance EMC/EMP filters and capacitor products for military, utility, telecommunication, and other critical infrastructure applications. The business will become part of our Test segment. Given the timing of the acquisition, the preliminary estimate of the purchase price indicates that the majority of the purchase price will be allocated to customer relationships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F-29</w:t>
      </w:r>
    </w:p>
    <w:p>
      <w:pPr>
        <w:sectPr>
          <w:pgSz w:w="12240" w:h="15840" w:orient="portrait"/>
          <w:cols w:equalWidth="0" w:num="1">
            <w:col w:w="9440"/>
          </w:cols>
          <w:pgMar w:left="1440" w:top="1438" w:right="1360" w:bottom="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MANAGEMENT’S STATEMENT OF FINANCIAL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107315</wp:posOffset>
                </wp:positionV>
                <wp:extent cx="585216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216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5pt" to="460.8pt,8.45pt" o:allowincell="f" strokecolor="#000000" strokeweight="0.9499pt"/>
            </w:pict>
          </mc:Fallback>
        </mc:AlternateContent>
      </w:r>
    </w:p>
    <w:p>
      <w:pPr>
        <w:spacing w:after="0" w:line="340"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color w:val="auto"/>
        </w:rPr>
        <w:t xml:space="preserve">The Company’s Management is responsible for the fair presentation of the Company’s financial statements in </w:t>
      </w:r>
      <w:r>
        <w:rPr>
          <w:rFonts w:ascii="Times New Roman" w:cs="Times New Roman" w:eastAsia="Times New Roman" w:hAnsi="Times New Roman"/>
          <w:sz w:val="20"/>
          <w:szCs w:val="20"/>
          <w:color w:val="auto"/>
        </w:rPr>
        <w:t>accordance with accounting principles generally accepted in the United States of America, and for their integrity and accuracy. Management is confident that its financial and business processes provide accurate information on a timely basis.</w:t>
      </w:r>
    </w:p>
    <w:p>
      <w:pPr>
        <w:spacing w:after="0" w:line="132" w:lineRule="exact"/>
        <w:rPr>
          <w:sz w:val="20"/>
          <w:szCs w:val="20"/>
          <w:color w:val="auto"/>
        </w:rPr>
      </w:pPr>
    </w:p>
    <w:p>
      <w:pPr>
        <w:ind w:right="260"/>
        <w:spacing w:after="0" w:line="253" w:lineRule="auto"/>
        <w:rPr>
          <w:sz w:val="20"/>
          <w:szCs w:val="20"/>
          <w:color w:val="auto"/>
        </w:rPr>
      </w:pPr>
      <w:r>
        <w:rPr>
          <w:rFonts w:ascii="Arial" w:cs="Arial" w:eastAsia="Arial" w:hAnsi="Arial"/>
          <w:sz w:val="19"/>
          <w:szCs w:val="19"/>
          <w:color w:val="auto"/>
        </w:rPr>
        <w:t xml:space="preserve">Management, with the oversight of ESCO’s Board of Directors, has established and maintains a strong ethical climate in which the Company’s affairs are conducted. Management also has established an effective system of </w:t>
      </w:r>
      <w:r>
        <w:rPr>
          <w:rFonts w:ascii="Times New Roman" w:cs="Times New Roman" w:eastAsia="Times New Roman" w:hAnsi="Times New Roman"/>
          <w:sz w:val="19"/>
          <w:szCs w:val="19"/>
          <w:color w:val="auto"/>
        </w:rPr>
        <w:t xml:space="preserve">internal controls that provide reasonable assurance as to the integrity and accuracy of the financial statements, and </w:t>
      </w:r>
      <w:r>
        <w:rPr>
          <w:rFonts w:ascii="Arial" w:cs="Arial" w:eastAsia="Arial" w:hAnsi="Arial"/>
          <w:sz w:val="19"/>
          <w:szCs w:val="19"/>
          <w:color w:val="auto"/>
        </w:rPr>
        <w:t xml:space="preserve">responsibility for the Company’s assets. </w:t>
      </w:r>
      <w:r>
        <w:rPr>
          <w:rFonts w:ascii="Times New Roman" w:cs="Times New Roman" w:eastAsia="Times New Roman" w:hAnsi="Times New Roman"/>
          <w:sz w:val="19"/>
          <w:szCs w:val="19"/>
          <w:color w:val="auto"/>
        </w:rPr>
        <w:t>Grant Thornton</w:t>
      </w:r>
      <w:r>
        <w:rPr>
          <w:rFonts w:ascii="Arial" w:cs="Arial" w:eastAsia="Arial" w:hAnsi="Arial"/>
          <w:sz w:val="19"/>
          <w:szCs w:val="19"/>
          <w:color w:val="auto"/>
        </w:rPr>
        <w:t xml:space="preserve"> LLP, the Company’s independent registered public </w:t>
      </w:r>
      <w:r>
        <w:rPr>
          <w:rFonts w:ascii="Times New Roman" w:cs="Times New Roman" w:eastAsia="Times New Roman" w:hAnsi="Times New Roman"/>
          <w:sz w:val="19"/>
          <w:szCs w:val="19"/>
          <w:color w:val="auto"/>
        </w:rPr>
        <w:t>accounting firm, reports directly to the Audit and Finance Committee of the Board of Directors. The Audit and Finance Committee has established policies consistent with corporate reform laws for auditor independence. In accordance with corporate governance listing requirements of the New York Stock Exchange:</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majority of Board members are independent of the Company and its Management.</w:t>
      </w:r>
    </w:p>
    <w:p>
      <w:pPr>
        <w:spacing w:after="0" w:line="148" w:lineRule="exact"/>
        <w:rPr>
          <w:sz w:val="20"/>
          <w:szCs w:val="20"/>
          <w:color w:val="auto"/>
        </w:rPr>
      </w:pPr>
    </w:p>
    <w:p>
      <w:pPr>
        <w:jc w:val="right"/>
        <w:ind w:left="720" w:right="1120"/>
        <w:spacing w:after="0" w:line="230" w:lineRule="auto"/>
        <w:rPr>
          <w:sz w:val="20"/>
          <w:szCs w:val="20"/>
          <w:color w:val="auto"/>
        </w:rPr>
      </w:pPr>
      <w:r>
        <w:rPr>
          <w:rFonts w:ascii="Times New Roman" w:cs="Times New Roman" w:eastAsia="Times New Roman" w:hAnsi="Times New Roman"/>
          <w:sz w:val="20"/>
          <w:szCs w:val="20"/>
          <w:color w:val="auto"/>
        </w:rPr>
        <w:t xml:space="preserve">All members of the key Board committees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the Audit and Finance, the Human Resources and Compensation and the Nominating and Corporate Governance Committees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are independent.</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independent members of the Board meet regularly without the presence of Management.</w:t>
      </w:r>
    </w:p>
    <w:p>
      <w:pPr>
        <w:spacing w:after="0" w:line="148" w:lineRule="exact"/>
        <w:rPr>
          <w:sz w:val="20"/>
          <w:szCs w:val="20"/>
          <w:color w:val="auto"/>
        </w:rPr>
      </w:pPr>
    </w:p>
    <w:p>
      <w:pPr>
        <w:ind w:left="720" w:right="220"/>
        <w:spacing w:after="0" w:line="234" w:lineRule="auto"/>
        <w:rPr>
          <w:sz w:val="20"/>
          <w:szCs w:val="20"/>
          <w:color w:val="auto"/>
        </w:rPr>
      </w:pPr>
      <w:r>
        <w:rPr>
          <w:rFonts w:ascii="Times New Roman" w:cs="Times New Roman" w:eastAsia="Times New Roman" w:hAnsi="Times New Roman"/>
          <w:sz w:val="20"/>
          <w:szCs w:val="20"/>
          <w:color w:val="auto"/>
        </w:rPr>
        <w:t>The Company has a clear code of ethics and a conflict of interest policy to ensure that key corporate decisions are made by individuals who do not have a financial interest in the outcome, separate from their interest as Company officials.</w:t>
      </w:r>
    </w:p>
    <w:p>
      <w:pPr>
        <w:spacing w:after="0" w:line="80" w:lineRule="exact"/>
        <w:rPr>
          <w:sz w:val="20"/>
          <w:szCs w:val="20"/>
          <w:color w:val="auto"/>
        </w:rPr>
      </w:pPr>
    </w:p>
    <w:p>
      <w:pPr>
        <w:ind w:left="720" w:right="840"/>
        <w:spacing w:after="0" w:line="313" w:lineRule="auto"/>
        <w:rPr>
          <w:sz w:val="20"/>
          <w:szCs w:val="20"/>
          <w:color w:val="auto"/>
        </w:rPr>
      </w:pPr>
      <w:r>
        <w:rPr>
          <w:rFonts w:ascii="Times New Roman" w:cs="Times New Roman" w:eastAsia="Times New Roman" w:hAnsi="Times New Roman"/>
          <w:sz w:val="20"/>
          <w:szCs w:val="20"/>
          <w:color w:val="auto"/>
        </w:rPr>
        <w:t>The charters of the Board committees clearly establish their respective roles and responsibilities. The Company has a Corporate Ethics Committee, ethics officers at each operating location and an</w:t>
      </w:r>
    </w:p>
    <w:p>
      <w:pPr>
        <w:spacing w:after="0" w:line="1" w:lineRule="exact"/>
        <w:rPr>
          <w:sz w:val="20"/>
          <w:szCs w:val="20"/>
          <w:color w:val="auto"/>
        </w:rPr>
      </w:pPr>
    </w:p>
    <w:p>
      <w:pPr>
        <w:ind w:left="720" w:right="640"/>
        <w:spacing w:after="0" w:line="231" w:lineRule="auto"/>
        <w:rPr>
          <w:sz w:val="20"/>
          <w:szCs w:val="20"/>
          <w:color w:val="auto"/>
        </w:rPr>
      </w:pPr>
      <w:r>
        <w:rPr>
          <w:rFonts w:ascii="Times New Roman" w:cs="Times New Roman" w:eastAsia="Times New Roman" w:hAnsi="Times New Roman"/>
          <w:sz w:val="20"/>
          <w:szCs w:val="20"/>
          <w:color w:val="auto"/>
        </w:rPr>
        <w:t xml:space="preserve">ombudsman hot line available to all domestic employees and all foreign employees have local ethics </w:t>
      </w:r>
      <w:r>
        <w:rPr>
          <w:rFonts w:ascii="Arial" w:cs="Arial" w:eastAsia="Arial" w:hAnsi="Arial"/>
          <w:sz w:val="20"/>
          <w:szCs w:val="20"/>
          <w:color w:val="auto"/>
        </w:rPr>
        <w:t>officers and access to the Company’s ombudsman.</w:t>
      </w:r>
    </w:p>
    <w:p>
      <w:pPr>
        <w:spacing w:after="0" w:line="1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The Company has a strong financial team, from its executive leadership to each of its individual contributors. Management monitors compliance with its financial policies and practices over critical areas including internal controls, financial accounting and reporting, accountability, and safeguarding of its corporate assets. The internal audit function maintains oversight over the key areas of the business and financial processes and controls, and reports directly to the Audit and Finance Committee. Additionally, all employees are required to adhere to the ESCO Code of Business Conduct and Ethics, which is monitored by the Corporate Ethics Committee.</w:t>
      </w:r>
    </w:p>
    <w:p>
      <w:pPr>
        <w:spacing w:after="0" w:line="13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Management is dedicated to ensuring that the standards of financial accounting and reporting that are established are </w:t>
      </w:r>
      <w:r>
        <w:rPr>
          <w:rFonts w:ascii="Arial" w:cs="Arial" w:eastAsia="Arial" w:hAnsi="Arial"/>
          <w:sz w:val="18"/>
          <w:szCs w:val="18"/>
          <w:color w:val="auto"/>
        </w:rPr>
        <w:t>maintained. The Company’s culture demands integrity and a commitment to strong internal practices and policies.</w:t>
      </w:r>
    </w:p>
    <w:p>
      <w:pPr>
        <w:spacing w:after="0" w:line="94"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0"/>
          <w:szCs w:val="20"/>
          <w:color w:val="auto"/>
        </w:rPr>
        <w:t>The Consolidated Financial Statements have been audited by Grant Thornton LLP and KPMG LLP, whose reports are included herein.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29, 2023</w:t>
      </w:r>
    </w:p>
    <w:p>
      <w:pPr>
        <w:sectPr>
          <w:pgSz w:w="12240" w:h="15840" w:orient="portrait"/>
          <w:cols w:equalWidth="0" w:num="1">
            <w:col w:w="9500"/>
          </w:cols>
          <w:pgMar w:left="1440" w:top="1439" w:right="1300" w:bottom="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/s/Bryan H. Sayler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/s/Christopher L. Tucker</w:t>
      </w:r>
    </w:p>
    <w:p>
      <w:pPr>
        <w:spacing w:after="0" w:line="120" w:lineRule="exact"/>
        <w:rPr>
          <w:sz w:val="20"/>
          <w:szCs w:val="20"/>
          <w:color w:val="auto"/>
        </w:rPr>
      </w:pPr>
    </w:p>
    <w:p>
      <w:pPr>
        <w:sectPr>
          <w:pgSz w:w="12240" w:h="15840" w:orient="portrait"/>
          <w:cols w:equalWidth="0" w:num="2">
            <w:col w:w="2880" w:space="720"/>
            <w:col w:w="5900"/>
          </w:cols>
          <w:pgMar w:left="1440" w:top="1439" w:right="1300" w:bottom="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Bryan H. Sayler</w:t>
      </w:r>
    </w:p>
    <w:p>
      <w:pPr>
        <w:spacing w:after="0" w:line="235" w:lineRule="auto"/>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Christopher L. Tucker</w:t>
      </w:r>
    </w:p>
    <w:p>
      <w:pPr>
        <w:spacing w:after="0" w:line="235" w:lineRule="auto"/>
        <w:rPr>
          <w:sz w:val="20"/>
          <w:szCs w:val="20"/>
          <w:color w:val="auto"/>
        </w:rPr>
      </w:pPr>
      <w:r>
        <w:rPr>
          <w:rFonts w:ascii="Times New Roman" w:cs="Times New Roman" w:eastAsia="Times New Roman" w:hAnsi="Times New Roman"/>
          <w:sz w:val="20"/>
          <w:szCs w:val="20"/>
          <w:color w:val="auto"/>
        </w:rPr>
        <w:t>Senior Vice President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Chief Financial Officer</w:t>
      </w:r>
    </w:p>
    <w:p>
      <w:pPr>
        <w:spacing w:after="0" w:line="200" w:lineRule="exact"/>
        <w:rPr>
          <w:sz w:val="20"/>
          <w:szCs w:val="20"/>
          <w:color w:val="auto"/>
        </w:rPr>
      </w:pPr>
    </w:p>
    <w:p>
      <w:pPr>
        <w:sectPr>
          <w:pgSz w:w="12240" w:h="15840" w:orient="portrait"/>
          <w:cols w:equalWidth="0" w:num="2">
            <w:col w:w="3060" w:space="540"/>
            <w:col w:w="5900"/>
          </w:cols>
          <w:pgMar w:left="1440" w:top="1439" w:right="13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F-30</w:t>
      </w:r>
    </w:p>
    <w:p>
      <w:pPr>
        <w:sectPr>
          <w:pgSz w:w="12240" w:h="15840" w:orient="portrait"/>
          <w:cols w:equalWidth="0" w:num="1">
            <w:col w:w="9500"/>
          </w:cols>
          <w:pgMar w:left="1440" w:top="1439" w:right="1300" w:bottom="0" w:gutter="0" w:footer="0" w:header="0"/>
          <w:type w:val="continuous"/>
        </w:sectPr>
      </w:pPr>
    </w:p>
    <w:bookmarkStart w:id="71" w:name="page72"/>
    <w:bookmarkEnd w:id="71"/>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607377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extLst>
                    </a:blip>
                    <a:srcRect/>
                    <a:stretch>
                      <a:fillRect/>
                    </a:stretch>
                  </pic:blipFill>
                  <pic:spPr bwMode="auto">
                    <a:xfrm>
                      <a:off x="0" y="0"/>
                      <a:ext cx="6073775" cy="635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p>
      <w:pPr>
        <w:spacing w:after="0" w:line="33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The following exhibits are submitted with and attached to this Form 10-K; exhibit numbers correspond to the exhibit table in Item 601 of Regulation S-K. For a complete list of exhibits including those incorporated by reference, see Item 15(a)(3) of this Form 10-K, above.</w:t>
      </w:r>
    </w:p>
    <w:p>
      <w:pPr>
        <w:spacing w:after="0" w:line="33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b w:val="1"/>
                <w:bCs w:val="1"/>
                <w:color w:val="auto"/>
                <w:w w:val="80"/>
              </w:rPr>
              <w:t>Exhibit No.</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20"/>
                <w:szCs w:val="20"/>
                <w:b w:val="1"/>
                <w:bCs w:val="1"/>
                <w:color w:val="auto"/>
              </w:rPr>
              <w:t>Exhibit</w:t>
            </w:r>
          </w:p>
        </w:tc>
      </w:tr>
      <w:tr>
        <w:trPr>
          <w:trHeight w:val="20"/>
        </w:trPr>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353"/>
        </w:trPr>
        <w:tc>
          <w:tcPr>
            <w:tcW w:w="860" w:type="dxa"/>
            <w:vAlign w:val="bottom"/>
          </w:tcPr>
          <w:p>
            <w:pPr>
              <w:spacing w:after="0"/>
              <w:rPr>
                <w:sz w:val="20"/>
                <w:szCs w:val="20"/>
                <w:color w:val="auto"/>
              </w:rPr>
            </w:pPr>
            <w:r>
              <w:rPr>
                <w:rFonts w:ascii="Arial" w:cs="Arial" w:eastAsia="Arial" w:hAnsi="Arial"/>
                <w:sz w:val="20"/>
                <w:szCs w:val="20"/>
                <w:color w:val="auto"/>
              </w:rPr>
              <w:t>21</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20"/>
                <w:szCs w:val="20"/>
                <w:color w:val="auto"/>
              </w:rPr>
              <w:t>Subsidiaries of the Company</w:t>
            </w:r>
          </w:p>
        </w:tc>
      </w:tr>
      <w:tr>
        <w:trPr>
          <w:trHeight w:val="351"/>
        </w:trPr>
        <w:tc>
          <w:tcPr>
            <w:tcW w:w="860" w:type="dxa"/>
            <w:vAlign w:val="bottom"/>
          </w:tcPr>
          <w:p>
            <w:pPr>
              <w:spacing w:after="0"/>
              <w:rPr>
                <w:sz w:val="20"/>
                <w:szCs w:val="20"/>
                <w:color w:val="auto"/>
              </w:rPr>
            </w:pPr>
            <w:r>
              <w:rPr>
                <w:rFonts w:ascii="Arial" w:cs="Arial" w:eastAsia="Arial" w:hAnsi="Arial"/>
                <w:sz w:val="20"/>
                <w:szCs w:val="20"/>
                <w:color w:val="auto"/>
              </w:rPr>
              <w:t>23.1</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20"/>
                <w:szCs w:val="20"/>
                <w:color w:val="auto"/>
                <w:w w:val="81"/>
              </w:rPr>
              <w:t>Consent of Independent Registered Public Accounting Firm (Grant Thornton LLP)</w:t>
            </w:r>
          </w:p>
        </w:tc>
      </w:tr>
      <w:tr>
        <w:trPr>
          <w:trHeight w:val="350"/>
        </w:trPr>
        <w:tc>
          <w:tcPr>
            <w:tcW w:w="860" w:type="dxa"/>
            <w:vAlign w:val="bottom"/>
          </w:tcPr>
          <w:p>
            <w:pPr>
              <w:spacing w:after="0"/>
              <w:rPr>
                <w:sz w:val="20"/>
                <w:szCs w:val="20"/>
                <w:color w:val="auto"/>
              </w:rPr>
            </w:pPr>
            <w:r>
              <w:rPr>
                <w:rFonts w:ascii="Arial" w:cs="Arial" w:eastAsia="Arial" w:hAnsi="Arial"/>
                <w:sz w:val="20"/>
                <w:szCs w:val="20"/>
                <w:color w:val="auto"/>
              </w:rPr>
              <w:t>23.2</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20"/>
                <w:szCs w:val="20"/>
                <w:color w:val="auto"/>
                <w:w w:val="91"/>
              </w:rPr>
              <w:t>Consent of Independent Registered Public Accounting Firm (KPMG LLP)</w:t>
            </w:r>
          </w:p>
        </w:tc>
      </w:tr>
      <w:tr>
        <w:trPr>
          <w:trHeight w:val="346"/>
        </w:trPr>
        <w:tc>
          <w:tcPr>
            <w:tcW w:w="860" w:type="dxa"/>
            <w:vAlign w:val="bottom"/>
          </w:tcPr>
          <w:p>
            <w:pPr>
              <w:spacing w:after="0"/>
              <w:rPr>
                <w:sz w:val="20"/>
                <w:szCs w:val="20"/>
                <w:color w:val="auto"/>
              </w:rPr>
            </w:pPr>
            <w:r>
              <w:rPr>
                <w:rFonts w:ascii="Arial" w:cs="Arial" w:eastAsia="Arial" w:hAnsi="Arial"/>
                <w:sz w:val="20"/>
                <w:szCs w:val="20"/>
                <w:color w:val="auto"/>
              </w:rPr>
              <w:t>31.1</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20"/>
                <w:szCs w:val="20"/>
                <w:color w:val="auto"/>
              </w:rPr>
              <w:t>Certification of Chief Executive Officer</w:t>
            </w:r>
          </w:p>
        </w:tc>
      </w:tr>
      <w:tr>
        <w:trPr>
          <w:trHeight w:val="350"/>
        </w:trPr>
        <w:tc>
          <w:tcPr>
            <w:tcW w:w="860" w:type="dxa"/>
            <w:vAlign w:val="bottom"/>
          </w:tcPr>
          <w:p>
            <w:pPr>
              <w:spacing w:after="0"/>
              <w:rPr>
                <w:sz w:val="20"/>
                <w:szCs w:val="20"/>
                <w:color w:val="auto"/>
              </w:rPr>
            </w:pPr>
            <w:r>
              <w:rPr>
                <w:rFonts w:ascii="Arial" w:cs="Arial" w:eastAsia="Arial" w:hAnsi="Arial"/>
                <w:sz w:val="20"/>
                <w:szCs w:val="20"/>
                <w:color w:val="auto"/>
              </w:rPr>
              <w:t>31.2</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20"/>
                <w:szCs w:val="20"/>
                <w:color w:val="auto"/>
              </w:rPr>
              <w:t>Certification of Chief Financial Officer</w:t>
            </w:r>
          </w:p>
        </w:tc>
      </w:tr>
      <w:tr>
        <w:trPr>
          <w:trHeight w:val="350"/>
        </w:trPr>
        <w:tc>
          <w:tcPr>
            <w:tcW w:w="860" w:type="dxa"/>
            <w:vAlign w:val="bottom"/>
          </w:tcPr>
          <w:p>
            <w:pPr>
              <w:spacing w:after="0"/>
              <w:rPr>
                <w:sz w:val="20"/>
                <w:szCs w:val="20"/>
                <w:color w:val="auto"/>
              </w:rPr>
            </w:pPr>
            <w:r>
              <w:rPr>
                <w:rFonts w:ascii="Arial" w:cs="Arial" w:eastAsia="Arial" w:hAnsi="Arial"/>
                <w:sz w:val="20"/>
                <w:szCs w:val="20"/>
                <w:color w:val="auto"/>
              </w:rPr>
              <w:t>32</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Certification of Chief Executive Officer and Chief Financial Officer</w:t>
            </w:r>
          </w:p>
        </w:tc>
      </w:tr>
      <w:tr>
        <w:trPr>
          <w:trHeight w:val="351"/>
        </w:trPr>
        <w:tc>
          <w:tcPr>
            <w:tcW w:w="1040" w:type="dxa"/>
            <w:vAlign w:val="bottom"/>
            <w:gridSpan w:val="2"/>
          </w:tcPr>
          <w:p>
            <w:pPr>
              <w:spacing w:after="0"/>
              <w:rPr>
                <w:sz w:val="20"/>
                <w:szCs w:val="20"/>
                <w:color w:val="auto"/>
              </w:rPr>
            </w:pPr>
            <w:r>
              <w:rPr>
                <w:rFonts w:ascii="Arial" w:cs="Arial" w:eastAsia="Arial" w:hAnsi="Arial"/>
                <w:sz w:val="20"/>
                <w:szCs w:val="20"/>
                <w:color w:val="auto"/>
              </w:rPr>
              <w:t>101.INS</w:t>
            </w: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Inline XBRL Instance Document</w:t>
            </w:r>
          </w:p>
        </w:tc>
      </w:tr>
      <w:tr>
        <w:trPr>
          <w:trHeight w:val="350"/>
        </w:trPr>
        <w:tc>
          <w:tcPr>
            <w:tcW w:w="1040" w:type="dxa"/>
            <w:vAlign w:val="bottom"/>
            <w:gridSpan w:val="2"/>
          </w:tcPr>
          <w:p>
            <w:pPr>
              <w:spacing w:after="0"/>
              <w:rPr>
                <w:sz w:val="20"/>
                <w:szCs w:val="20"/>
                <w:color w:val="auto"/>
              </w:rPr>
            </w:pPr>
            <w:r>
              <w:rPr>
                <w:rFonts w:ascii="Arial" w:cs="Arial" w:eastAsia="Arial" w:hAnsi="Arial"/>
                <w:sz w:val="20"/>
                <w:szCs w:val="20"/>
                <w:color w:val="auto"/>
              </w:rPr>
              <w:t>101.SCH</w:t>
            </w: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Inline XBRL Schema Document</w:t>
            </w:r>
          </w:p>
        </w:tc>
      </w:tr>
      <w:tr>
        <w:trPr>
          <w:trHeight w:val="350"/>
        </w:trPr>
        <w:tc>
          <w:tcPr>
            <w:tcW w:w="1040" w:type="dxa"/>
            <w:vAlign w:val="bottom"/>
            <w:gridSpan w:val="2"/>
          </w:tcPr>
          <w:p>
            <w:pPr>
              <w:spacing w:after="0"/>
              <w:rPr>
                <w:sz w:val="20"/>
                <w:szCs w:val="20"/>
                <w:color w:val="auto"/>
              </w:rPr>
            </w:pPr>
            <w:r>
              <w:rPr>
                <w:rFonts w:ascii="Arial" w:cs="Arial" w:eastAsia="Arial" w:hAnsi="Arial"/>
                <w:sz w:val="20"/>
                <w:szCs w:val="20"/>
                <w:color w:val="auto"/>
              </w:rPr>
              <w:t>101.CAL</w:t>
            </w: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Inline XBRL Calculation Linkbase Document</w:t>
            </w:r>
          </w:p>
        </w:tc>
      </w:tr>
      <w:tr>
        <w:trPr>
          <w:trHeight w:val="346"/>
        </w:trPr>
        <w:tc>
          <w:tcPr>
            <w:tcW w:w="1040" w:type="dxa"/>
            <w:vAlign w:val="bottom"/>
            <w:gridSpan w:val="2"/>
          </w:tcPr>
          <w:p>
            <w:pPr>
              <w:spacing w:after="0"/>
              <w:rPr>
                <w:sz w:val="20"/>
                <w:szCs w:val="20"/>
                <w:color w:val="auto"/>
              </w:rPr>
            </w:pPr>
            <w:r>
              <w:rPr>
                <w:rFonts w:ascii="Arial" w:cs="Arial" w:eastAsia="Arial" w:hAnsi="Arial"/>
                <w:sz w:val="20"/>
                <w:szCs w:val="20"/>
                <w:color w:val="auto"/>
              </w:rPr>
              <w:t>101.LAB</w:t>
            </w: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Inline XBRL Label Linkbase Document</w:t>
            </w:r>
          </w:p>
        </w:tc>
      </w:tr>
      <w:tr>
        <w:trPr>
          <w:trHeight w:val="351"/>
        </w:trPr>
        <w:tc>
          <w:tcPr>
            <w:tcW w:w="1040" w:type="dxa"/>
            <w:vAlign w:val="bottom"/>
            <w:gridSpan w:val="2"/>
          </w:tcPr>
          <w:p>
            <w:pPr>
              <w:spacing w:after="0"/>
              <w:rPr>
                <w:sz w:val="20"/>
                <w:szCs w:val="20"/>
                <w:color w:val="auto"/>
              </w:rPr>
            </w:pPr>
            <w:r>
              <w:rPr>
                <w:rFonts w:ascii="Arial" w:cs="Arial" w:eastAsia="Arial" w:hAnsi="Arial"/>
                <w:sz w:val="20"/>
                <w:szCs w:val="20"/>
                <w:color w:val="auto"/>
              </w:rPr>
              <w:t>101.PRE</w:t>
            </w: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Inline XBRL Presentation Linkbase Document</w:t>
            </w:r>
          </w:p>
        </w:tc>
      </w:tr>
      <w:tr>
        <w:trPr>
          <w:trHeight w:val="350"/>
        </w:trPr>
        <w:tc>
          <w:tcPr>
            <w:tcW w:w="1040" w:type="dxa"/>
            <w:vAlign w:val="bottom"/>
            <w:gridSpan w:val="2"/>
          </w:tcPr>
          <w:p>
            <w:pPr>
              <w:spacing w:after="0"/>
              <w:rPr>
                <w:sz w:val="20"/>
                <w:szCs w:val="20"/>
                <w:color w:val="auto"/>
              </w:rPr>
            </w:pPr>
            <w:r>
              <w:rPr>
                <w:rFonts w:ascii="Arial" w:cs="Arial" w:eastAsia="Arial" w:hAnsi="Arial"/>
                <w:sz w:val="20"/>
                <w:szCs w:val="20"/>
                <w:color w:val="auto"/>
              </w:rPr>
              <w:t>101.DEF</w:t>
            </w: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Inline XBRL Definition Linkbase Document</w:t>
            </w:r>
          </w:p>
        </w:tc>
      </w:tr>
      <w:tr>
        <w:trPr>
          <w:trHeight w:val="350"/>
        </w:trPr>
        <w:tc>
          <w:tcPr>
            <w:tcW w:w="860" w:type="dxa"/>
            <w:vAlign w:val="bottom"/>
          </w:tcPr>
          <w:p>
            <w:pPr>
              <w:spacing w:after="0"/>
              <w:rPr>
                <w:sz w:val="20"/>
                <w:szCs w:val="20"/>
                <w:color w:val="auto"/>
              </w:rPr>
            </w:pPr>
            <w:r>
              <w:rPr>
                <w:rFonts w:ascii="Arial" w:cs="Arial" w:eastAsia="Arial" w:hAnsi="Arial"/>
                <w:sz w:val="20"/>
                <w:szCs w:val="20"/>
                <w:color w:val="auto"/>
              </w:rPr>
              <w:t>104</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20"/>
                <w:szCs w:val="20"/>
                <w:color w:val="auto"/>
                <w:w w:val="76"/>
              </w:rPr>
              <w:t>**</w:t>
            </w:r>
          </w:p>
        </w:tc>
        <w:tc>
          <w:tcPr>
            <w:tcW w:w="5920" w:type="dxa"/>
            <w:vAlign w:val="bottom"/>
            <w:gridSpan w:val="2"/>
          </w:tcPr>
          <w:p>
            <w:pPr>
              <w:spacing w:after="0"/>
              <w:rPr>
                <w:sz w:val="20"/>
                <w:szCs w:val="20"/>
                <w:color w:val="auto"/>
              </w:rPr>
            </w:pPr>
            <w:r>
              <w:rPr>
                <w:rFonts w:ascii="Arial" w:cs="Arial" w:eastAsia="Arial" w:hAnsi="Arial"/>
                <w:sz w:val="20"/>
                <w:szCs w:val="20"/>
                <w:color w:val="auto"/>
              </w:rPr>
              <w:t>Cover Page Inline Interactive Data File (contained in Exhibit 101)</w:t>
            </w:r>
          </w:p>
        </w:tc>
      </w:tr>
    </w:tbl>
    <w:p>
      <w:pPr>
        <w:spacing w:after="0" w:line="2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p>
    <w:p>
      <w:pPr>
        <w:spacing w:after="0" w:line="116" w:lineRule="exact"/>
        <w:rPr>
          <w:sz w:val="20"/>
          <w:szCs w:val="20"/>
          <w:color w:val="auto"/>
        </w:rPr>
      </w:pPr>
    </w:p>
    <w:p>
      <w:pPr>
        <w:ind w:left="1080" w:hanging="359"/>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not filed) herewith pursuant to Item 601(b)(32)(ii) of Regulation S-K.</w:t>
      </w:r>
    </w:p>
    <w:p>
      <w:pPr>
        <w:spacing w:after="0" w:line="129" w:lineRule="exact"/>
        <w:rPr>
          <w:rFonts w:ascii="Times New Roman" w:cs="Times New Roman" w:eastAsia="Times New Roman" w:hAnsi="Times New Roman"/>
          <w:sz w:val="20"/>
          <w:szCs w:val="20"/>
          <w:color w:val="auto"/>
        </w:rPr>
      </w:pPr>
    </w:p>
    <w:p>
      <w:pPr>
        <w:ind w:left="1080" w:right="820" w:hanging="359"/>
        <w:spacing w:after="0" w:line="237"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101 and 104 to this report consist of documents formatted in XBRL (Extensible Business Reporting Language) and filed with the Securities and Exchange Commission; they are not included in printed copies of this Report.</w:t>
      </w:r>
    </w:p>
    <w:p>
      <w:pPr>
        <w:sectPr>
          <w:pgSz w:w="12240" w:h="15840" w:orient="portrait"/>
          <w:cols w:equalWidth="0" w:num="1">
            <w:col w:w="9360"/>
          </w:cols>
          <w:pgMar w:left="1440" w:top="1440" w:right="1440"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20"/>
          <w:szCs w:val="20"/>
          <w:b w:val="1"/>
          <w:bCs w:val="1"/>
          <w:u w:val="single" w:color="auto"/>
          <w:color w:val="auto"/>
        </w:rPr>
        <w:t>EXHIBIT 21</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Subsidiaries of ESCO Technologies Inc.</w:t>
      </w:r>
    </w:p>
    <w:p>
      <w:pPr>
        <w:spacing w:after="0" w:line="25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 xml:space="preserve">The following list omits </w:t>
      </w:r>
      <w:r>
        <w:rPr>
          <w:rFonts w:ascii="Arial" w:cs="Arial" w:eastAsia="Arial" w:hAnsi="Arial"/>
          <w:sz w:val="20"/>
          <w:szCs w:val="20"/>
          <w:color w:val="auto"/>
        </w:rPr>
        <w:t>certain of the Company’s subsidiaries which, if considered in the aggregate as a single</w:t>
      </w:r>
      <w:r>
        <w:rPr>
          <w:rFonts w:ascii="Times New Roman" w:cs="Times New Roman" w:eastAsia="Times New Roman" w:hAnsi="Times New Roman"/>
          <w:sz w:val="20"/>
          <w:szCs w:val="20"/>
          <w:color w:val="auto"/>
        </w:rPr>
        <w:t xml:space="preserve"> subsidiary, would not, as of the end of the year covered by this Report, </w:t>
      </w:r>
      <w:r>
        <w:rPr>
          <w:rFonts w:ascii="Arial" w:cs="Arial" w:eastAsia="Arial" w:hAnsi="Arial"/>
          <w:sz w:val="20"/>
          <w:szCs w:val="20"/>
          <w:color w:val="auto"/>
        </w:rPr>
        <w:t>constitute a “significant subsidiary”</w:t>
      </w:r>
      <w:r>
        <w:rPr>
          <w:rFonts w:ascii="Times New Roman" w:cs="Times New Roman" w:eastAsia="Times New Roman" w:hAnsi="Times New Roman"/>
          <w:sz w:val="20"/>
          <w:szCs w:val="20"/>
          <w:color w:val="auto"/>
        </w:rPr>
        <w:t xml:space="preserve"> as defined in SEC Regulation S-X.</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rPr>
              <w:t>State or Jurisdiction</w:t>
            </w: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rPr>
              <w:t>of Incorporation</w:t>
            </w:r>
          </w:p>
        </w:tc>
        <w:tc>
          <w:tcPr>
            <w:tcW w:w="1880" w:type="dxa"/>
            <w:vAlign w:val="bottom"/>
            <w:gridSpan w:val="2"/>
          </w:tcPr>
          <w:p>
            <w:pPr>
              <w:spacing w:after="0"/>
              <w:rPr>
                <w:sz w:val="20"/>
                <w:szCs w:val="20"/>
                <w:color w:val="auto"/>
              </w:rPr>
            </w:pPr>
            <w:r>
              <w:rPr>
                <w:rFonts w:ascii="Arial" w:cs="Arial" w:eastAsia="Arial" w:hAnsi="Arial"/>
                <w:sz w:val="20"/>
                <w:szCs w:val="20"/>
                <w:b w:val="1"/>
                <w:bCs w:val="1"/>
                <w:color w:val="auto"/>
                <w:w w:val="89"/>
              </w:rPr>
              <w:t>Name(s) Under Which</w:t>
            </w:r>
          </w:p>
        </w:tc>
      </w:tr>
      <w:tr>
        <w:trPr>
          <w:trHeight w:val="208"/>
        </w:trPr>
        <w:tc>
          <w:tcPr>
            <w:tcW w:w="460" w:type="dxa"/>
            <w:vAlign w:val="bottom"/>
            <w:tcBorders>
              <w:bottom w:val="single" w:sz="8" w:color="auto"/>
            </w:tcBorders>
          </w:tcPr>
          <w:p>
            <w:pPr>
              <w:spacing w:after="0" w:line="208" w:lineRule="exact"/>
              <w:rPr>
                <w:sz w:val="20"/>
                <w:szCs w:val="20"/>
                <w:color w:val="auto"/>
              </w:rPr>
            </w:pPr>
            <w:r>
              <w:rPr>
                <w:rFonts w:ascii="Arial" w:cs="Arial" w:eastAsia="Arial" w:hAnsi="Arial"/>
                <w:sz w:val="20"/>
                <w:szCs w:val="20"/>
                <w:b w:val="1"/>
                <w:bCs w:val="1"/>
                <w:color w:val="auto"/>
                <w:w w:val="80"/>
              </w:rPr>
              <w:t>Name</w:t>
            </w:r>
          </w:p>
        </w:tc>
        <w:tc>
          <w:tcPr>
            <w:tcW w:w="3740" w:type="dxa"/>
            <w:vAlign w:val="bottom"/>
          </w:tcPr>
          <w:p>
            <w:pPr>
              <w:spacing w:after="0"/>
              <w:rPr>
                <w:sz w:val="18"/>
                <w:szCs w:val="18"/>
                <w:color w:val="auto"/>
              </w:rPr>
            </w:pPr>
          </w:p>
        </w:tc>
        <w:tc>
          <w:tcPr>
            <w:tcW w:w="1220" w:type="dxa"/>
            <w:vAlign w:val="bottom"/>
            <w:tcBorders>
              <w:bottom w:val="single" w:sz="8" w:color="auto"/>
            </w:tcBorders>
          </w:tcPr>
          <w:p>
            <w:pPr>
              <w:spacing w:after="0" w:line="208" w:lineRule="exact"/>
              <w:rPr>
                <w:sz w:val="20"/>
                <w:szCs w:val="20"/>
                <w:color w:val="auto"/>
              </w:rPr>
            </w:pPr>
            <w:r>
              <w:rPr>
                <w:rFonts w:ascii="Arial" w:cs="Arial" w:eastAsia="Arial" w:hAnsi="Arial"/>
                <w:sz w:val="20"/>
                <w:szCs w:val="20"/>
                <w:b w:val="1"/>
                <w:bCs w:val="1"/>
                <w:color w:val="auto"/>
                <w:w w:val="81"/>
              </w:rPr>
              <w:t>or Organization</w:t>
            </w:r>
          </w:p>
        </w:tc>
        <w:tc>
          <w:tcPr>
            <w:tcW w:w="980" w:type="dxa"/>
            <w:vAlign w:val="bottom"/>
          </w:tcPr>
          <w:p>
            <w:pPr>
              <w:spacing w:after="0"/>
              <w:rPr>
                <w:sz w:val="18"/>
                <w:szCs w:val="18"/>
                <w:color w:val="auto"/>
              </w:rPr>
            </w:pPr>
          </w:p>
        </w:tc>
        <w:tc>
          <w:tcPr>
            <w:tcW w:w="1320" w:type="dxa"/>
            <w:vAlign w:val="bottom"/>
            <w:tcBorders>
              <w:bottom w:val="single" w:sz="8" w:color="auto"/>
            </w:tcBorders>
          </w:tcPr>
          <w:p>
            <w:pPr>
              <w:spacing w:after="0" w:line="208" w:lineRule="exact"/>
              <w:rPr>
                <w:sz w:val="20"/>
                <w:szCs w:val="20"/>
                <w:color w:val="auto"/>
              </w:rPr>
            </w:pPr>
            <w:r>
              <w:rPr>
                <w:rFonts w:ascii="Arial" w:cs="Arial" w:eastAsia="Arial" w:hAnsi="Arial"/>
                <w:sz w:val="20"/>
                <w:szCs w:val="20"/>
                <w:b w:val="1"/>
                <w:bCs w:val="1"/>
                <w:color w:val="auto"/>
                <w:w w:val="80"/>
              </w:rPr>
              <w:t>It Does Business</w:t>
            </w:r>
          </w:p>
        </w:tc>
        <w:tc>
          <w:tcPr>
            <w:tcW w:w="560" w:type="dxa"/>
            <w:vAlign w:val="bottom"/>
          </w:tcPr>
          <w:p>
            <w:pPr>
              <w:spacing w:after="0"/>
              <w:rPr>
                <w:sz w:val="18"/>
                <w:szCs w:val="18"/>
                <w:color w:val="auto"/>
              </w:rPr>
            </w:pPr>
          </w:p>
        </w:tc>
      </w:tr>
      <w:tr>
        <w:trPr>
          <w:trHeight w:val="353"/>
        </w:trPr>
        <w:tc>
          <w:tcPr>
            <w:tcW w:w="4200" w:type="dxa"/>
            <w:vAlign w:val="bottom"/>
            <w:gridSpan w:val="2"/>
          </w:tcPr>
          <w:p>
            <w:pPr>
              <w:spacing w:after="0"/>
              <w:rPr>
                <w:sz w:val="20"/>
                <w:szCs w:val="20"/>
                <w:color w:val="auto"/>
              </w:rPr>
            </w:pPr>
            <w:r>
              <w:rPr>
                <w:rFonts w:ascii="Arial" w:cs="Arial" w:eastAsia="Arial" w:hAnsi="Arial"/>
                <w:sz w:val="20"/>
                <w:szCs w:val="20"/>
                <w:color w:val="auto"/>
                <w:w w:val="98"/>
              </w:rPr>
              <w:t>Beijing ETS-Lindgren E.M. Technology Co., Ltd.</w:t>
            </w:r>
          </w:p>
        </w:tc>
        <w:tc>
          <w:tcPr>
            <w:tcW w:w="2200" w:type="dxa"/>
            <w:vAlign w:val="bottom"/>
            <w:gridSpan w:val="2"/>
          </w:tcPr>
          <w:p>
            <w:pPr>
              <w:spacing w:after="0"/>
              <w:rPr>
                <w:sz w:val="20"/>
                <w:szCs w:val="20"/>
                <w:color w:val="auto"/>
              </w:rPr>
            </w:pPr>
            <w:r>
              <w:rPr>
                <w:rFonts w:ascii="Arial" w:cs="Arial" w:eastAsia="Arial" w:hAnsi="Arial"/>
                <w:sz w:val="20"/>
                <w:szCs w:val="20"/>
                <w:color w:val="auto"/>
                <w:w w:val="90"/>
              </w:rPr>
              <w:t>People’s Republic of China</w:t>
            </w:r>
          </w:p>
        </w:tc>
        <w:tc>
          <w:tcPr>
            <w:tcW w:w="1880" w:type="dxa"/>
            <w:vAlign w:val="bottom"/>
            <w:gridSpan w:val="2"/>
          </w:tcPr>
          <w:p>
            <w:pPr>
              <w:spacing w:after="0"/>
              <w:rPr>
                <w:sz w:val="20"/>
                <w:szCs w:val="20"/>
                <w:color w:val="auto"/>
              </w:rPr>
            </w:pPr>
            <w:r>
              <w:rPr>
                <w:rFonts w:ascii="Arial" w:cs="Arial" w:eastAsia="Arial" w:hAnsi="Arial"/>
                <w:sz w:val="20"/>
                <w:szCs w:val="20"/>
                <w:color w:val="auto"/>
                <w:w w:val="81"/>
              </w:rPr>
              <w:t>Same; also ETS-Lindgren</w:t>
            </w:r>
          </w:p>
        </w:tc>
      </w:tr>
      <w:tr>
        <w:trPr>
          <w:trHeight w:val="346"/>
        </w:trPr>
        <w:tc>
          <w:tcPr>
            <w:tcW w:w="4200" w:type="dxa"/>
            <w:vAlign w:val="bottom"/>
            <w:gridSpan w:val="2"/>
          </w:tcPr>
          <w:p>
            <w:pPr>
              <w:spacing w:after="0"/>
              <w:rPr>
                <w:sz w:val="20"/>
                <w:szCs w:val="20"/>
                <w:color w:val="auto"/>
              </w:rPr>
            </w:pPr>
            <w:r>
              <w:rPr>
                <w:rFonts w:ascii="Arial" w:cs="Arial" w:eastAsia="Arial" w:hAnsi="Arial"/>
                <w:sz w:val="20"/>
                <w:szCs w:val="20"/>
                <w:color w:val="auto"/>
              </w:rPr>
              <w:t>Crissair, Inc.</w:t>
            </w:r>
          </w:p>
        </w:tc>
        <w:tc>
          <w:tcPr>
            <w:tcW w:w="2200" w:type="dxa"/>
            <w:vAlign w:val="bottom"/>
            <w:gridSpan w:val="2"/>
          </w:tcPr>
          <w:p>
            <w:pPr>
              <w:spacing w:after="0"/>
              <w:rPr>
                <w:sz w:val="20"/>
                <w:szCs w:val="20"/>
                <w:color w:val="auto"/>
              </w:rPr>
            </w:pPr>
            <w:r>
              <w:rPr>
                <w:rFonts w:ascii="Arial" w:cs="Arial" w:eastAsia="Arial" w:hAnsi="Arial"/>
                <w:sz w:val="20"/>
                <w:szCs w:val="20"/>
                <w:color w:val="auto"/>
              </w:rPr>
              <w:t>California</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Doble Engineering Company</w:t>
            </w:r>
          </w:p>
        </w:tc>
        <w:tc>
          <w:tcPr>
            <w:tcW w:w="2200" w:type="dxa"/>
            <w:vAlign w:val="bottom"/>
            <w:gridSpan w:val="2"/>
          </w:tcPr>
          <w:p>
            <w:pPr>
              <w:spacing w:after="0"/>
              <w:rPr>
                <w:sz w:val="20"/>
                <w:szCs w:val="20"/>
                <w:color w:val="auto"/>
              </w:rPr>
            </w:pPr>
            <w:r>
              <w:rPr>
                <w:rFonts w:ascii="Arial" w:cs="Arial" w:eastAsia="Arial" w:hAnsi="Arial"/>
                <w:sz w:val="20"/>
                <w:szCs w:val="20"/>
                <w:color w:val="auto"/>
              </w:rPr>
              <w:t>Massachusetts</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Doble PowerTest Limited</w:t>
            </w:r>
          </w:p>
        </w:tc>
        <w:tc>
          <w:tcPr>
            <w:tcW w:w="2200" w:type="dxa"/>
            <w:vAlign w:val="bottom"/>
            <w:gridSpan w:val="2"/>
          </w:tcPr>
          <w:p>
            <w:pPr>
              <w:spacing w:after="0"/>
              <w:rPr>
                <w:sz w:val="20"/>
                <w:szCs w:val="20"/>
                <w:color w:val="auto"/>
              </w:rPr>
            </w:pPr>
            <w:r>
              <w:rPr>
                <w:rFonts w:ascii="Arial" w:cs="Arial" w:eastAsia="Arial" w:hAnsi="Arial"/>
                <w:sz w:val="20"/>
                <w:szCs w:val="20"/>
                <w:color w:val="auto"/>
              </w:rPr>
              <w:t>United Kingdom</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1"/>
        </w:trPr>
        <w:tc>
          <w:tcPr>
            <w:tcW w:w="4200" w:type="dxa"/>
            <w:vAlign w:val="bottom"/>
            <w:gridSpan w:val="2"/>
          </w:tcPr>
          <w:p>
            <w:pPr>
              <w:spacing w:after="0"/>
              <w:rPr>
                <w:sz w:val="20"/>
                <w:szCs w:val="20"/>
                <w:color w:val="auto"/>
              </w:rPr>
            </w:pPr>
            <w:r>
              <w:rPr>
                <w:rFonts w:ascii="Arial" w:cs="Arial" w:eastAsia="Arial" w:hAnsi="Arial"/>
                <w:sz w:val="20"/>
                <w:szCs w:val="20"/>
                <w:color w:val="auto"/>
              </w:rPr>
              <w:t>ESCO International Holding Inc.</w:t>
            </w:r>
          </w:p>
        </w:tc>
        <w:tc>
          <w:tcPr>
            <w:tcW w:w="220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ESCO Technologies Holding LLC</w:t>
            </w:r>
          </w:p>
        </w:tc>
        <w:tc>
          <w:tcPr>
            <w:tcW w:w="220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46"/>
        </w:trPr>
        <w:tc>
          <w:tcPr>
            <w:tcW w:w="4200" w:type="dxa"/>
            <w:vAlign w:val="bottom"/>
            <w:gridSpan w:val="2"/>
          </w:tcPr>
          <w:p>
            <w:pPr>
              <w:spacing w:after="0"/>
              <w:rPr>
                <w:sz w:val="20"/>
                <w:szCs w:val="20"/>
                <w:color w:val="auto"/>
              </w:rPr>
            </w:pPr>
            <w:r>
              <w:rPr>
                <w:rFonts w:ascii="Arial" w:cs="Arial" w:eastAsia="Arial" w:hAnsi="Arial"/>
                <w:sz w:val="20"/>
                <w:szCs w:val="20"/>
                <w:color w:val="auto"/>
              </w:rPr>
              <w:t>ESCO UK Global Holdings Ltd</w:t>
            </w:r>
          </w:p>
        </w:tc>
        <w:tc>
          <w:tcPr>
            <w:tcW w:w="2200" w:type="dxa"/>
            <w:vAlign w:val="bottom"/>
            <w:gridSpan w:val="2"/>
          </w:tcPr>
          <w:p>
            <w:pPr>
              <w:spacing w:after="0"/>
              <w:rPr>
                <w:sz w:val="20"/>
                <w:szCs w:val="20"/>
                <w:color w:val="auto"/>
              </w:rPr>
            </w:pPr>
            <w:r>
              <w:rPr>
                <w:rFonts w:ascii="Arial" w:cs="Arial" w:eastAsia="Arial" w:hAnsi="Arial"/>
                <w:sz w:val="20"/>
                <w:szCs w:val="20"/>
                <w:color w:val="auto"/>
              </w:rPr>
              <w:t>United Kingdom</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ETS-Lindgren Inc.</w:t>
            </w:r>
          </w:p>
        </w:tc>
        <w:tc>
          <w:tcPr>
            <w:tcW w:w="2200" w:type="dxa"/>
            <w:vAlign w:val="bottom"/>
            <w:gridSpan w:val="2"/>
          </w:tcPr>
          <w:p>
            <w:pPr>
              <w:spacing w:after="0"/>
              <w:rPr>
                <w:sz w:val="20"/>
                <w:szCs w:val="20"/>
                <w:color w:val="auto"/>
              </w:rPr>
            </w:pPr>
            <w:r>
              <w:rPr>
                <w:rFonts w:ascii="Arial" w:cs="Arial" w:eastAsia="Arial" w:hAnsi="Arial"/>
                <w:sz w:val="20"/>
                <w:szCs w:val="20"/>
                <w:color w:val="auto"/>
              </w:rPr>
              <w:t>Illinois</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1"/>
        </w:trPr>
        <w:tc>
          <w:tcPr>
            <w:tcW w:w="4200" w:type="dxa"/>
            <w:vAlign w:val="bottom"/>
            <w:gridSpan w:val="2"/>
          </w:tcPr>
          <w:p>
            <w:pPr>
              <w:spacing w:after="0"/>
              <w:rPr>
                <w:sz w:val="20"/>
                <w:szCs w:val="20"/>
                <w:color w:val="auto"/>
              </w:rPr>
            </w:pPr>
            <w:r>
              <w:rPr>
                <w:rFonts w:ascii="Arial" w:cs="Arial" w:eastAsia="Arial" w:hAnsi="Arial"/>
                <w:sz w:val="20"/>
                <w:szCs w:val="20"/>
                <w:color w:val="auto"/>
              </w:rPr>
              <w:t>ETS-Lindgren OY</w:t>
            </w:r>
          </w:p>
        </w:tc>
        <w:tc>
          <w:tcPr>
            <w:tcW w:w="2200" w:type="dxa"/>
            <w:vAlign w:val="bottom"/>
            <w:gridSpan w:val="2"/>
          </w:tcPr>
          <w:p>
            <w:pPr>
              <w:spacing w:after="0"/>
              <w:rPr>
                <w:sz w:val="20"/>
                <w:szCs w:val="20"/>
                <w:color w:val="auto"/>
              </w:rPr>
            </w:pPr>
            <w:r>
              <w:rPr>
                <w:rFonts w:ascii="Arial" w:cs="Arial" w:eastAsia="Arial" w:hAnsi="Arial"/>
                <w:sz w:val="20"/>
                <w:szCs w:val="20"/>
                <w:color w:val="auto"/>
              </w:rPr>
              <w:t>Finland</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ETS-Lindgren Technology (Tianjin) Co., Ltd.</w:t>
            </w:r>
          </w:p>
        </w:tc>
        <w:tc>
          <w:tcPr>
            <w:tcW w:w="2200" w:type="dxa"/>
            <w:vAlign w:val="bottom"/>
            <w:gridSpan w:val="2"/>
          </w:tcPr>
          <w:p>
            <w:pPr>
              <w:spacing w:after="0"/>
              <w:rPr>
                <w:sz w:val="20"/>
                <w:szCs w:val="20"/>
                <w:color w:val="auto"/>
              </w:rPr>
            </w:pPr>
            <w:r>
              <w:rPr>
                <w:rFonts w:ascii="Arial" w:cs="Arial" w:eastAsia="Arial" w:hAnsi="Arial"/>
                <w:sz w:val="20"/>
                <w:szCs w:val="20"/>
                <w:color w:val="auto"/>
                <w:w w:val="90"/>
              </w:rPr>
              <w:t>People’s Republic of China</w:t>
            </w:r>
          </w:p>
        </w:tc>
        <w:tc>
          <w:tcPr>
            <w:tcW w:w="1880" w:type="dxa"/>
            <w:vAlign w:val="bottom"/>
            <w:gridSpan w:val="2"/>
          </w:tcPr>
          <w:p>
            <w:pPr>
              <w:spacing w:after="0"/>
              <w:rPr>
                <w:sz w:val="20"/>
                <w:szCs w:val="20"/>
                <w:color w:val="auto"/>
              </w:rPr>
            </w:pPr>
            <w:r>
              <w:rPr>
                <w:rFonts w:ascii="Arial" w:cs="Arial" w:eastAsia="Arial" w:hAnsi="Arial"/>
                <w:sz w:val="20"/>
                <w:szCs w:val="20"/>
                <w:color w:val="auto"/>
                <w:w w:val="81"/>
              </w:rPr>
              <w:t>Same; also ETS-Lindgren</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Globe Composite Solutions, LLC</w:t>
            </w:r>
          </w:p>
        </w:tc>
        <w:tc>
          <w:tcPr>
            <w:tcW w:w="220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I.S.A. – Altanova Group S.r.l.</w:t>
            </w:r>
          </w:p>
        </w:tc>
        <w:tc>
          <w:tcPr>
            <w:tcW w:w="2200" w:type="dxa"/>
            <w:vAlign w:val="bottom"/>
            <w:gridSpan w:val="2"/>
          </w:tcPr>
          <w:p>
            <w:pPr>
              <w:spacing w:after="0"/>
              <w:rPr>
                <w:sz w:val="20"/>
                <w:szCs w:val="20"/>
                <w:color w:val="auto"/>
              </w:rPr>
            </w:pPr>
            <w:r>
              <w:rPr>
                <w:rFonts w:ascii="Arial" w:cs="Arial" w:eastAsia="Arial" w:hAnsi="Arial"/>
                <w:sz w:val="20"/>
                <w:szCs w:val="20"/>
                <w:color w:val="auto"/>
              </w:rPr>
              <w:t>Italy</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 also Altanova</w:t>
            </w:r>
          </w:p>
        </w:tc>
      </w:tr>
      <w:tr>
        <w:trPr>
          <w:trHeight w:val="346"/>
        </w:trPr>
        <w:tc>
          <w:tcPr>
            <w:tcW w:w="4200" w:type="dxa"/>
            <w:vAlign w:val="bottom"/>
            <w:gridSpan w:val="2"/>
          </w:tcPr>
          <w:p>
            <w:pPr>
              <w:spacing w:after="0"/>
              <w:rPr>
                <w:sz w:val="20"/>
                <w:szCs w:val="20"/>
                <w:color w:val="auto"/>
              </w:rPr>
            </w:pPr>
            <w:r>
              <w:rPr>
                <w:rFonts w:ascii="Arial" w:cs="Arial" w:eastAsia="Arial" w:hAnsi="Arial"/>
                <w:sz w:val="20"/>
                <w:szCs w:val="20"/>
                <w:color w:val="auto"/>
              </w:rPr>
              <w:t>Mayday Manufacturing Co.</w:t>
            </w:r>
          </w:p>
        </w:tc>
        <w:tc>
          <w:tcPr>
            <w:tcW w:w="2200" w:type="dxa"/>
            <w:vAlign w:val="bottom"/>
            <w:gridSpan w:val="2"/>
          </w:tcPr>
          <w:p>
            <w:pPr>
              <w:spacing w:after="0"/>
              <w:rPr>
                <w:sz w:val="20"/>
                <w:szCs w:val="20"/>
                <w:color w:val="auto"/>
              </w:rPr>
            </w:pPr>
            <w:r>
              <w:rPr>
                <w:rFonts w:ascii="Arial" w:cs="Arial" w:eastAsia="Arial" w:hAnsi="Arial"/>
                <w:sz w:val="20"/>
                <w:szCs w:val="20"/>
                <w:color w:val="auto"/>
              </w:rPr>
              <w:t>Texas</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1"/>
        </w:trPr>
        <w:tc>
          <w:tcPr>
            <w:tcW w:w="4200" w:type="dxa"/>
            <w:vAlign w:val="bottom"/>
            <w:gridSpan w:val="2"/>
          </w:tcPr>
          <w:p>
            <w:pPr>
              <w:spacing w:after="0"/>
              <w:rPr>
                <w:sz w:val="20"/>
                <w:szCs w:val="20"/>
                <w:color w:val="auto"/>
              </w:rPr>
            </w:pPr>
            <w:r>
              <w:rPr>
                <w:rFonts w:ascii="Arial" w:cs="Arial" w:eastAsia="Arial" w:hAnsi="Arial"/>
                <w:sz w:val="20"/>
                <w:szCs w:val="20"/>
                <w:color w:val="auto"/>
              </w:rPr>
              <w:t>Morgan Schaffer Ltd.</w:t>
            </w:r>
          </w:p>
        </w:tc>
        <w:tc>
          <w:tcPr>
            <w:tcW w:w="2200" w:type="dxa"/>
            <w:vAlign w:val="bottom"/>
            <w:gridSpan w:val="2"/>
          </w:tcPr>
          <w:p>
            <w:pPr>
              <w:spacing w:after="0"/>
              <w:rPr>
                <w:sz w:val="20"/>
                <w:szCs w:val="20"/>
                <w:color w:val="auto"/>
              </w:rPr>
            </w:pPr>
            <w:r>
              <w:rPr>
                <w:rFonts w:ascii="Arial" w:cs="Arial" w:eastAsia="Arial" w:hAnsi="Arial"/>
                <w:sz w:val="20"/>
                <w:szCs w:val="20"/>
                <w:color w:val="auto"/>
              </w:rPr>
              <w:t>Quebec, Canada</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NRG Systems, Inc.</w:t>
            </w:r>
          </w:p>
        </w:tc>
        <w:tc>
          <w:tcPr>
            <w:tcW w:w="2200" w:type="dxa"/>
            <w:vAlign w:val="bottom"/>
            <w:gridSpan w:val="2"/>
          </w:tcPr>
          <w:p>
            <w:pPr>
              <w:spacing w:after="0"/>
              <w:rPr>
                <w:sz w:val="20"/>
                <w:szCs w:val="20"/>
                <w:color w:val="auto"/>
              </w:rPr>
            </w:pPr>
            <w:r>
              <w:rPr>
                <w:rFonts w:ascii="Arial" w:cs="Arial" w:eastAsia="Arial" w:hAnsi="Arial"/>
                <w:sz w:val="20"/>
                <w:szCs w:val="20"/>
                <w:color w:val="auto"/>
              </w:rPr>
              <w:t>Vermont</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PTI Technologies Inc.</w:t>
            </w:r>
          </w:p>
        </w:tc>
        <w:tc>
          <w:tcPr>
            <w:tcW w:w="2200" w:type="dxa"/>
            <w:vAlign w:val="bottom"/>
            <w:gridSpan w:val="2"/>
          </w:tcPr>
          <w:p>
            <w:pPr>
              <w:spacing w:after="0"/>
              <w:rPr>
                <w:sz w:val="20"/>
                <w:szCs w:val="20"/>
                <w:color w:val="auto"/>
              </w:rPr>
            </w:pPr>
            <w:r>
              <w:rPr>
                <w:rFonts w:ascii="Arial" w:cs="Arial" w:eastAsia="Arial" w:hAnsi="Arial"/>
                <w:sz w:val="20"/>
                <w:szCs w:val="20"/>
                <w:color w:val="auto"/>
              </w:rPr>
              <w:t>Delaware</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50"/>
        </w:trPr>
        <w:tc>
          <w:tcPr>
            <w:tcW w:w="4200" w:type="dxa"/>
            <w:vAlign w:val="bottom"/>
            <w:gridSpan w:val="2"/>
          </w:tcPr>
          <w:p>
            <w:pPr>
              <w:spacing w:after="0"/>
              <w:rPr>
                <w:sz w:val="20"/>
                <w:szCs w:val="20"/>
                <w:color w:val="auto"/>
              </w:rPr>
            </w:pPr>
            <w:r>
              <w:rPr>
                <w:rFonts w:ascii="Arial" w:cs="Arial" w:eastAsia="Arial" w:hAnsi="Arial"/>
                <w:sz w:val="20"/>
                <w:szCs w:val="20"/>
                <w:color w:val="auto"/>
              </w:rPr>
              <w:t>VACCO Industries</w:t>
            </w:r>
          </w:p>
        </w:tc>
        <w:tc>
          <w:tcPr>
            <w:tcW w:w="2200" w:type="dxa"/>
            <w:vAlign w:val="bottom"/>
            <w:gridSpan w:val="2"/>
          </w:tcPr>
          <w:p>
            <w:pPr>
              <w:spacing w:after="0"/>
              <w:rPr>
                <w:sz w:val="20"/>
                <w:szCs w:val="20"/>
                <w:color w:val="auto"/>
              </w:rPr>
            </w:pPr>
            <w:r>
              <w:rPr>
                <w:rFonts w:ascii="Arial" w:cs="Arial" w:eastAsia="Arial" w:hAnsi="Arial"/>
                <w:sz w:val="20"/>
                <w:szCs w:val="20"/>
                <w:color w:val="auto"/>
              </w:rPr>
              <w:t>California</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r>
        <w:trPr>
          <w:trHeight w:val="346"/>
        </w:trPr>
        <w:tc>
          <w:tcPr>
            <w:tcW w:w="4200" w:type="dxa"/>
            <w:vAlign w:val="bottom"/>
            <w:gridSpan w:val="2"/>
          </w:tcPr>
          <w:p>
            <w:pPr>
              <w:spacing w:after="0"/>
              <w:rPr>
                <w:sz w:val="20"/>
                <w:szCs w:val="20"/>
                <w:color w:val="auto"/>
              </w:rPr>
            </w:pPr>
            <w:r>
              <w:rPr>
                <w:rFonts w:ascii="Arial" w:cs="Arial" w:eastAsia="Arial" w:hAnsi="Arial"/>
                <w:sz w:val="20"/>
                <w:szCs w:val="20"/>
                <w:color w:val="auto"/>
              </w:rPr>
              <w:t>Westland Technologies, Inc.</w:t>
            </w:r>
          </w:p>
        </w:tc>
        <w:tc>
          <w:tcPr>
            <w:tcW w:w="2200" w:type="dxa"/>
            <w:vAlign w:val="bottom"/>
            <w:gridSpan w:val="2"/>
          </w:tcPr>
          <w:p>
            <w:pPr>
              <w:spacing w:after="0"/>
              <w:rPr>
                <w:sz w:val="20"/>
                <w:szCs w:val="20"/>
                <w:color w:val="auto"/>
              </w:rPr>
            </w:pPr>
            <w:r>
              <w:rPr>
                <w:rFonts w:ascii="Arial" w:cs="Arial" w:eastAsia="Arial" w:hAnsi="Arial"/>
                <w:sz w:val="20"/>
                <w:szCs w:val="20"/>
                <w:color w:val="auto"/>
              </w:rPr>
              <w:t>California</w:t>
            </w:r>
          </w:p>
        </w:tc>
        <w:tc>
          <w:tcPr>
            <w:tcW w:w="1880" w:type="dxa"/>
            <w:vAlign w:val="bottom"/>
            <w:gridSpan w:val="2"/>
          </w:tcPr>
          <w:p>
            <w:pPr>
              <w:spacing w:after="0"/>
              <w:rPr>
                <w:sz w:val="20"/>
                <w:szCs w:val="20"/>
                <w:color w:val="auto"/>
              </w:rPr>
            </w:pPr>
            <w:r>
              <w:rPr>
                <w:rFonts w:ascii="Arial" w:cs="Arial" w:eastAsia="Arial" w:hAnsi="Arial"/>
                <w:sz w:val="20"/>
                <w:szCs w:val="20"/>
                <w:color w:val="auto"/>
              </w:rPr>
              <w:t>Same</w:t>
            </w:r>
          </w:p>
        </w:tc>
      </w:tr>
    </w:tbl>
    <w:p>
      <w:pPr>
        <w:sectPr>
          <w:pgSz w:w="12240" w:h="15840" w:orient="portrait"/>
          <w:cols w:equalWidth="0" w:num="1">
            <w:col w:w="9520"/>
          </w:cols>
          <w:pgMar w:left="1440" w:top="1439" w:right="1280"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u w:val="single" w:color="auto"/>
          <w:color w:val="auto"/>
        </w:rPr>
        <w:t>EXHIBIT 23.1</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4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 xml:space="preserve">We have issued our reports dated November 29, 2023 with respect </w:t>
      </w:r>
      <w:r>
        <w:rPr>
          <w:rFonts w:ascii="Times New Roman" w:cs="Times New Roman" w:eastAsia="Times New Roman" w:hAnsi="Times New Roman"/>
          <w:sz w:val="22"/>
          <w:szCs w:val="22"/>
          <w:color w:val="auto"/>
        </w:rPr>
        <w:t>to the consolidated 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2"/>
          <w:szCs w:val="22"/>
          <w:color w:val="auto"/>
        </w:rPr>
        <w:t xml:space="preserve">internal control over financial reporting included in the Annual Report of ESCO Technologies Inc. on Form 10-K for the year ended September 30, 2023. </w:t>
      </w:r>
      <w:r>
        <w:rPr>
          <w:rFonts w:ascii="Times New Roman" w:cs="Times New Roman" w:eastAsia="Times New Roman" w:hAnsi="Times New Roman"/>
          <w:sz w:val="20"/>
          <w:szCs w:val="20"/>
          <w:color w:val="auto"/>
        </w:rPr>
        <w:t>We consent to the incorporation by reference of said report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the Registration Statements of ESCO Technologies Inc. on Forms S-8 (File No. 333-63930, File No. 333-223029, and File No. 333-231364).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 Louis, Missouri</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29, 2023</w:t>
      </w:r>
    </w:p>
    <w:p>
      <w:pPr>
        <w:sectPr>
          <w:pgSz w:w="12240" w:h="15840" w:orient="portrait"/>
          <w:cols w:equalWidth="0" w:num="1">
            <w:col w:w="9520"/>
          </w:cols>
          <w:pgMar w:left="1440" w:top="1439" w:right="1280"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u w:val="single" w:color="auto"/>
          <w:color w:val="auto"/>
        </w:rPr>
        <w:t>EXHIBIT 23.2</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51" w:lineRule="exact"/>
        <w:rPr>
          <w:sz w:val="20"/>
          <w:szCs w:val="20"/>
          <w:color w:val="auto"/>
        </w:rPr>
      </w:pPr>
    </w:p>
    <w:p>
      <w:pPr>
        <w:ind w:right="860"/>
        <w:spacing w:after="0" w:line="235"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(Nos. 333-63930, 333-223029, 333-231364) on Form S-8 of our report dated November 29, 2021, with respect to the consolidated financial statements of ESCO Technologies Inc.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 Louis, Missouri</w:t>
      </w:r>
    </w:p>
    <w:p>
      <w:pPr>
        <w:spacing w:after="0"/>
        <w:rPr>
          <w:sz w:val="20"/>
          <w:szCs w:val="20"/>
          <w:color w:val="auto"/>
        </w:rPr>
      </w:pPr>
      <w:r>
        <w:rPr>
          <w:rFonts w:ascii="Times New Roman" w:cs="Times New Roman" w:eastAsia="Times New Roman" w:hAnsi="Times New Roman"/>
          <w:sz w:val="20"/>
          <w:szCs w:val="20"/>
          <w:color w:val="auto"/>
        </w:rPr>
        <w:t>November 29, 2023</w:t>
      </w:r>
    </w:p>
    <w:p>
      <w:pPr>
        <w:sectPr>
          <w:pgSz w:w="12240" w:h="15840" w:orient="portrait"/>
          <w:cols w:equalWidth="0" w:num="1">
            <w:col w:w="9520"/>
          </w:cols>
          <w:pgMar w:left="1440" w:top="1439" w:right="1280"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u w:val="single" w:color="auto"/>
          <w:color w:val="auto"/>
        </w:rPr>
        <w:t>EXHIBIT 31.1</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Certification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Bryan H. Sayler, certify that:</w:t>
      </w:r>
    </w:p>
    <w:p>
      <w:pPr>
        <w:spacing w:after="0" w:line="116" w:lineRule="exact"/>
        <w:rPr>
          <w:sz w:val="20"/>
          <w:szCs w:val="20"/>
          <w:color w:val="auto"/>
        </w:rPr>
      </w:pPr>
    </w:p>
    <w:p>
      <w:pPr>
        <w:ind w:left="720" w:hanging="359"/>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ESCO Technologies Inc.;</w:t>
      </w:r>
    </w:p>
    <w:p>
      <w:pPr>
        <w:spacing w:after="0" w:line="129" w:lineRule="exact"/>
        <w:rPr>
          <w:rFonts w:ascii="Times New Roman" w:cs="Times New Roman" w:eastAsia="Times New Roman" w:hAnsi="Times New Roman"/>
          <w:sz w:val="20"/>
          <w:szCs w:val="20"/>
          <w:color w:val="auto"/>
        </w:rPr>
      </w:pPr>
    </w:p>
    <w:p>
      <w:pPr>
        <w:ind w:left="720" w:right="40" w:hanging="359"/>
        <w:spacing w:after="0" w:line="237"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20"/>
          <w:szCs w:val="20"/>
          <w:color w:val="auto"/>
        </w:rPr>
      </w:pPr>
    </w:p>
    <w:p>
      <w:pPr>
        <w:ind w:left="720" w:right="400" w:hanging="359"/>
        <w:spacing w:after="0" w:line="237"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20"/>
          <w:szCs w:val="20"/>
          <w:color w:val="auto"/>
        </w:rPr>
      </w:pPr>
    </w:p>
    <w:p>
      <w:pPr>
        <w:ind w:left="720" w:right="280" w:hanging="359"/>
        <w:spacing w:after="0" w:line="237"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20"/>
          <w:szCs w:val="20"/>
          <w:color w:val="auto"/>
        </w:rPr>
      </w:pPr>
    </w:p>
    <w:p>
      <w:pPr>
        <w:ind w:left="1080" w:right="140" w:hanging="359"/>
        <w:spacing w:after="0" w:line="238" w:lineRule="auto"/>
        <w:tabs>
          <w:tab w:leader="none" w:pos="108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20"/>
          <w:szCs w:val="20"/>
          <w:color w:val="auto"/>
        </w:rPr>
      </w:pPr>
    </w:p>
    <w:p>
      <w:pPr>
        <w:ind w:left="1080" w:right="120" w:hanging="359"/>
        <w:spacing w:after="0" w:line="238" w:lineRule="auto"/>
        <w:tabs>
          <w:tab w:leader="none" w:pos="108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20"/>
          <w:szCs w:val="20"/>
          <w:color w:val="auto"/>
        </w:rPr>
      </w:pPr>
    </w:p>
    <w:p>
      <w:pPr>
        <w:ind w:left="1080" w:right="100" w:hanging="359"/>
        <w:spacing w:after="0" w:line="237" w:lineRule="auto"/>
        <w:tabs>
          <w:tab w:leader="none" w:pos="108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20"/>
          <w:szCs w:val="20"/>
          <w:color w:val="auto"/>
        </w:rPr>
      </w:pPr>
    </w:p>
    <w:p>
      <w:pPr>
        <w:ind w:left="1080" w:right="400" w:hanging="359"/>
        <w:spacing w:after="0" w:line="236" w:lineRule="auto"/>
        <w:tabs>
          <w:tab w:leader="none" w:pos="108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internal control over financial reporting that occurred during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most recent fiscal quarter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fourth fiscal quarter in the case of an annual report) that has materially affected, or is reasonably likely to materially affect,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internal control over financial reporting; and</w:t>
      </w:r>
    </w:p>
    <w:p>
      <w:pPr>
        <w:spacing w:after="0" w:line="129" w:lineRule="exact"/>
        <w:rPr>
          <w:rFonts w:ascii="Times New Roman" w:cs="Times New Roman" w:eastAsia="Times New Roman" w:hAnsi="Times New Roman"/>
          <w:sz w:val="20"/>
          <w:szCs w:val="20"/>
          <w:color w:val="auto"/>
        </w:rPr>
      </w:pPr>
    </w:p>
    <w:p>
      <w:pPr>
        <w:ind w:left="720" w:right="140" w:hanging="359"/>
        <w:spacing w:after="0" w:line="23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other certifying officer and I have disclosed, based on our most recent evaluation of internal control over financial reporting, to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auditors and the audit and finance committee of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board of directors (or persons performing the equivalent functions):</w:t>
      </w:r>
    </w:p>
    <w:p>
      <w:pPr>
        <w:spacing w:after="0" w:line="130" w:lineRule="exact"/>
        <w:rPr>
          <w:rFonts w:ascii="Times New Roman" w:cs="Times New Roman" w:eastAsia="Times New Roman" w:hAnsi="Times New Roman"/>
          <w:sz w:val="20"/>
          <w:szCs w:val="20"/>
          <w:color w:val="auto"/>
        </w:rPr>
      </w:pPr>
    </w:p>
    <w:p>
      <w:pPr>
        <w:ind w:left="1080" w:right="260" w:hanging="359"/>
        <w:spacing w:after="0" w:line="236" w:lineRule="auto"/>
        <w:tabs>
          <w:tab w:leader="none" w:pos="108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ability to record, process, summarize and report financial information; and</w:t>
      </w:r>
    </w:p>
    <w:p>
      <w:pPr>
        <w:spacing w:after="0" w:line="131" w:lineRule="exact"/>
        <w:rPr>
          <w:rFonts w:ascii="Times New Roman" w:cs="Times New Roman" w:eastAsia="Times New Roman" w:hAnsi="Times New Roman"/>
          <w:sz w:val="20"/>
          <w:szCs w:val="20"/>
          <w:color w:val="auto"/>
        </w:rPr>
      </w:pPr>
    </w:p>
    <w:p>
      <w:pPr>
        <w:ind w:left="1080" w:right="920" w:hanging="359"/>
        <w:spacing w:after="0" w:line="235" w:lineRule="auto"/>
        <w:tabs>
          <w:tab w:leader="none" w:pos="108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internal control over financial reporting.</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Date:  November 29, 2023</w:t>
      </w:r>
    </w:p>
    <w:p>
      <w:pPr>
        <w:spacing w:after="0" w:line="200" w:lineRule="exact"/>
        <w:rPr>
          <w:sz w:val="20"/>
          <w:szCs w:val="20"/>
          <w:color w:val="auto"/>
        </w:rPr>
      </w:pPr>
    </w:p>
    <w:p>
      <w:pPr>
        <w:spacing w:after="0" w:line="2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 Bryan H. Sayler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3201670</wp:posOffset>
                </wp:positionH>
                <wp:positionV relativeFrom="paragraph">
                  <wp:posOffset>-8255</wp:posOffset>
                </wp:positionV>
                <wp:extent cx="182943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0.6499pt" to="396.15pt,-0.6499pt" o:allowincell="f" strokecolor="#000000" strokeweight="0.4799pt"/>
            </w:pict>
          </mc:Fallback>
        </mc:AlternateContent>
      </w:r>
    </w:p>
    <w:p>
      <w:pPr>
        <w:ind w:left="5040"/>
        <w:spacing w:after="0"/>
        <w:rPr>
          <w:sz w:val="20"/>
          <w:szCs w:val="20"/>
          <w:color w:val="auto"/>
        </w:rPr>
      </w:pPr>
      <w:r>
        <w:rPr>
          <w:rFonts w:ascii="Times New Roman" w:cs="Times New Roman" w:eastAsia="Times New Roman" w:hAnsi="Times New Roman"/>
          <w:sz w:val="20"/>
          <w:szCs w:val="20"/>
          <w:color w:val="auto"/>
        </w:rPr>
        <w:t>Bryan H. Sayler</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ectPr>
          <w:pgSz w:w="12240" w:h="15840" w:orient="portrait"/>
          <w:cols w:equalWidth="0" w:num="1">
            <w:col w:w="9520"/>
          </w:cols>
          <w:pgMar w:left="1440" w:top="1439" w:right="1280"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u w:val="single" w:color="auto"/>
          <w:color w:val="auto"/>
        </w:rPr>
        <w:t>EXHIBIT 31.2</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Certification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Christopher L. Tucker, certify that:</w:t>
      </w:r>
    </w:p>
    <w:p>
      <w:pPr>
        <w:spacing w:after="0" w:line="116" w:lineRule="exact"/>
        <w:rPr>
          <w:sz w:val="20"/>
          <w:szCs w:val="20"/>
          <w:color w:val="auto"/>
        </w:rPr>
      </w:pPr>
    </w:p>
    <w:p>
      <w:pPr>
        <w:ind w:left="720" w:hanging="359"/>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ESCO Technologies Inc.;</w:t>
      </w:r>
    </w:p>
    <w:p>
      <w:pPr>
        <w:spacing w:after="0" w:line="129" w:lineRule="exact"/>
        <w:rPr>
          <w:rFonts w:ascii="Times New Roman" w:cs="Times New Roman" w:eastAsia="Times New Roman" w:hAnsi="Times New Roman"/>
          <w:sz w:val="20"/>
          <w:szCs w:val="20"/>
          <w:color w:val="auto"/>
        </w:rPr>
      </w:pPr>
    </w:p>
    <w:p>
      <w:pPr>
        <w:ind w:left="720" w:right="40" w:hanging="359"/>
        <w:spacing w:after="0" w:line="237"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20"/>
          <w:szCs w:val="20"/>
          <w:color w:val="auto"/>
        </w:rPr>
      </w:pPr>
    </w:p>
    <w:p>
      <w:pPr>
        <w:ind w:left="720" w:right="400" w:hanging="359"/>
        <w:spacing w:after="0" w:line="237"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20"/>
          <w:szCs w:val="20"/>
          <w:color w:val="auto"/>
        </w:rPr>
      </w:pPr>
    </w:p>
    <w:p>
      <w:pPr>
        <w:ind w:left="720" w:right="280" w:hanging="359"/>
        <w:spacing w:after="0" w:line="237"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20"/>
          <w:szCs w:val="20"/>
          <w:color w:val="auto"/>
        </w:rPr>
      </w:pPr>
    </w:p>
    <w:p>
      <w:pPr>
        <w:ind w:left="1080" w:right="140" w:hanging="359"/>
        <w:spacing w:after="0" w:line="238" w:lineRule="auto"/>
        <w:tabs>
          <w:tab w:leader="none" w:pos="10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20"/>
          <w:szCs w:val="20"/>
          <w:color w:val="auto"/>
        </w:rPr>
      </w:pPr>
    </w:p>
    <w:p>
      <w:pPr>
        <w:ind w:left="1080" w:right="120" w:hanging="359"/>
        <w:spacing w:after="0" w:line="238" w:lineRule="auto"/>
        <w:tabs>
          <w:tab w:leader="none" w:pos="10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20"/>
          <w:szCs w:val="20"/>
          <w:color w:val="auto"/>
        </w:rPr>
      </w:pPr>
    </w:p>
    <w:p>
      <w:pPr>
        <w:ind w:left="1080" w:right="100" w:hanging="359"/>
        <w:spacing w:after="0" w:line="237" w:lineRule="auto"/>
        <w:tabs>
          <w:tab w:leader="none" w:pos="10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20"/>
          <w:szCs w:val="20"/>
          <w:color w:val="auto"/>
        </w:rPr>
      </w:pPr>
    </w:p>
    <w:p>
      <w:pPr>
        <w:ind w:left="1080" w:right="400" w:hanging="359"/>
        <w:spacing w:after="0" w:line="236" w:lineRule="auto"/>
        <w:tabs>
          <w:tab w:leader="none" w:pos="10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internal control over financial reporting that occurred during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most recent fiscal quarter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fourth fiscal quarter in the case of an annual report) that has materially affected, or is reasonably likely to materially affect,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internal control over financial reporting; and</w:t>
      </w:r>
    </w:p>
    <w:p>
      <w:pPr>
        <w:spacing w:after="0" w:line="129" w:lineRule="exact"/>
        <w:rPr>
          <w:rFonts w:ascii="Times New Roman" w:cs="Times New Roman" w:eastAsia="Times New Roman" w:hAnsi="Times New Roman"/>
          <w:sz w:val="20"/>
          <w:szCs w:val="20"/>
          <w:color w:val="auto"/>
        </w:rPr>
      </w:pPr>
    </w:p>
    <w:p>
      <w:pPr>
        <w:ind w:left="720" w:right="140" w:hanging="359"/>
        <w:spacing w:after="0" w:line="23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other certifying officer and I have disclosed, based on our most recent evaluation of internal control over financial reporting, to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auditors and the audit and finance committee of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board of directors (or persons performing the equivalent functions):</w:t>
      </w:r>
    </w:p>
    <w:p>
      <w:pPr>
        <w:spacing w:after="0" w:line="130" w:lineRule="exact"/>
        <w:rPr>
          <w:rFonts w:ascii="Times New Roman" w:cs="Times New Roman" w:eastAsia="Times New Roman" w:hAnsi="Times New Roman"/>
          <w:sz w:val="20"/>
          <w:szCs w:val="20"/>
          <w:color w:val="auto"/>
        </w:rPr>
      </w:pPr>
    </w:p>
    <w:p>
      <w:pPr>
        <w:ind w:left="1080" w:right="280" w:hanging="359"/>
        <w:spacing w:after="0" w:line="236" w:lineRule="auto"/>
        <w:tabs>
          <w:tab w:leader="none" w:pos="10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ability to record, process, summarize and report financial information; and</w:t>
      </w:r>
    </w:p>
    <w:p>
      <w:pPr>
        <w:spacing w:after="0" w:line="131" w:lineRule="exact"/>
        <w:rPr>
          <w:rFonts w:ascii="Times New Roman" w:cs="Times New Roman" w:eastAsia="Times New Roman" w:hAnsi="Times New Roman"/>
          <w:sz w:val="20"/>
          <w:szCs w:val="20"/>
          <w:color w:val="auto"/>
        </w:rPr>
      </w:pPr>
    </w:p>
    <w:p>
      <w:pPr>
        <w:ind w:left="1080" w:right="920" w:hanging="359"/>
        <w:spacing w:after="0" w:line="235" w:lineRule="auto"/>
        <w:tabs>
          <w:tab w:leader="none" w:pos="10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w:t>
      </w:r>
      <w:r>
        <w:rPr>
          <w:rFonts w:ascii="Arial" w:cs="Arial" w:eastAsia="Arial" w:hAnsi="Arial"/>
          <w:sz w:val="20"/>
          <w:szCs w:val="20"/>
          <w:color w:val="auto"/>
        </w:rPr>
        <w:t>’</w:t>
      </w:r>
      <w:r>
        <w:rPr>
          <w:rFonts w:ascii="Times New Roman" w:cs="Times New Roman" w:eastAsia="Times New Roman" w:hAnsi="Times New Roman"/>
          <w:sz w:val="20"/>
          <w:szCs w:val="20"/>
          <w:color w:val="auto"/>
        </w:rPr>
        <w:t>s internal control over financial reporting.</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Date:  November 29, 2023</w:t>
      </w:r>
    </w:p>
    <w:p>
      <w:pPr>
        <w:spacing w:after="0" w:line="200" w:lineRule="exact"/>
        <w:rPr>
          <w:sz w:val="20"/>
          <w:szCs w:val="20"/>
          <w:color w:val="auto"/>
        </w:rPr>
      </w:pPr>
    </w:p>
    <w:p>
      <w:pPr>
        <w:spacing w:after="0" w:line="2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 Christopher L. Tucker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3201670</wp:posOffset>
                </wp:positionH>
                <wp:positionV relativeFrom="paragraph">
                  <wp:posOffset>-8255</wp:posOffset>
                </wp:positionV>
                <wp:extent cx="18294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1pt,-0.6499pt" to="396.15pt,-0.6499pt" o:allowincell="f" strokecolor="#000000" strokeweight="0.4799pt"/>
            </w:pict>
          </mc:Fallback>
        </mc:AlternateContent>
      </w:r>
    </w:p>
    <w:p>
      <w:pPr>
        <w:ind w:left="5040"/>
        <w:spacing w:after="0"/>
        <w:rPr>
          <w:sz w:val="20"/>
          <w:szCs w:val="20"/>
          <w:color w:val="auto"/>
        </w:rPr>
      </w:pPr>
      <w:r>
        <w:rPr>
          <w:rFonts w:ascii="Times New Roman" w:cs="Times New Roman" w:eastAsia="Times New Roman" w:hAnsi="Times New Roman"/>
          <w:sz w:val="20"/>
          <w:szCs w:val="20"/>
          <w:color w:val="auto"/>
        </w:rPr>
        <w:t>Christopher L. Tucker</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ectPr>
          <w:pgSz w:w="12240" w:h="15840" w:orient="portrait"/>
          <w:cols w:equalWidth="0" w:num="1">
            <w:col w:w="9520"/>
          </w:cols>
          <w:pgMar w:left="1440" w:top="1439" w:right="1280"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u w:val="single" w:color="auto"/>
          <w:color w:val="auto"/>
        </w:rPr>
        <w:t>EXHIBIT 32</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Certification</w:t>
      </w:r>
    </w:p>
    <w:p>
      <w:pPr>
        <w:jc w:val="center"/>
        <w:ind w:right="20"/>
        <w:spacing w:after="0" w:line="237" w:lineRule="auto"/>
        <w:rPr>
          <w:sz w:val="20"/>
          <w:szCs w:val="20"/>
          <w:color w:val="auto"/>
        </w:rPr>
      </w:pPr>
      <w:r>
        <w:rPr>
          <w:rFonts w:ascii="Arial" w:cs="Arial" w:eastAsia="Arial" w:hAnsi="Arial"/>
          <w:sz w:val="22"/>
          <w:szCs w:val="22"/>
          <w:b w:val="1"/>
          <w:bCs w:val="1"/>
          <w:color w:val="auto"/>
        </w:rPr>
        <w:t>Pursuant to 18 U.S.C. Section 1350</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Section 906 of the Sarbanes-Oxley Act of 2002</w:t>
      </w:r>
    </w:p>
    <w:p>
      <w:pPr>
        <w:spacing w:after="0" w:line="25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 xml:space="preserve">In connection with the annual report of ESCO Technologies Inc. (the </w:t>
      </w:r>
      <w:r>
        <w:rPr>
          <w:rFonts w:ascii="Arial" w:cs="Arial" w:eastAsia="Arial" w:hAnsi="Arial"/>
          <w:sz w:val="20"/>
          <w:szCs w:val="20"/>
          <w:color w:val="auto"/>
        </w:rPr>
        <w:t>“</w:t>
      </w:r>
      <w:r>
        <w:rPr>
          <w:rFonts w:ascii="Times New Roman" w:cs="Times New Roman" w:eastAsia="Times New Roman" w:hAnsi="Times New Roman"/>
          <w:sz w:val="20"/>
          <w:szCs w:val="20"/>
          <w:color w:val="auto"/>
        </w:rPr>
        <w:t>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on Form 10-K for the period ended September 30, 2023 as filed with the Securities and Exchange Commission on the date hereof (the </w:t>
      </w:r>
      <w:r>
        <w:rPr>
          <w:rFonts w:ascii="Arial" w:cs="Arial" w:eastAsia="Arial" w:hAnsi="Arial"/>
          <w:sz w:val="20"/>
          <w:szCs w:val="20"/>
          <w:color w:val="auto"/>
        </w:rPr>
        <w:t>“</w:t>
      </w:r>
      <w:r>
        <w:rPr>
          <w:rFonts w:ascii="Times New Roman" w:cs="Times New Roman" w:eastAsia="Times New Roman" w:hAnsi="Times New Roman"/>
          <w:sz w:val="20"/>
          <w:szCs w:val="20"/>
          <w:color w:val="auto"/>
        </w:rPr>
        <w:t>Report</w:t>
      </w:r>
      <w:r>
        <w:rPr>
          <w:rFonts w:ascii="Arial" w:cs="Arial" w:eastAsia="Arial" w:hAnsi="Arial"/>
          <w:sz w:val="20"/>
          <w:szCs w:val="20"/>
          <w:color w:val="auto"/>
        </w:rPr>
        <w:t>”</w:t>
      </w:r>
      <w:r>
        <w:rPr>
          <w:rFonts w:ascii="Times New Roman" w:cs="Times New Roman" w:eastAsia="Times New Roman" w:hAnsi="Times New Roman"/>
          <w:sz w:val="20"/>
          <w:szCs w:val="20"/>
          <w:color w:val="auto"/>
        </w:rPr>
        <w:t>), we, Bryan H. Sayler, Chief Executive Officer and President of the Company, and Christopher L. Tucker, Senior Vice President and Chief Financial Officer of the Company, certify, to the best of our knowledge, pursuant to 18 U.S.C. Section 1350, as adopted pursuant to Section 906 of the Sarbanes-Oxley Act of 2002, that:</w:t>
      </w:r>
    </w:p>
    <w:p>
      <w:pPr>
        <w:spacing w:after="0" w:line="130" w:lineRule="exact"/>
        <w:rPr>
          <w:sz w:val="20"/>
          <w:szCs w:val="20"/>
          <w:color w:val="auto"/>
        </w:rPr>
      </w:pPr>
    </w:p>
    <w:p>
      <w:pPr>
        <w:ind w:left="720" w:right="680" w:hanging="359"/>
        <w:spacing w:after="0" w:line="235"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20"/>
          <w:szCs w:val="20"/>
          <w:color w:val="auto"/>
        </w:rPr>
      </w:pPr>
    </w:p>
    <w:p>
      <w:pPr>
        <w:ind w:left="720" w:right="580" w:hanging="359"/>
        <w:spacing w:after="0" w:line="235"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29, 2023</w:t>
      </w:r>
    </w:p>
    <w:p>
      <w:pPr>
        <w:spacing w:after="0" w:line="200" w:lineRule="exact"/>
        <w:rPr>
          <w:sz w:val="20"/>
          <w:szCs w:val="20"/>
          <w:color w:val="auto"/>
        </w:rPr>
      </w:pPr>
    </w:p>
    <w:p>
      <w:pPr>
        <w:spacing w:after="0" w:line="2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/s/ Bryan H. Sayler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2973070</wp:posOffset>
                </wp:positionH>
                <wp:positionV relativeFrom="paragraph">
                  <wp:posOffset>-8255</wp:posOffset>
                </wp:positionV>
                <wp:extent cx="20580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80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1pt,-0.6499pt" to="396.15pt,-0.6499pt" o:allowincell="f" strokecolor="#000000" strokeweight="0.48pt"/>
            </w:pict>
          </mc:Fallback>
        </mc:AlternateContent>
      </w:r>
    </w:p>
    <w:p>
      <w:pPr>
        <w:ind w:left="4680"/>
        <w:spacing w:after="0"/>
        <w:rPr>
          <w:sz w:val="20"/>
          <w:szCs w:val="20"/>
          <w:color w:val="auto"/>
        </w:rPr>
      </w:pPr>
      <w:r>
        <w:rPr>
          <w:rFonts w:ascii="Times New Roman" w:cs="Times New Roman" w:eastAsia="Times New Roman" w:hAnsi="Times New Roman"/>
          <w:sz w:val="20"/>
          <w:szCs w:val="20"/>
          <w:color w:val="auto"/>
        </w:rPr>
        <w:t>Bryan H. Sayler</w:t>
      </w:r>
    </w:p>
    <w:p>
      <w:pPr>
        <w:spacing w:after="0" w:line="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200" w:lineRule="exact"/>
        <w:rPr>
          <w:sz w:val="20"/>
          <w:szCs w:val="20"/>
          <w:color w:val="auto"/>
        </w:rPr>
      </w:pPr>
    </w:p>
    <w:p>
      <w:pPr>
        <w:spacing w:after="0" w:line="26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/s/ Christopher L. Tucker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2973070</wp:posOffset>
                </wp:positionH>
                <wp:positionV relativeFrom="paragraph">
                  <wp:posOffset>-8255</wp:posOffset>
                </wp:positionV>
                <wp:extent cx="20580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80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1pt,-0.6499pt" to="396.15pt,-0.6499pt" o:allowincell="f" strokecolor="#000000" strokeweight="0.48pt"/>
            </w:pict>
          </mc:Fallback>
        </mc:AlternateContent>
      </w:r>
    </w:p>
    <w:p>
      <w:pPr>
        <w:ind w:left="4680"/>
        <w:spacing w:after="0"/>
        <w:rPr>
          <w:sz w:val="20"/>
          <w:szCs w:val="20"/>
          <w:color w:val="auto"/>
        </w:rPr>
      </w:pPr>
      <w:r>
        <w:rPr>
          <w:rFonts w:ascii="Times New Roman" w:cs="Times New Roman" w:eastAsia="Times New Roman" w:hAnsi="Times New Roman"/>
          <w:sz w:val="20"/>
          <w:szCs w:val="20"/>
          <w:color w:val="auto"/>
        </w:rPr>
        <w:t>Christopher L. Tucker</w:t>
      </w:r>
    </w:p>
    <w:p>
      <w:pPr>
        <w:ind w:left="468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ectPr>
          <w:pgSz w:w="12240" w:h="15840" w:orient="portrait"/>
          <w:cols w:equalWidth="0" w:num="1">
            <w:col w:w="9520"/>
          </w:cols>
          <w:pgMar w:left="1440" w:top="1439" w:right="1280" w:bottom="1440" w:gutter="0" w:footer="0" w:header="0"/>
        </w:sectPr>
      </w:pPr>
    </w:p>
    <w:bookmarkStart w:id="78" w:name="page79"/>
    <w:bookmarkEnd w:id="78"/>
    <w:p>
      <w:pPr>
        <w:spacing w:after="0"/>
        <w:rPr>
          <w:sz w:val="20"/>
          <w:szCs w:val="20"/>
          <w:color w:val="auto"/>
        </w:rPr>
      </w:pPr>
      <w:r>
        <w:rPr>
          <w:rFonts w:ascii="Arial" w:cs="Arial" w:eastAsia="Arial" w:hAnsi="Arial"/>
          <w:sz w:val="26"/>
          <w:szCs w:val="26"/>
          <w:b w:val="1"/>
          <w:bCs w:val="1"/>
          <w:color w:val="auto"/>
        </w:rPr>
        <w:t>Shareholders’ Summary</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Annual Meeting</w:t>
      </w:r>
    </w:p>
    <w:p>
      <w:pPr>
        <w:spacing w:after="0" w:line="29" w:lineRule="exact"/>
        <w:rPr>
          <w:sz w:val="20"/>
          <w:szCs w:val="20"/>
          <w:color w:val="auto"/>
        </w:rPr>
      </w:pPr>
    </w:p>
    <w:p>
      <w:pPr>
        <w:spacing w:after="0" w:line="295" w:lineRule="auto"/>
        <w:rPr>
          <w:sz w:val="20"/>
          <w:szCs w:val="20"/>
          <w:color w:val="auto"/>
        </w:rPr>
      </w:pPr>
      <w:r>
        <w:rPr>
          <w:rFonts w:ascii="Arial" w:cs="Arial" w:eastAsia="Arial" w:hAnsi="Arial"/>
          <w:sz w:val="15"/>
          <w:szCs w:val="15"/>
          <w:color w:val="262626"/>
        </w:rPr>
        <w:t>The Annual Meeting of Shareholders of ESCO Technologies Inc. will be held at Renaissance Austin Hotel, 9721 Arboretum Boulevard, Austin, TX 78759 at 8:00 a.m. Central Time on Wednesday, February 7, 2024. You may access this Annual Report as well as the Notice of the meeting and the Proxy Statement on the Company’s Annual Meeting website at www.envisionreports.com/ese.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29" w:lineRule="exact"/>
        <w:rPr>
          <w:sz w:val="20"/>
          <w:szCs w:val="20"/>
          <w:color w:val="auto"/>
        </w:rPr>
      </w:pPr>
    </w:p>
    <w:p>
      <w:pPr>
        <w:spacing w:after="0" w:line="294" w:lineRule="auto"/>
        <w:rPr>
          <w:sz w:val="20"/>
          <w:szCs w:val="20"/>
          <w:color w:val="auto"/>
        </w:rPr>
      </w:pPr>
      <w:r>
        <w:rPr>
          <w:rFonts w:ascii="Arial" w:cs="Arial" w:eastAsia="Arial" w:hAnsi="Arial"/>
          <w:sz w:val="15"/>
          <w:szCs w:val="15"/>
          <w:color w:val="262626"/>
        </w:rPr>
        <w:t>Pursuant to New York Stock Exchange (NYSE) requirements, the Company submitted to the NYSE the annual certifications by the Company’s chief executive officer dated February 6, 2023 and February 7, 2022, that he was not aware of any violations by the Company of NYSE’s corporate governance listing standards. In addition, the Company filed with the Securities and Exchange Commission the certifications by the Company’s chief executive officer and chief financial officer required under Section 302 of the Sarbanes-Oxley Act of 2002 as exhibits to the Company’s Forms 10-K for its fiscal years ended September 30, 2023 and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10-K Report</w:t>
      </w:r>
    </w:p>
    <w:p>
      <w:pPr>
        <w:spacing w:after="0" w:line="29"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262626"/>
        </w:rPr>
        <w:t>The Company’s 2023 Annual Report on Form 10-K as filed with the Securities and Exchange Commission is included in this Annual Report to Shareholders, except that certain of its Exhibits have been omitted. The complete Form 10-K is available on the Company’s website at www.escotechnologies. com, or a copy will be provided to shareholders without charge upon written request to Kate Lowrey, Vice President of Investor Relations, ESCO Technologies Inc., 9900A Clayton Road, St. Louis, MO 63124.</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9" w:lineRule="exact"/>
        <w:rPr>
          <w:sz w:val="20"/>
          <w:szCs w:val="20"/>
          <w:color w:val="auto"/>
        </w:rPr>
      </w:pPr>
    </w:p>
    <w:p>
      <w:pPr>
        <w:ind w:right="560"/>
        <w:spacing w:after="0" w:line="292" w:lineRule="auto"/>
        <w:rPr>
          <w:sz w:val="20"/>
          <w:szCs w:val="20"/>
          <w:color w:val="auto"/>
        </w:rPr>
      </w:pPr>
      <w:r>
        <w:rPr>
          <w:rFonts w:ascii="Arial" w:cs="Arial" w:eastAsia="Arial" w:hAnsi="Arial"/>
          <w:sz w:val="15"/>
          <w:szCs w:val="15"/>
          <w:color w:val="262626"/>
        </w:rPr>
        <w:t>Additional investor-related information may be obtained by contacting ESCO Investor Relations at</w:t>
      </w:r>
    </w:p>
    <w:p>
      <w:pPr>
        <w:ind w:right="480"/>
        <w:spacing w:after="0" w:line="275" w:lineRule="auto"/>
        <w:tabs>
          <w:tab w:leader="none" w:pos="423" w:val="left"/>
        </w:tabs>
        <w:numPr>
          <w:ilvl w:val="0"/>
          <w:numId w:val="30"/>
        </w:numPr>
        <w:rPr>
          <w:rFonts w:ascii="Arial" w:cs="Arial" w:eastAsia="Arial" w:hAnsi="Arial"/>
          <w:sz w:val="16"/>
          <w:szCs w:val="16"/>
          <w:color w:val="262626"/>
        </w:rPr>
      </w:pPr>
      <w:r>
        <w:rPr>
          <w:rFonts w:ascii="Arial" w:cs="Arial" w:eastAsia="Arial" w:hAnsi="Arial"/>
          <w:sz w:val="16"/>
          <w:szCs w:val="16"/>
          <w:color w:val="262626"/>
        </w:rPr>
        <w:t>213-7277 or toll free at (888) 622-3726. Information is also available through the Company’s website at www.escotechnologies.com or via e-mail to klowrey@escotechnologies.com.</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262626"/>
        </w:rPr>
        <w:t>Shareholder inquiries concerning lost certificates, transfer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262626"/>
        </w:rPr>
        <w:t>of shares or address changes should be directed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262626"/>
        </w:rPr>
        <w:t>Computershare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262626"/>
        </w:rPr>
        <w:t>P.O. Box 43006</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262626"/>
        </w:rPr>
        <w:t>Providence, RI 02940-3006</w:t>
      </w:r>
    </w:p>
    <w:p>
      <w:pPr>
        <w:spacing w:after="0" w:line="26" w:lineRule="exact"/>
        <w:rPr>
          <w:sz w:val="20"/>
          <w:szCs w:val="20"/>
          <w:color w:val="auto"/>
        </w:rPr>
      </w:pPr>
    </w:p>
    <w:p>
      <w:pPr>
        <w:ind w:right="1740"/>
        <w:spacing w:after="0" w:line="313" w:lineRule="auto"/>
        <w:tabs>
          <w:tab w:leader="none" w:pos="443" w:val="left"/>
        </w:tabs>
        <w:numPr>
          <w:ilvl w:val="0"/>
          <w:numId w:val="31"/>
        </w:numPr>
        <w:rPr>
          <w:rFonts w:ascii="Arial" w:cs="Arial" w:eastAsia="Arial" w:hAnsi="Arial"/>
          <w:sz w:val="15"/>
          <w:szCs w:val="15"/>
          <w:color w:val="262626"/>
        </w:rPr>
      </w:pPr>
      <w:r>
        <w:rPr>
          <w:rFonts w:ascii="Arial" w:cs="Arial" w:eastAsia="Arial" w:hAnsi="Arial"/>
          <w:sz w:val="15"/>
          <w:szCs w:val="15"/>
          <w:color w:val="262626"/>
        </w:rPr>
        <w:t>373-6374 www.computershare.com/investor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Stock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262626"/>
        </w:rPr>
        <w:t>ESCO Technologies Inc. common stock shares</w:t>
      </w:r>
    </w:p>
    <w:p>
      <w:pPr>
        <w:spacing w:after="0" w:line="26"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262626"/>
        </w:rPr>
        <w:t>(symbol ESE) are listed on the New York Stock Exchange. There were approximately 1,818 holders of record of shares of common stock at November 2, 2023.</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262626"/>
        </w:rPr>
        <w:t>Grant Thornton LLP</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262626"/>
        </w:rPr>
        <w:t>231 South Bemiston Ave., Suite 600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262626"/>
        </w:rPr>
        <w:t>St. Louis, MO 63105</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26"/>
          <w:szCs w:val="26"/>
          <w:b w:val="1"/>
          <w:bCs w:val="1"/>
          <w:color w:val="auto"/>
        </w:rPr>
        <w:t>Management</w:t>
      </w:r>
    </w:p>
    <w:p>
      <w:pPr>
        <w:spacing w:after="0" w:line="263"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1780" w:type="dxa"/>
            <w:vAlign w:val="bottom"/>
          </w:tcPr>
          <w:p>
            <w:pPr>
              <w:spacing w:after="0"/>
              <w:rPr>
                <w:sz w:val="20"/>
                <w:szCs w:val="20"/>
                <w:color w:val="auto"/>
              </w:rPr>
            </w:pPr>
            <w:r>
              <w:rPr>
                <w:rFonts w:ascii="Arial" w:cs="Arial" w:eastAsia="Arial" w:hAnsi="Arial"/>
                <w:sz w:val="16"/>
                <w:szCs w:val="16"/>
                <w:b w:val="1"/>
                <w:bCs w:val="1"/>
                <w:color w:val="auto"/>
              </w:rPr>
              <w:t>Executive Officers</w:t>
            </w:r>
          </w:p>
        </w:tc>
        <w:tc>
          <w:tcPr>
            <w:tcW w:w="1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780" w:type="dxa"/>
            <w:vAlign w:val="bottom"/>
          </w:tcPr>
          <w:p>
            <w:pPr>
              <w:spacing w:after="0"/>
              <w:rPr>
                <w:sz w:val="20"/>
                <w:szCs w:val="20"/>
                <w:color w:val="auto"/>
              </w:rPr>
            </w:pPr>
            <w:r>
              <w:rPr>
                <w:rFonts w:ascii="Arial" w:cs="Arial" w:eastAsia="Arial" w:hAnsi="Arial"/>
                <w:sz w:val="16"/>
                <w:szCs w:val="16"/>
                <w:b w:val="1"/>
                <w:bCs w:val="1"/>
                <w:color w:val="262626"/>
              </w:rPr>
              <w:t>Bryan Sayler</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Chris Tucker</w:t>
            </w:r>
          </w:p>
        </w:tc>
        <w:tc>
          <w:tcPr>
            <w:tcW w:w="1840" w:type="dxa"/>
            <w:vAlign w:val="bottom"/>
          </w:tcPr>
          <w:p>
            <w:pPr>
              <w:ind w:left="120"/>
              <w:spacing w:after="0"/>
              <w:rPr>
                <w:sz w:val="20"/>
                <w:szCs w:val="20"/>
                <w:color w:val="auto"/>
              </w:rPr>
            </w:pPr>
            <w:r>
              <w:rPr>
                <w:rFonts w:ascii="Arial" w:cs="Arial" w:eastAsia="Arial" w:hAnsi="Arial"/>
                <w:sz w:val="16"/>
                <w:szCs w:val="16"/>
                <w:b w:val="1"/>
                <w:bCs w:val="1"/>
                <w:color w:val="262626"/>
              </w:rPr>
              <w:t>Dave Schatz</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Chief Executive Officer</w:t>
            </w:r>
          </w:p>
        </w:tc>
        <w:tc>
          <w:tcPr>
            <w:tcW w:w="1960" w:type="dxa"/>
            <w:vAlign w:val="bottom"/>
          </w:tcPr>
          <w:p>
            <w:pPr>
              <w:ind w:left="140"/>
              <w:spacing w:after="0"/>
              <w:rPr>
                <w:sz w:val="20"/>
                <w:szCs w:val="20"/>
                <w:color w:val="auto"/>
              </w:rPr>
            </w:pPr>
            <w:r>
              <w:rPr>
                <w:rFonts w:ascii="Arial" w:cs="Arial" w:eastAsia="Arial" w:hAnsi="Arial"/>
                <w:sz w:val="16"/>
                <w:szCs w:val="16"/>
                <w:color w:val="262626"/>
              </w:rPr>
              <w:t>Senior Vice President</w:t>
            </w:r>
          </w:p>
        </w:tc>
        <w:tc>
          <w:tcPr>
            <w:tcW w:w="1840" w:type="dxa"/>
            <w:vAlign w:val="bottom"/>
          </w:tcPr>
          <w:p>
            <w:pPr>
              <w:ind w:left="120"/>
              <w:spacing w:after="0"/>
              <w:rPr>
                <w:sz w:val="20"/>
                <w:szCs w:val="20"/>
                <w:color w:val="auto"/>
              </w:rPr>
            </w:pPr>
            <w:r>
              <w:rPr>
                <w:rFonts w:ascii="Arial" w:cs="Arial" w:eastAsia="Arial" w:hAnsi="Arial"/>
                <w:sz w:val="16"/>
                <w:szCs w:val="16"/>
                <w:color w:val="262626"/>
              </w:rPr>
              <w:t>Senior Vice President,</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&amp; President</w:t>
            </w:r>
          </w:p>
        </w:tc>
        <w:tc>
          <w:tcPr>
            <w:tcW w:w="1960" w:type="dxa"/>
            <w:vAlign w:val="bottom"/>
          </w:tcPr>
          <w:p>
            <w:pPr>
              <w:ind w:left="140"/>
              <w:spacing w:after="0"/>
              <w:rPr>
                <w:sz w:val="20"/>
                <w:szCs w:val="20"/>
                <w:color w:val="auto"/>
              </w:rPr>
            </w:pPr>
            <w:r>
              <w:rPr>
                <w:rFonts w:ascii="Arial" w:cs="Arial" w:eastAsia="Arial" w:hAnsi="Arial"/>
                <w:sz w:val="16"/>
                <w:szCs w:val="16"/>
                <w:color w:val="262626"/>
              </w:rPr>
              <w:t>&amp; Chief Financial Officer</w:t>
            </w:r>
          </w:p>
        </w:tc>
        <w:tc>
          <w:tcPr>
            <w:tcW w:w="1840" w:type="dxa"/>
            <w:vAlign w:val="bottom"/>
          </w:tcPr>
          <w:p>
            <w:pPr>
              <w:ind w:left="120"/>
              <w:spacing w:after="0"/>
              <w:rPr>
                <w:sz w:val="20"/>
                <w:szCs w:val="20"/>
                <w:color w:val="auto"/>
              </w:rPr>
            </w:pPr>
            <w:r>
              <w:rPr>
                <w:rFonts w:ascii="Arial" w:cs="Arial" w:eastAsia="Arial" w:hAnsi="Arial"/>
                <w:sz w:val="16"/>
                <w:szCs w:val="16"/>
                <w:color w:val="262626"/>
              </w:rPr>
              <w:t>Secretary &amp;</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Arial" w:cs="Arial" w:eastAsia="Arial" w:hAnsi="Arial"/>
                <w:sz w:val="16"/>
                <w:szCs w:val="16"/>
                <w:color w:val="262626"/>
              </w:rPr>
              <w:t>General Counsel</w:t>
            </w:r>
          </w:p>
        </w:tc>
        <w:tc>
          <w:tcPr>
            <w:tcW w:w="0" w:type="dxa"/>
            <w:vAlign w:val="bottom"/>
          </w:tcPr>
          <w:p>
            <w:pPr>
              <w:spacing w:after="0"/>
              <w:rPr>
                <w:sz w:val="1"/>
                <w:szCs w:val="1"/>
                <w:color w:val="auto"/>
              </w:rPr>
            </w:pPr>
          </w:p>
        </w:tc>
      </w:tr>
      <w:tr>
        <w:trPr>
          <w:trHeight w:val="599"/>
        </w:trPr>
        <w:tc>
          <w:tcPr>
            <w:tcW w:w="1780" w:type="dxa"/>
            <w:vAlign w:val="bottom"/>
          </w:tcPr>
          <w:p>
            <w:pPr>
              <w:spacing w:after="0"/>
              <w:rPr>
                <w:sz w:val="20"/>
                <w:szCs w:val="20"/>
                <w:color w:val="auto"/>
              </w:rPr>
            </w:pPr>
            <w:r>
              <w:rPr>
                <w:rFonts w:ascii="Arial" w:cs="Arial" w:eastAsia="Arial" w:hAnsi="Arial"/>
                <w:sz w:val="16"/>
                <w:szCs w:val="16"/>
                <w:b w:val="1"/>
                <w:bCs w:val="1"/>
                <w:color w:val="auto"/>
              </w:rPr>
              <w:t>Corporate Staff</w:t>
            </w: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780" w:type="dxa"/>
            <w:vAlign w:val="bottom"/>
          </w:tcPr>
          <w:p>
            <w:pPr>
              <w:spacing w:after="0"/>
              <w:rPr>
                <w:sz w:val="20"/>
                <w:szCs w:val="20"/>
                <w:color w:val="auto"/>
              </w:rPr>
            </w:pPr>
            <w:r>
              <w:rPr>
                <w:rFonts w:ascii="Arial" w:cs="Arial" w:eastAsia="Arial" w:hAnsi="Arial"/>
                <w:sz w:val="16"/>
                <w:szCs w:val="16"/>
                <w:b w:val="1"/>
                <w:bCs w:val="1"/>
                <w:color w:val="262626"/>
              </w:rPr>
              <w:t>Lara Crews</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Kelly Kennedy</w:t>
            </w:r>
          </w:p>
        </w:tc>
        <w:tc>
          <w:tcPr>
            <w:tcW w:w="1840" w:type="dxa"/>
            <w:vAlign w:val="bottom"/>
          </w:tcPr>
          <w:p>
            <w:pPr>
              <w:ind w:left="120"/>
              <w:spacing w:after="0"/>
              <w:rPr>
                <w:sz w:val="20"/>
                <w:szCs w:val="20"/>
                <w:color w:val="auto"/>
              </w:rPr>
            </w:pPr>
            <w:r>
              <w:rPr>
                <w:rFonts w:ascii="Arial" w:cs="Arial" w:eastAsia="Arial" w:hAnsi="Arial"/>
                <w:sz w:val="16"/>
                <w:szCs w:val="16"/>
                <w:b w:val="1"/>
                <w:bCs w:val="1"/>
                <w:color w:val="262626"/>
              </w:rPr>
              <w:t>Michele Marren</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Vice President</w:t>
            </w:r>
          </w:p>
        </w:tc>
        <w:tc>
          <w:tcPr>
            <w:tcW w:w="1960" w:type="dxa"/>
            <w:vAlign w:val="bottom"/>
          </w:tcPr>
          <w:p>
            <w:pPr>
              <w:ind w:left="140"/>
              <w:spacing w:after="0"/>
              <w:rPr>
                <w:sz w:val="20"/>
                <w:szCs w:val="20"/>
                <w:color w:val="auto"/>
              </w:rPr>
            </w:pPr>
            <w:r>
              <w:rPr>
                <w:rFonts w:ascii="Arial" w:cs="Arial" w:eastAsia="Arial" w:hAnsi="Arial"/>
                <w:sz w:val="16"/>
                <w:szCs w:val="16"/>
                <w:color w:val="262626"/>
              </w:rPr>
              <w:t>Vice President</w:t>
            </w:r>
          </w:p>
        </w:tc>
        <w:tc>
          <w:tcPr>
            <w:tcW w:w="1840" w:type="dxa"/>
            <w:vAlign w:val="bottom"/>
          </w:tcPr>
          <w:p>
            <w:pPr>
              <w:ind w:left="120"/>
              <w:spacing w:after="0"/>
              <w:rPr>
                <w:sz w:val="20"/>
                <w:szCs w:val="20"/>
                <w:color w:val="auto"/>
              </w:rPr>
            </w:pPr>
            <w:r>
              <w:rPr>
                <w:rFonts w:ascii="Arial" w:cs="Arial" w:eastAsia="Arial" w:hAnsi="Arial"/>
                <w:sz w:val="16"/>
                <w:szCs w:val="16"/>
                <w:color w:val="262626"/>
              </w:rPr>
              <w:t>Vice President &amp;</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&amp; Treasurer</w:t>
            </w:r>
          </w:p>
        </w:tc>
        <w:tc>
          <w:tcPr>
            <w:tcW w:w="1960" w:type="dxa"/>
            <w:vAlign w:val="bottom"/>
          </w:tcPr>
          <w:p>
            <w:pPr>
              <w:ind w:left="140"/>
              <w:spacing w:after="0"/>
              <w:rPr>
                <w:sz w:val="20"/>
                <w:szCs w:val="20"/>
                <w:color w:val="auto"/>
              </w:rPr>
            </w:pPr>
            <w:r>
              <w:rPr>
                <w:rFonts w:ascii="Arial" w:cs="Arial" w:eastAsia="Arial" w:hAnsi="Arial"/>
                <w:sz w:val="16"/>
                <w:szCs w:val="16"/>
                <w:color w:val="262626"/>
              </w:rPr>
              <w:t>Tax</w:t>
            </w:r>
          </w:p>
        </w:tc>
        <w:tc>
          <w:tcPr>
            <w:tcW w:w="1840" w:type="dxa"/>
            <w:vAlign w:val="bottom"/>
          </w:tcPr>
          <w:p>
            <w:pPr>
              <w:ind w:left="120"/>
              <w:spacing w:after="0"/>
              <w:rPr>
                <w:sz w:val="20"/>
                <w:szCs w:val="20"/>
                <w:color w:val="auto"/>
              </w:rPr>
            </w:pPr>
            <w:r>
              <w:rPr>
                <w:rFonts w:ascii="Arial" w:cs="Arial" w:eastAsia="Arial" w:hAnsi="Arial"/>
                <w:sz w:val="16"/>
                <w:szCs w:val="16"/>
                <w:color w:val="262626"/>
              </w:rPr>
              <w:t>Corporate Controller</w:t>
            </w:r>
          </w:p>
        </w:tc>
        <w:tc>
          <w:tcPr>
            <w:tcW w:w="0" w:type="dxa"/>
            <w:vAlign w:val="bottom"/>
          </w:tcPr>
          <w:p>
            <w:pPr>
              <w:spacing w:after="0"/>
              <w:rPr>
                <w:sz w:val="1"/>
                <w:szCs w:val="1"/>
                <w:color w:val="auto"/>
              </w:rPr>
            </w:pPr>
          </w:p>
        </w:tc>
      </w:tr>
      <w:tr>
        <w:trPr>
          <w:trHeight w:val="332"/>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262626"/>
              </w:rPr>
              <w:t>Mark Dunger</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Charles Kretschmer</w:t>
            </w:r>
          </w:p>
        </w:tc>
        <w:tc>
          <w:tcPr>
            <w:tcW w:w="1840" w:type="dxa"/>
            <w:vAlign w:val="bottom"/>
          </w:tcPr>
          <w:p>
            <w:pPr>
              <w:ind w:left="120"/>
              <w:spacing w:after="0"/>
              <w:rPr>
                <w:sz w:val="20"/>
                <w:szCs w:val="20"/>
                <w:color w:val="auto"/>
              </w:rPr>
            </w:pPr>
            <w:r>
              <w:rPr>
                <w:rFonts w:ascii="Arial" w:cs="Arial" w:eastAsia="Arial" w:hAnsi="Arial"/>
                <w:sz w:val="16"/>
                <w:szCs w:val="16"/>
                <w:b w:val="1"/>
                <w:bCs w:val="1"/>
                <w:color w:val="262626"/>
              </w:rPr>
              <w:t>Steve Savis</w:t>
            </w:r>
          </w:p>
        </w:tc>
        <w:tc>
          <w:tcPr>
            <w:tcW w:w="0" w:type="dxa"/>
            <w:vAlign w:val="bottom"/>
          </w:tcPr>
          <w:p>
            <w:pPr>
              <w:spacing w:after="0"/>
              <w:rPr>
                <w:sz w:val="1"/>
                <w:szCs w:val="1"/>
                <w:color w:val="auto"/>
              </w:rPr>
            </w:pPr>
          </w:p>
        </w:tc>
      </w:tr>
      <w:tr>
        <w:trPr>
          <w:trHeight w:val="90"/>
        </w:trPr>
        <w:tc>
          <w:tcPr>
            <w:tcW w:w="1780" w:type="dxa"/>
            <w:vAlign w:val="bottom"/>
            <w:vMerge w:val="continue"/>
          </w:tcPr>
          <w:p>
            <w:pPr>
              <w:spacing w:after="0"/>
              <w:rPr>
                <w:sz w:val="7"/>
                <w:szCs w:val="7"/>
                <w:color w:val="auto"/>
              </w:rPr>
            </w:pPr>
          </w:p>
        </w:tc>
        <w:tc>
          <w:tcPr>
            <w:tcW w:w="1960" w:type="dxa"/>
            <w:vAlign w:val="bottom"/>
            <w:vMerge w:val="restart"/>
          </w:tcPr>
          <w:p>
            <w:pPr>
              <w:ind w:left="140"/>
              <w:spacing w:after="0"/>
              <w:rPr>
                <w:sz w:val="20"/>
                <w:szCs w:val="20"/>
                <w:color w:val="auto"/>
              </w:rPr>
            </w:pPr>
            <w:r>
              <w:rPr>
                <w:rFonts w:ascii="Arial" w:cs="Arial" w:eastAsia="Arial" w:hAnsi="Arial"/>
                <w:sz w:val="16"/>
                <w:szCs w:val="16"/>
                <w:color w:val="262626"/>
              </w:rPr>
              <w:t>Vice President</w:t>
            </w:r>
          </w:p>
        </w:tc>
        <w:tc>
          <w:tcPr>
            <w:tcW w:w="1840" w:type="dxa"/>
            <w:vAlign w:val="bottom"/>
            <w:vMerge w:val="restart"/>
          </w:tcPr>
          <w:p>
            <w:pPr>
              <w:ind w:left="120"/>
              <w:spacing w:after="0"/>
              <w:rPr>
                <w:sz w:val="20"/>
                <w:szCs w:val="20"/>
                <w:color w:val="auto"/>
              </w:rPr>
            </w:pPr>
            <w:r>
              <w:rPr>
                <w:rFonts w:ascii="Arial" w:cs="Arial" w:eastAsia="Arial" w:hAnsi="Arial"/>
                <w:sz w:val="16"/>
                <w:szCs w:val="16"/>
                <w:color w:val="262626"/>
              </w:rPr>
              <w:t>Chief Human</w:t>
            </w:r>
          </w:p>
        </w:tc>
        <w:tc>
          <w:tcPr>
            <w:tcW w:w="0" w:type="dxa"/>
            <w:vAlign w:val="bottom"/>
          </w:tcPr>
          <w:p>
            <w:pPr>
              <w:spacing w:after="0"/>
              <w:rPr>
                <w:sz w:val="1"/>
                <w:szCs w:val="1"/>
                <w:color w:val="auto"/>
              </w:rPr>
            </w:pPr>
          </w:p>
        </w:tc>
      </w:tr>
      <w:tr>
        <w:trPr>
          <w:trHeight w:val="118"/>
        </w:trPr>
        <w:tc>
          <w:tcPr>
            <w:tcW w:w="1780" w:type="dxa"/>
            <w:vAlign w:val="bottom"/>
            <w:vMerge w:val="restart"/>
          </w:tcPr>
          <w:p>
            <w:pPr>
              <w:spacing w:after="0"/>
              <w:rPr>
                <w:sz w:val="20"/>
                <w:szCs w:val="20"/>
                <w:color w:val="auto"/>
              </w:rPr>
            </w:pPr>
            <w:r>
              <w:rPr>
                <w:rFonts w:ascii="Arial" w:cs="Arial" w:eastAsia="Arial" w:hAnsi="Arial"/>
                <w:sz w:val="16"/>
                <w:szCs w:val="16"/>
                <w:color w:val="262626"/>
              </w:rPr>
              <w:t>Vice President Planning</w:t>
            </w:r>
          </w:p>
        </w:tc>
        <w:tc>
          <w:tcPr>
            <w:tcW w:w="19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1840" w:type="dxa"/>
            <w:vAlign w:val="bottom"/>
            <w:vMerge w:val="restart"/>
          </w:tcPr>
          <w:p>
            <w:pPr>
              <w:ind w:left="120"/>
              <w:spacing w:after="0"/>
              <w:rPr>
                <w:sz w:val="20"/>
                <w:szCs w:val="20"/>
                <w:color w:val="auto"/>
              </w:rPr>
            </w:pPr>
            <w:r>
              <w:rPr>
                <w:rFonts w:ascii="Arial" w:cs="Arial" w:eastAsia="Arial" w:hAnsi="Arial"/>
                <w:sz w:val="16"/>
                <w:szCs w:val="16"/>
                <w:color w:val="262626"/>
              </w:rPr>
              <w:t>Resources Officer</w:t>
            </w:r>
          </w:p>
        </w:tc>
        <w:tc>
          <w:tcPr>
            <w:tcW w:w="0" w:type="dxa"/>
            <w:vAlign w:val="bottom"/>
          </w:tcPr>
          <w:p>
            <w:pPr>
              <w:spacing w:after="0"/>
              <w:rPr>
                <w:sz w:val="1"/>
                <w:szCs w:val="1"/>
                <w:color w:val="auto"/>
              </w:rPr>
            </w:pPr>
          </w:p>
        </w:tc>
      </w:tr>
      <w:tr>
        <w:trPr>
          <w:trHeight w:val="119"/>
        </w:trPr>
        <w:tc>
          <w:tcPr>
            <w:tcW w:w="1780" w:type="dxa"/>
            <w:vAlign w:val="bottom"/>
            <w:vMerge w:val="restart"/>
          </w:tcPr>
          <w:p>
            <w:pPr>
              <w:spacing w:after="0"/>
              <w:rPr>
                <w:sz w:val="20"/>
                <w:szCs w:val="20"/>
                <w:color w:val="auto"/>
              </w:rPr>
            </w:pPr>
            <w:r>
              <w:rPr>
                <w:rFonts w:ascii="Arial" w:cs="Arial" w:eastAsia="Arial" w:hAnsi="Arial"/>
                <w:sz w:val="16"/>
                <w:szCs w:val="16"/>
                <w:color w:val="262626"/>
              </w:rPr>
              <w:t>&amp; Development</w:t>
            </w:r>
          </w:p>
        </w:tc>
        <w:tc>
          <w:tcPr>
            <w:tcW w:w="1960" w:type="dxa"/>
            <w:vAlign w:val="bottom"/>
            <w:vMerge w:val="restart"/>
          </w:tcPr>
          <w:p>
            <w:pPr>
              <w:ind w:left="140"/>
              <w:spacing w:after="0"/>
              <w:rPr>
                <w:sz w:val="20"/>
                <w:szCs w:val="20"/>
                <w:color w:val="auto"/>
              </w:rPr>
            </w:pPr>
            <w:r>
              <w:rPr>
                <w:rFonts w:ascii="Arial" w:cs="Arial" w:eastAsia="Arial" w:hAnsi="Arial"/>
                <w:sz w:val="16"/>
                <w:szCs w:val="16"/>
                <w:b w:val="1"/>
                <w:bCs w:val="1"/>
                <w:color w:val="262626"/>
              </w:rPr>
              <w:t>Kate Lowrey</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78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Arial" w:cs="Arial" w:eastAsia="Arial" w:hAnsi="Arial"/>
                <w:sz w:val="16"/>
                <w:szCs w:val="16"/>
                <w:color w:val="262626"/>
              </w:rPr>
              <w:t>Vice President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Arial" w:cs="Arial" w:eastAsia="Arial" w:hAnsi="Arial"/>
                <w:sz w:val="16"/>
                <w:szCs w:val="16"/>
                <w:color w:val="262626"/>
              </w:rPr>
              <w:t>Investor Relations</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0"/>
        </w:trPr>
        <w:tc>
          <w:tcPr>
            <w:tcW w:w="1780" w:type="dxa"/>
            <w:vAlign w:val="bottom"/>
          </w:tcPr>
          <w:p>
            <w:pPr>
              <w:spacing w:after="0"/>
              <w:rPr>
                <w:sz w:val="20"/>
                <w:szCs w:val="20"/>
                <w:color w:val="auto"/>
              </w:rPr>
            </w:pPr>
            <w:r>
              <w:rPr>
                <w:rFonts w:ascii="Arial" w:cs="Arial" w:eastAsia="Arial" w:hAnsi="Arial"/>
                <w:sz w:val="16"/>
                <w:szCs w:val="16"/>
                <w:b w:val="1"/>
                <w:bCs w:val="1"/>
                <w:color w:val="auto"/>
              </w:rPr>
              <w:t>Operating Executives</w:t>
            </w: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780" w:type="dxa"/>
            <w:vAlign w:val="bottom"/>
          </w:tcPr>
          <w:p>
            <w:pPr>
              <w:spacing w:after="0"/>
              <w:rPr>
                <w:sz w:val="20"/>
                <w:szCs w:val="20"/>
                <w:color w:val="auto"/>
              </w:rPr>
            </w:pPr>
            <w:r>
              <w:rPr>
                <w:rFonts w:ascii="Arial" w:cs="Arial" w:eastAsia="Arial" w:hAnsi="Arial"/>
                <w:sz w:val="16"/>
                <w:szCs w:val="16"/>
                <w:b w:val="1"/>
                <w:bCs w:val="1"/>
                <w:color w:val="262626"/>
              </w:rPr>
              <w:t>Mike Alfred</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Joe McCadden</w:t>
            </w:r>
          </w:p>
        </w:tc>
        <w:tc>
          <w:tcPr>
            <w:tcW w:w="1840" w:type="dxa"/>
            <w:vAlign w:val="bottom"/>
          </w:tcPr>
          <w:p>
            <w:pPr>
              <w:ind w:left="120"/>
              <w:spacing w:after="0"/>
              <w:rPr>
                <w:sz w:val="20"/>
                <w:szCs w:val="20"/>
                <w:color w:val="auto"/>
              </w:rPr>
            </w:pPr>
            <w:r>
              <w:rPr>
                <w:rFonts w:ascii="Arial" w:cs="Arial" w:eastAsia="Arial" w:hAnsi="Arial"/>
                <w:sz w:val="16"/>
                <w:szCs w:val="16"/>
                <w:b w:val="1"/>
                <w:bCs w:val="1"/>
                <w:color w:val="262626"/>
              </w:rPr>
              <w:t>Matt Stafford</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President</w:t>
            </w:r>
          </w:p>
        </w:tc>
        <w:tc>
          <w:tcPr>
            <w:tcW w:w="1960" w:type="dxa"/>
            <w:vAlign w:val="bottom"/>
          </w:tcPr>
          <w:p>
            <w:pPr>
              <w:ind w:left="140"/>
              <w:spacing w:after="0"/>
              <w:rPr>
                <w:sz w:val="20"/>
                <w:szCs w:val="20"/>
                <w:color w:val="auto"/>
              </w:rPr>
            </w:pPr>
            <w:r>
              <w:rPr>
                <w:rFonts w:ascii="Arial" w:cs="Arial" w:eastAsia="Arial" w:hAnsi="Arial"/>
                <w:sz w:val="16"/>
                <w:szCs w:val="16"/>
                <w:color w:val="262626"/>
              </w:rPr>
              <w:t>President</w:t>
            </w:r>
          </w:p>
        </w:tc>
        <w:tc>
          <w:tcPr>
            <w:tcW w:w="1840" w:type="dxa"/>
            <w:vAlign w:val="bottom"/>
          </w:tcPr>
          <w:p>
            <w:pPr>
              <w:ind w:left="120"/>
              <w:spacing w:after="0"/>
              <w:rPr>
                <w:sz w:val="20"/>
                <w:szCs w:val="20"/>
                <w:color w:val="auto"/>
              </w:rPr>
            </w:pPr>
            <w:r>
              <w:rPr>
                <w:rFonts w:ascii="Arial" w:cs="Arial" w:eastAsia="Arial" w:hAnsi="Arial"/>
                <w:sz w:val="16"/>
                <w:szCs w:val="16"/>
                <w:color w:val="262626"/>
              </w:rPr>
              <w:t>President</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Crissair, Inc.</w:t>
            </w:r>
          </w:p>
        </w:tc>
        <w:tc>
          <w:tcPr>
            <w:tcW w:w="1960" w:type="dxa"/>
            <w:vAlign w:val="bottom"/>
          </w:tcPr>
          <w:p>
            <w:pPr>
              <w:ind w:left="140"/>
              <w:spacing w:after="0"/>
              <w:rPr>
                <w:sz w:val="20"/>
                <w:szCs w:val="20"/>
                <w:color w:val="auto"/>
              </w:rPr>
            </w:pPr>
            <w:r>
              <w:rPr>
                <w:rFonts w:ascii="Arial" w:cs="Arial" w:eastAsia="Arial" w:hAnsi="Arial"/>
                <w:sz w:val="16"/>
                <w:szCs w:val="16"/>
                <w:color w:val="262626"/>
              </w:rPr>
              <w:t>Globe Composite</w:t>
            </w:r>
          </w:p>
        </w:tc>
        <w:tc>
          <w:tcPr>
            <w:tcW w:w="1840" w:type="dxa"/>
            <w:vAlign w:val="bottom"/>
          </w:tcPr>
          <w:p>
            <w:pPr>
              <w:ind w:left="120"/>
              <w:spacing w:after="0"/>
              <w:rPr>
                <w:sz w:val="20"/>
                <w:szCs w:val="20"/>
                <w:color w:val="auto"/>
              </w:rPr>
            </w:pPr>
            <w:r>
              <w:rPr>
                <w:rFonts w:ascii="Arial" w:cs="Arial" w:eastAsia="Arial" w:hAnsi="Arial"/>
                <w:sz w:val="16"/>
                <w:szCs w:val="16"/>
                <w:color w:val="262626"/>
              </w:rPr>
              <w:t>VACCO Industries</w:t>
            </w:r>
          </w:p>
        </w:tc>
        <w:tc>
          <w:tcPr>
            <w:tcW w:w="0" w:type="dxa"/>
            <w:vAlign w:val="bottom"/>
          </w:tcPr>
          <w:p>
            <w:pPr>
              <w:spacing w:after="0"/>
              <w:rPr>
                <w:sz w:val="1"/>
                <w:szCs w:val="1"/>
                <w:color w:val="auto"/>
              </w:rPr>
            </w:pPr>
          </w:p>
        </w:tc>
      </w:tr>
      <w:tr>
        <w:trPr>
          <w:trHeight w:val="209"/>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262626"/>
              </w:rPr>
              <w:t>Matt Carrara</w:t>
            </w:r>
          </w:p>
        </w:tc>
        <w:tc>
          <w:tcPr>
            <w:tcW w:w="1960" w:type="dxa"/>
            <w:vAlign w:val="bottom"/>
          </w:tcPr>
          <w:p>
            <w:pPr>
              <w:ind w:left="140"/>
              <w:spacing w:after="0"/>
              <w:rPr>
                <w:sz w:val="20"/>
                <w:szCs w:val="20"/>
                <w:color w:val="auto"/>
              </w:rPr>
            </w:pPr>
            <w:r>
              <w:rPr>
                <w:rFonts w:ascii="Arial" w:cs="Arial" w:eastAsia="Arial" w:hAnsi="Arial"/>
                <w:sz w:val="16"/>
                <w:szCs w:val="16"/>
                <w:color w:val="262626"/>
              </w:rPr>
              <w:t>Solutions, LLC</w:t>
            </w:r>
          </w:p>
        </w:tc>
        <w:tc>
          <w:tcPr>
            <w:tcW w:w="1840" w:type="dxa"/>
            <w:vAlign w:val="bottom"/>
            <w:vMerge w:val="restart"/>
          </w:tcPr>
          <w:p>
            <w:pPr>
              <w:ind w:left="120"/>
              <w:spacing w:after="0"/>
              <w:rPr>
                <w:sz w:val="20"/>
                <w:szCs w:val="20"/>
                <w:color w:val="auto"/>
              </w:rPr>
            </w:pPr>
            <w:r>
              <w:rPr>
                <w:rFonts w:ascii="Arial" w:cs="Arial" w:eastAsia="Arial" w:hAnsi="Arial"/>
                <w:sz w:val="16"/>
                <w:szCs w:val="16"/>
                <w:b w:val="1"/>
                <w:bCs w:val="1"/>
                <w:color w:val="262626"/>
              </w:rPr>
              <w:t>Evan Vogel</w:t>
            </w:r>
          </w:p>
        </w:tc>
        <w:tc>
          <w:tcPr>
            <w:tcW w:w="0" w:type="dxa"/>
            <w:vAlign w:val="bottom"/>
          </w:tcPr>
          <w:p>
            <w:pPr>
              <w:spacing w:after="0"/>
              <w:rPr>
                <w:sz w:val="1"/>
                <w:szCs w:val="1"/>
                <w:color w:val="auto"/>
              </w:rPr>
            </w:pPr>
          </w:p>
        </w:tc>
      </w:tr>
      <w:tr>
        <w:trPr>
          <w:trHeight w:val="123"/>
        </w:trPr>
        <w:tc>
          <w:tcPr>
            <w:tcW w:w="17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20"/>
                <w:szCs w:val="20"/>
                <w:color w:val="auto"/>
              </w:rPr>
            </w:pPr>
            <w:r>
              <w:rPr>
                <w:rFonts w:ascii="Arial" w:cs="Arial" w:eastAsia="Arial" w:hAnsi="Arial"/>
                <w:sz w:val="16"/>
                <w:szCs w:val="16"/>
                <w:color w:val="262626"/>
              </w:rPr>
              <w:t>Utility Solutions Group</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May Scally</w:t>
            </w:r>
          </w:p>
        </w:tc>
        <w:tc>
          <w:tcPr>
            <w:tcW w:w="1840" w:type="dxa"/>
            <w:vAlign w:val="bottom"/>
          </w:tcPr>
          <w:p>
            <w:pPr>
              <w:ind w:left="120"/>
              <w:spacing w:after="0"/>
              <w:rPr>
                <w:sz w:val="20"/>
                <w:szCs w:val="20"/>
                <w:color w:val="auto"/>
              </w:rPr>
            </w:pPr>
            <w:r>
              <w:rPr>
                <w:rFonts w:ascii="Arial" w:cs="Arial" w:eastAsia="Arial" w:hAnsi="Arial"/>
                <w:sz w:val="16"/>
                <w:szCs w:val="16"/>
                <w:color w:val="262626"/>
              </w:rPr>
              <w:t>President</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President &amp; President</w:t>
            </w:r>
          </w:p>
        </w:tc>
        <w:tc>
          <w:tcPr>
            <w:tcW w:w="1960" w:type="dxa"/>
            <w:vAlign w:val="bottom"/>
          </w:tcPr>
          <w:p>
            <w:pPr>
              <w:ind w:left="140"/>
              <w:spacing w:after="0"/>
              <w:rPr>
                <w:sz w:val="20"/>
                <w:szCs w:val="20"/>
                <w:color w:val="auto"/>
              </w:rPr>
            </w:pPr>
            <w:r>
              <w:rPr>
                <w:rFonts w:ascii="Arial" w:cs="Arial" w:eastAsia="Arial" w:hAnsi="Arial"/>
                <w:sz w:val="16"/>
                <w:szCs w:val="16"/>
                <w:color w:val="262626"/>
              </w:rPr>
              <w:t>Chief Operating Officer</w:t>
            </w:r>
          </w:p>
        </w:tc>
        <w:tc>
          <w:tcPr>
            <w:tcW w:w="1840" w:type="dxa"/>
            <w:vAlign w:val="bottom"/>
          </w:tcPr>
          <w:p>
            <w:pPr>
              <w:ind w:left="120"/>
              <w:spacing w:after="0"/>
              <w:rPr>
                <w:sz w:val="20"/>
                <w:szCs w:val="20"/>
                <w:color w:val="auto"/>
              </w:rPr>
            </w:pPr>
            <w:r>
              <w:rPr>
                <w:rFonts w:ascii="Arial" w:cs="Arial" w:eastAsia="Arial" w:hAnsi="Arial"/>
                <w:sz w:val="16"/>
                <w:szCs w:val="16"/>
                <w:color w:val="262626"/>
              </w:rPr>
              <w:t>NRG Systems, Inc.</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Doble Engineering</w:t>
            </w:r>
          </w:p>
        </w:tc>
        <w:tc>
          <w:tcPr>
            <w:tcW w:w="1960" w:type="dxa"/>
            <w:vAlign w:val="bottom"/>
          </w:tcPr>
          <w:p>
            <w:pPr>
              <w:ind w:left="140"/>
              <w:spacing w:after="0"/>
              <w:rPr>
                <w:sz w:val="20"/>
                <w:szCs w:val="20"/>
                <w:color w:val="auto"/>
              </w:rPr>
            </w:pPr>
            <w:r>
              <w:rPr>
                <w:rFonts w:ascii="Arial" w:cs="Arial" w:eastAsia="Arial" w:hAnsi="Arial"/>
                <w:sz w:val="16"/>
                <w:szCs w:val="16"/>
                <w:color w:val="262626"/>
              </w:rPr>
              <w:t>Morgan Schaffer Ltd.</w:t>
            </w:r>
          </w:p>
        </w:tc>
        <w:tc>
          <w:tcPr>
            <w:tcW w:w="1840" w:type="dxa"/>
            <w:vAlign w:val="bottom"/>
            <w:vMerge w:val="restart"/>
          </w:tcPr>
          <w:p>
            <w:pPr>
              <w:ind w:left="120"/>
              <w:spacing w:after="0"/>
              <w:rPr>
                <w:sz w:val="20"/>
                <w:szCs w:val="20"/>
                <w:color w:val="auto"/>
              </w:rPr>
            </w:pPr>
            <w:r>
              <w:rPr>
                <w:rFonts w:ascii="Arial" w:cs="Arial" w:eastAsia="Arial" w:hAnsi="Arial"/>
                <w:sz w:val="16"/>
                <w:szCs w:val="16"/>
                <w:b w:val="1"/>
                <w:bCs w:val="1"/>
                <w:color w:val="262626"/>
              </w:rPr>
              <w:t>Andy Warner</w:t>
            </w:r>
          </w:p>
        </w:tc>
        <w:tc>
          <w:tcPr>
            <w:tcW w:w="0" w:type="dxa"/>
            <w:vAlign w:val="bottom"/>
          </w:tcPr>
          <w:p>
            <w:pPr>
              <w:spacing w:after="0"/>
              <w:rPr>
                <w:sz w:val="1"/>
                <w:szCs w:val="1"/>
                <w:color w:val="auto"/>
              </w:rPr>
            </w:pPr>
          </w:p>
        </w:tc>
      </w:tr>
      <w:tr>
        <w:trPr>
          <w:trHeight w:val="121"/>
        </w:trPr>
        <w:tc>
          <w:tcPr>
            <w:tcW w:w="1780" w:type="dxa"/>
            <w:vAlign w:val="bottom"/>
            <w:vMerge w:val="restart"/>
          </w:tcPr>
          <w:p>
            <w:pPr>
              <w:spacing w:after="0"/>
              <w:rPr>
                <w:sz w:val="20"/>
                <w:szCs w:val="20"/>
                <w:color w:val="auto"/>
              </w:rPr>
            </w:pPr>
            <w:r>
              <w:rPr>
                <w:rFonts w:ascii="Arial" w:cs="Arial" w:eastAsia="Arial" w:hAnsi="Arial"/>
                <w:sz w:val="16"/>
                <w:szCs w:val="16"/>
                <w:color w:val="262626"/>
              </w:rPr>
              <w:t>Company</w:t>
            </w:r>
          </w:p>
        </w:tc>
        <w:tc>
          <w:tcPr>
            <w:tcW w:w="19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780" w:type="dxa"/>
            <w:vAlign w:val="bottom"/>
            <w:vMerge w:val="continue"/>
          </w:tcPr>
          <w:p>
            <w:pPr>
              <w:spacing w:after="0"/>
              <w:rPr>
                <w:sz w:val="7"/>
                <w:szCs w:val="7"/>
                <w:color w:val="auto"/>
              </w:rPr>
            </w:pPr>
          </w:p>
        </w:tc>
        <w:tc>
          <w:tcPr>
            <w:tcW w:w="1960" w:type="dxa"/>
            <w:vAlign w:val="bottom"/>
            <w:vMerge w:val="restart"/>
          </w:tcPr>
          <w:p>
            <w:pPr>
              <w:ind w:left="140"/>
              <w:spacing w:after="0"/>
              <w:rPr>
                <w:sz w:val="20"/>
                <w:szCs w:val="20"/>
                <w:color w:val="auto"/>
              </w:rPr>
            </w:pPr>
            <w:r>
              <w:rPr>
                <w:rFonts w:ascii="Arial" w:cs="Arial" w:eastAsia="Arial" w:hAnsi="Arial"/>
                <w:sz w:val="16"/>
                <w:szCs w:val="16"/>
                <w:b w:val="1"/>
                <w:bCs w:val="1"/>
                <w:color w:val="262626"/>
              </w:rPr>
              <w:t>Tom Shaw</w:t>
            </w:r>
          </w:p>
        </w:tc>
        <w:tc>
          <w:tcPr>
            <w:tcW w:w="1840" w:type="dxa"/>
            <w:vAlign w:val="bottom"/>
            <w:vMerge w:val="restart"/>
          </w:tcPr>
          <w:p>
            <w:pPr>
              <w:ind w:left="120"/>
              <w:spacing w:after="0"/>
              <w:rPr>
                <w:sz w:val="20"/>
                <w:szCs w:val="20"/>
                <w:color w:val="auto"/>
              </w:rPr>
            </w:pPr>
            <w:r>
              <w:rPr>
                <w:rFonts w:ascii="Arial" w:cs="Arial" w:eastAsia="Arial" w:hAnsi="Arial"/>
                <w:sz w:val="16"/>
                <w:szCs w:val="16"/>
                <w:color w:val="262626"/>
              </w:rPr>
              <w:t>President</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b w:val="1"/>
                <w:bCs w:val="1"/>
                <w:color w:val="262626"/>
              </w:rPr>
              <w:t>Rowland Ellis</w:t>
            </w:r>
          </w:p>
        </w:tc>
        <w:tc>
          <w:tcPr>
            <w:tcW w:w="1960" w:type="dxa"/>
            <w:vAlign w:val="bottom"/>
          </w:tcPr>
          <w:p>
            <w:pPr>
              <w:ind w:left="140"/>
              <w:spacing w:after="0"/>
              <w:rPr>
                <w:sz w:val="20"/>
                <w:szCs w:val="20"/>
                <w:color w:val="auto"/>
              </w:rPr>
            </w:pPr>
            <w:r>
              <w:rPr>
                <w:rFonts w:ascii="Arial" w:cs="Arial" w:eastAsia="Arial" w:hAnsi="Arial"/>
                <w:sz w:val="16"/>
                <w:szCs w:val="16"/>
                <w:color w:val="262626"/>
              </w:rPr>
              <w:t>President</w:t>
            </w:r>
          </w:p>
        </w:tc>
        <w:tc>
          <w:tcPr>
            <w:tcW w:w="1840" w:type="dxa"/>
            <w:vAlign w:val="bottom"/>
          </w:tcPr>
          <w:p>
            <w:pPr>
              <w:ind w:left="120"/>
              <w:spacing w:after="0"/>
              <w:rPr>
                <w:sz w:val="20"/>
                <w:szCs w:val="20"/>
                <w:color w:val="auto"/>
              </w:rPr>
            </w:pPr>
            <w:r>
              <w:rPr>
                <w:rFonts w:ascii="Arial" w:cs="Arial" w:eastAsia="Arial" w:hAnsi="Arial"/>
                <w:sz w:val="16"/>
                <w:szCs w:val="16"/>
                <w:color w:val="262626"/>
              </w:rPr>
              <w:t>ETS-Lindgren Inc.</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President</w:t>
            </w:r>
          </w:p>
        </w:tc>
        <w:tc>
          <w:tcPr>
            <w:tcW w:w="1960" w:type="dxa"/>
            <w:vAlign w:val="bottom"/>
          </w:tcPr>
          <w:p>
            <w:pPr>
              <w:ind w:left="140"/>
              <w:spacing w:after="0"/>
              <w:rPr>
                <w:sz w:val="20"/>
                <w:szCs w:val="20"/>
                <w:color w:val="auto"/>
              </w:rPr>
            </w:pPr>
            <w:r>
              <w:rPr>
                <w:rFonts w:ascii="Arial" w:cs="Arial" w:eastAsia="Arial" w:hAnsi="Arial"/>
                <w:sz w:val="16"/>
                <w:szCs w:val="16"/>
                <w:color w:val="262626"/>
              </w:rPr>
              <w:t>Mayday</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PTI Technologies Inc.</w:t>
            </w:r>
          </w:p>
        </w:tc>
        <w:tc>
          <w:tcPr>
            <w:tcW w:w="1960" w:type="dxa"/>
            <w:vAlign w:val="bottom"/>
          </w:tcPr>
          <w:p>
            <w:pPr>
              <w:ind w:left="140"/>
              <w:spacing w:after="0"/>
              <w:rPr>
                <w:sz w:val="20"/>
                <w:szCs w:val="20"/>
                <w:color w:val="auto"/>
              </w:rPr>
            </w:pPr>
            <w:r>
              <w:rPr>
                <w:rFonts w:ascii="Arial" w:cs="Arial" w:eastAsia="Arial" w:hAnsi="Arial"/>
                <w:sz w:val="16"/>
                <w:szCs w:val="16"/>
                <w:color w:val="262626"/>
              </w:rPr>
              <w:t>Manufacturing Co.</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2"/>
        </w:trPr>
        <w:tc>
          <w:tcPr>
            <w:tcW w:w="1780" w:type="dxa"/>
            <w:vAlign w:val="bottom"/>
          </w:tcPr>
          <w:p>
            <w:pPr>
              <w:spacing w:after="0"/>
              <w:rPr>
                <w:sz w:val="20"/>
                <w:szCs w:val="20"/>
                <w:color w:val="auto"/>
              </w:rPr>
            </w:pPr>
            <w:r>
              <w:rPr>
                <w:rFonts w:ascii="Arial" w:cs="Arial" w:eastAsia="Arial" w:hAnsi="Arial"/>
                <w:sz w:val="16"/>
                <w:szCs w:val="16"/>
                <w:b w:val="1"/>
                <w:bCs w:val="1"/>
                <w:color w:val="auto"/>
              </w:rPr>
              <w:t>Board of Directors</w:t>
            </w: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780" w:type="dxa"/>
            <w:vAlign w:val="bottom"/>
          </w:tcPr>
          <w:p>
            <w:pPr>
              <w:spacing w:after="0"/>
              <w:rPr>
                <w:sz w:val="20"/>
                <w:szCs w:val="20"/>
                <w:color w:val="auto"/>
              </w:rPr>
            </w:pPr>
            <w:r>
              <w:rPr>
                <w:rFonts w:ascii="Arial" w:cs="Arial" w:eastAsia="Arial" w:hAnsi="Arial"/>
                <w:sz w:val="16"/>
                <w:szCs w:val="16"/>
                <w:b w:val="1"/>
                <w:bCs w:val="1"/>
                <w:color w:val="262626"/>
              </w:rPr>
              <w:t xml:space="preserve">Patrick M. Dewar </w:t>
            </w:r>
            <w:r>
              <w:rPr>
                <w:rFonts w:ascii="Arial" w:cs="Arial" w:eastAsia="Arial" w:hAnsi="Arial"/>
                <w:sz w:val="9"/>
                <w:szCs w:val="9"/>
                <w:b w:val="1"/>
                <w:bCs w:val="1"/>
                <w:color w:val="262626"/>
              </w:rPr>
              <w:t>2,3</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 xml:space="preserve">Leon J. Olivier </w:t>
            </w:r>
            <w:r>
              <w:rPr>
                <w:rFonts w:ascii="Arial" w:cs="Arial" w:eastAsia="Arial" w:hAnsi="Arial"/>
                <w:sz w:val="9"/>
                <w:szCs w:val="9"/>
                <w:b w:val="1"/>
                <w:bCs w:val="1"/>
                <w:color w:val="262626"/>
              </w:rPr>
              <w:t>4</w:t>
            </w:r>
          </w:p>
        </w:tc>
        <w:tc>
          <w:tcPr>
            <w:tcW w:w="1840" w:type="dxa"/>
            <w:vAlign w:val="bottom"/>
          </w:tcPr>
          <w:p>
            <w:pPr>
              <w:ind w:left="120"/>
              <w:spacing w:after="0"/>
              <w:rPr>
                <w:sz w:val="20"/>
                <w:szCs w:val="20"/>
                <w:color w:val="auto"/>
              </w:rPr>
            </w:pPr>
            <w:r>
              <w:rPr>
                <w:rFonts w:ascii="Arial" w:cs="Arial" w:eastAsia="Arial" w:hAnsi="Arial"/>
                <w:sz w:val="16"/>
                <w:szCs w:val="16"/>
                <w:b w:val="1"/>
                <w:bCs w:val="1"/>
                <w:color w:val="262626"/>
              </w:rPr>
              <w:t xml:space="preserve">James M. Stolze </w:t>
            </w:r>
            <w:r>
              <w:rPr>
                <w:rFonts w:ascii="Arial" w:cs="Arial" w:eastAsia="Arial" w:hAnsi="Arial"/>
                <w:sz w:val="9"/>
                <w:szCs w:val="9"/>
                <w:b w:val="1"/>
                <w:bCs w:val="1"/>
                <w:color w:val="262626"/>
              </w:rPr>
              <w:t>2,3</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Chief Executive</w:t>
            </w:r>
          </w:p>
        </w:tc>
        <w:tc>
          <w:tcPr>
            <w:tcW w:w="1960" w:type="dxa"/>
            <w:vAlign w:val="bottom"/>
          </w:tcPr>
          <w:p>
            <w:pPr>
              <w:ind w:left="140"/>
              <w:spacing w:after="0"/>
              <w:rPr>
                <w:sz w:val="20"/>
                <w:szCs w:val="20"/>
                <w:color w:val="auto"/>
              </w:rPr>
            </w:pPr>
            <w:r>
              <w:rPr>
                <w:rFonts w:ascii="Arial" w:cs="Arial" w:eastAsia="Arial" w:hAnsi="Arial"/>
                <w:sz w:val="16"/>
                <w:szCs w:val="16"/>
                <w:color w:val="262626"/>
              </w:rPr>
              <w:t>Retired Executive</w:t>
            </w:r>
          </w:p>
        </w:tc>
        <w:tc>
          <w:tcPr>
            <w:tcW w:w="1840" w:type="dxa"/>
            <w:vAlign w:val="bottom"/>
          </w:tcPr>
          <w:p>
            <w:pPr>
              <w:ind w:left="120"/>
              <w:spacing w:after="0"/>
              <w:rPr>
                <w:sz w:val="20"/>
                <w:szCs w:val="20"/>
                <w:color w:val="auto"/>
              </w:rPr>
            </w:pPr>
            <w:r>
              <w:rPr>
                <w:rFonts w:ascii="Arial" w:cs="Arial" w:eastAsia="Arial" w:hAnsi="Arial"/>
                <w:sz w:val="16"/>
                <w:szCs w:val="16"/>
                <w:color w:val="262626"/>
                <w:w w:val="97"/>
              </w:rPr>
              <w:t>Retired Vice President &amp;</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The Trenton Group, LLC</w:t>
            </w:r>
          </w:p>
        </w:tc>
        <w:tc>
          <w:tcPr>
            <w:tcW w:w="1960" w:type="dxa"/>
            <w:vAlign w:val="bottom"/>
          </w:tcPr>
          <w:p>
            <w:pPr>
              <w:ind w:left="140"/>
              <w:spacing w:after="0"/>
              <w:rPr>
                <w:sz w:val="20"/>
                <w:szCs w:val="20"/>
                <w:color w:val="auto"/>
              </w:rPr>
            </w:pPr>
            <w:r>
              <w:rPr>
                <w:rFonts w:ascii="Arial" w:cs="Arial" w:eastAsia="Arial" w:hAnsi="Arial"/>
                <w:sz w:val="16"/>
                <w:szCs w:val="16"/>
                <w:color w:val="262626"/>
              </w:rPr>
              <w:t>Vice President</w:t>
            </w:r>
          </w:p>
        </w:tc>
        <w:tc>
          <w:tcPr>
            <w:tcW w:w="1840" w:type="dxa"/>
            <w:vAlign w:val="bottom"/>
          </w:tcPr>
          <w:p>
            <w:pPr>
              <w:ind w:left="120"/>
              <w:spacing w:after="0"/>
              <w:rPr>
                <w:sz w:val="20"/>
                <w:szCs w:val="20"/>
                <w:color w:val="auto"/>
              </w:rPr>
            </w:pPr>
            <w:r>
              <w:rPr>
                <w:rFonts w:ascii="Arial" w:cs="Arial" w:eastAsia="Arial" w:hAnsi="Arial"/>
                <w:sz w:val="16"/>
                <w:szCs w:val="16"/>
                <w:color w:val="262626"/>
              </w:rPr>
              <w:t>Chief Financial Officer</w:t>
            </w:r>
          </w:p>
        </w:tc>
        <w:tc>
          <w:tcPr>
            <w:tcW w:w="0" w:type="dxa"/>
            <w:vAlign w:val="bottom"/>
          </w:tcPr>
          <w:p>
            <w:pPr>
              <w:spacing w:after="0"/>
              <w:rPr>
                <w:sz w:val="1"/>
                <w:szCs w:val="1"/>
                <w:color w:val="auto"/>
              </w:rPr>
            </w:pPr>
          </w:p>
        </w:tc>
      </w:tr>
      <w:tr>
        <w:trPr>
          <w:trHeight w:val="210"/>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262626"/>
              </w:rPr>
              <w:t xml:space="preserve">Janice L. Hess </w:t>
            </w:r>
            <w:r>
              <w:rPr>
                <w:rFonts w:ascii="Arial" w:cs="Arial" w:eastAsia="Arial" w:hAnsi="Arial"/>
                <w:sz w:val="9"/>
                <w:szCs w:val="9"/>
                <w:b w:val="1"/>
                <w:bCs w:val="1"/>
                <w:color w:val="262626"/>
              </w:rPr>
              <w:t>2,4</w:t>
            </w:r>
          </w:p>
        </w:tc>
        <w:tc>
          <w:tcPr>
            <w:tcW w:w="1960" w:type="dxa"/>
            <w:vAlign w:val="bottom"/>
          </w:tcPr>
          <w:p>
            <w:pPr>
              <w:ind w:left="140"/>
              <w:spacing w:after="0"/>
              <w:rPr>
                <w:sz w:val="20"/>
                <w:szCs w:val="20"/>
                <w:color w:val="auto"/>
              </w:rPr>
            </w:pPr>
            <w:r>
              <w:rPr>
                <w:rFonts w:ascii="Arial" w:cs="Arial" w:eastAsia="Arial" w:hAnsi="Arial"/>
                <w:sz w:val="16"/>
                <w:szCs w:val="16"/>
                <w:color w:val="262626"/>
              </w:rPr>
              <w:t>Eversource Energy</w:t>
            </w:r>
          </w:p>
        </w:tc>
        <w:tc>
          <w:tcPr>
            <w:tcW w:w="1840" w:type="dxa"/>
            <w:vAlign w:val="bottom"/>
          </w:tcPr>
          <w:p>
            <w:pPr>
              <w:ind w:left="120"/>
              <w:spacing w:after="0"/>
              <w:rPr>
                <w:sz w:val="20"/>
                <w:szCs w:val="20"/>
                <w:color w:val="auto"/>
              </w:rPr>
            </w:pPr>
            <w:r>
              <w:rPr>
                <w:rFonts w:ascii="Arial" w:cs="Arial" w:eastAsia="Arial" w:hAnsi="Arial"/>
                <w:sz w:val="16"/>
                <w:szCs w:val="16"/>
                <w:color w:val="262626"/>
              </w:rPr>
              <w:t>Stereotaxis, Inc.</w:t>
            </w: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Retired President</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 xml:space="preserve">Robert J. Phillippy </w:t>
            </w:r>
            <w:r>
              <w:rPr>
                <w:rFonts w:ascii="Arial" w:cs="Arial" w:eastAsia="Arial" w:hAnsi="Arial"/>
                <w:sz w:val="9"/>
                <w:szCs w:val="9"/>
                <w:b w:val="1"/>
                <w:bCs w:val="1"/>
                <w:color w:val="262626"/>
              </w:rPr>
              <w:t>1,3,4</w:t>
            </w:r>
          </w:p>
        </w:tc>
        <w:tc>
          <w:tcPr>
            <w:tcW w:w="1840" w:type="dxa"/>
            <w:vAlign w:val="bottom"/>
          </w:tcPr>
          <w:p>
            <w:pPr>
              <w:ind w:left="120"/>
              <w:spacing w:after="0"/>
              <w:rPr>
                <w:sz w:val="20"/>
                <w:szCs w:val="20"/>
                <w:color w:val="auto"/>
              </w:rPr>
            </w:pPr>
            <w:r>
              <w:rPr>
                <w:rFonts w:ascii="Arial" w:cs="Arial" w:eastAsia="Arial" w:hAnsi="Arial"/>
                <w:sz w:val="16"/>
                <w:szCs w:val="16"/>
                <w:b w:val="1"/>
                <w:bCs w:val="1"/>
                <w:color w:val="262626"/>
              </w:rPr>
              <w:t xml:space="preserve">Gloria L. Valdez </w:t>
            </w:r>
            <w:r>
              <w:rPr>
                <w:rFonts w:ascii="Arial" w:cs="Arial" w:eastAsia="Arial" w:hAnsi="Arial"/>
                <w:sz w:val="9"/>
                <w:szCs w:val="9"/>
                <w:b w:val="1"/>
                <w:bCs w:val="1"/>
                <w:color w:val="262626"/>
              </w:rPr>
              <w:t>3,4</w:t>
            </w: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of Engineered</w:t>
            </w:r>
          </w:p>
        </w:tc>
        <w:tc>
          <w:tcPr>
            <w:tcW w:w="1960" w:type="dxa"/>
            <w:vAlign w:val="bottom"/>
          </w:tcPr>
          <w:p>
            <w:pPr>
              <w:ind w:left="140"/>
              <w:spacing w:after="0"/>
              <w:rPr>
                <w:sz w:val="20"/>
                <w:szCs w:val="20"/>
                <w:color w:val="auto"/>
              </w:rPr>
            </w:pPr>
            <w:r>
              <w:rPr>
                <w:rFonts w:ascii="Arial" w:cs="Arial" w:eastAsia="Arial" w:hAnsi="Arial"/>
                <w:sz w:val="16"/>
                <w:szCs w:val="16"/>
                <w:color w:val="262626"/>
              </w:rPr>
              <w:t>Executive Advisor;</w:t>
            </w:r>
          </w:p>
        </w:tc>
        <w:tc>
          <w:tcPr>
            <w:tcW w:w="1840" w:type="dxa"/>
            <w:vAlign w:val="bottom"/>
          </w:tcPr>
          <w:p>
            <w:pPr>
              <w:ind w:left="120"/>
              <w:spacing w:after="0"/>
              <w:rPr>
                <w:sz w:val="20"/>
                <w:szCs w:val="20"/>
                <w:color w:val="auto"/>
              </w:rPr>
            </w:pPr>
            <w:r>
              <w:rPr>
                <w:rFonts w:ascii="Arial" w:cs="Arial" w:eastAsia="Arial" w:hAnsi="Arial"/>
                <w:sz w:val="16"/>
                <w:szCs w:val="16"/>
                <w:color w:val="262626"/>
                <w:w w:val="96"/>
              </w:rPr>
              <w:t>Retired Deputy Assistant</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Systems Segment</w:t>
            </w:r>
          </w:p>
        </w:tc>
        <w:tc>
          <w:tcPr>
            <w:tcW w:w="1960" w:type="dxa"/>
            <w:vAlign w:val="bottom"/>
          </w:tcPr>
          <w:p>
            <w:pPr>
              <w:ind w:left="140"/>
              <w:spacing w:after="0"/>
              <w:rPr>
                <w:sz w:val="20"/>
                <w:szCs w:val="20"/>
                <w:color w:val="auto"/>
              </w:rPr>
            </w:pPr>
            <w:r>
              <w:rPr>
                <w:rFonts w:ascii="Arial" w:cs="Arial" w:eastAsia="Arial" w:hAnsi="Arial"/>
                <w:sz w:val="16"/>
                <w:szCs w:val="16"/>
                <w:color w:val="262626"/>
              </w:rPr>
              <w:t>Former President and</w:t>
            </w:r>
          </w:p>
        </w:tc>
        <w:tc>
          <w:tcPr>
            <w:tcW w:w="1840" w:type="dxa"/>
            <w:vAlign w:val="bottom"/>
          </w:tcPr>
          <w:p>
            <w:pPr>
              <w:ind w:left="120"/>
              <w:spacing w:after="0"/>
              <w:rPr>
                <w:sz w:val="20"/>
                <w:szCs w:val="20"/>
                <w:color w:val="auto"/>
              </w:rPr>
            </w:pPr>
            <w:r>
              <w:rPr>
                <w:rFonts w:ascii="Arial" w:cs="Arial" w:eastAsia="Arial" w:hAnsi="Arial"/>
                <w:sz w:val="16"/>
                <w:szCs w:val="16"/>
                <w:color w:val="262626"/>
              </w:rPr>
              <w:t>Secretary of the Navy</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Teledyne</w:t>
            </w:r>
          </w:p>
        </w:tc>
        <w:tc>
          <w:tcPr>
            <w:tcW w:w="1960" w:type="dxa"/>
            <w:vAlign w:val="bottom"/>
          </w:tcPr>
          <w:p>
            <w:pPr>
              <w:ind w:left="140"/>
              <w:spacing w:after="0"/>
              <w:rPr>
                <w:sz w:val="20"/>
                <w:szCs w:val="20"/>
                <w:color w:val="auto"/>
              </w:rPr>
            </w:pPr>
            <w:r>
              <w:rPr>
                <w:rFonts w:ascii="Arial" w:cs="Arial" w:eastAsia="Arial" w:hAnsi="Arial"/>
                <w:sz w:val="16"/>
                <w:szCs w:val="16"/>
                <w:color w:val="262626"/>
              </w:rPr>
              <w:t>Chief Executive Officer</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Technologies Inc.</w:t>
            </w:r>
          </w:p>
        </w:tc>
        <w:tc>
          <w:tcPr>
            <w:tcW w:w="1960" w:type="dxa"/>
            <w:vAlign w:val="bottom"/>
          </w:tcPr>
          <w:p>
            <w:pPr>
              <w:ind w:left="140"/>
              <w:spacing w:after="0"/>
              <w:rPr>
                <w:sz w:val="20"/>
                <w:szCs w:val="20"/>
                <w:color w:val="auto"/>
              </w:rPr>
            </w:pPr>
            <w:r>
              <w:rPr>
                <w:rFonts w:ascii="Arial" w:cs="Arial" w:eastAsia="Arial" w:hAnsi="Arial"/>
                <w:sz w:val="16"/>
                <w:szCs w:val="16"/>
                <w:color w:val="262626"/>
              </w:rPr>
              <w:t>of Newport Corporation</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6"/>
                <w:szCs w:val="16"/>
                <w:b w:val="1"/>
                <w:bCs w:val="1"/>
                <w:color w:val="262626"/>
              </w:rPr>
              <w:t xml:space="preserve">Vinod M. Khilnani </w:t>
            </w:r>
            <w:r>
              <w:rPr>
                <w:rFonts w:ascii="Arial" w:cs="Arial" w:eastAsia="Arial" w:hAnsi="Arial"/>
                <w:sz w:val="9"/>
                <w:szCs w:val="9"/>
                <w:b w:val="1"/>
                <w:bCs w:val="1"/>
                <w:color w:val="262626"/>
              </w:rPr>
              <w:t>2,3</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62626"/>
              </w:rPr>
              <w:t xml:space="preserve">Bryan Sayler </w:t>
            </w:r>
            <w:r>
              <w:rPr>
                <w:rFonts w:ascii="Arial" w:cs="Arial" w:eastAsia="Arial" w:hAnsi="Arial"/>
                <w:sz w:val="9"/>
                <w:szCs w:val="9"/>
                <w:b w:val="1"/>
                <w:bCs w:val="1"/>
                <w:color w:val="262626"/>
              </w:rPr>
              <w:t>1</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780" w:type="dxa"/>
            <w:vAlign w:val="bottom"/>
          </w:tcPr>
          <w:p>
            <w:pPr>
              <w:spacing w:after="0"/>
              <w:rPr>
                <w:sz w:val="20"/>
                <w:szCs w:val="20"/>
                <w:color w:val="auto"/>
              </w:rPr>
            </w:pPr>
            <w:r>
              <w:rPr>
                <w:rFonts w:ascii="Arial" w:cs="Arial" w:eastAsia="Arial" w:hAnsi="Arial"/>
                <w:sz w:val="16"/>
                <w:szCs w:val="16"/>
                <w:color w:val="262626"/>
              </w:rPr>
              <w:t>Retired Executive</w:t>
            </w:r>
          </w:p>
        </w:tc>
        <w:tc>
          <w:tcPr>
            <w:tcW w:w="1960" w:type="dxa"/>
            <w:vAlign w:val="bottom"/>
          </w:tcPr>
          <w:p>
            <w:pPr>
              <w:ind w:left="140"/>
              <w:spacing w:after="0"/>
              <w:rPr>
                <w:sz w:val="20"/>
                <w:szCs w:val="20"/>
                <w:color w:val="auto"/>
              </w:rPr>
            </w:pPr>
            <w:r>
              <w:rPr>
                <w:rFonts w:ascii="Arial" w:cs="Arial" w:eastAsia="Arial" w:hAnsi="Arial"/>
                <w:sz w:val="16"/>
                <w:szCs w:val="16"/>
                <w:color w:val="262626"/>
              </w:rPr>
              <w:t>Chief Executive Officer</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Chairman</w:t>
            </w:r>
          </w:p>
        </w:tc>
        <w:tc>
          <w:tcPr>
            <w:tcW w:w="1960" w:type="dxa"/>
            <w:vAlign w:val="bottom"/>
          </w:tcPr>
          <w:p>
            <w:pPr>
              <w:ind w:left="140"/>
              <w:spacing w:after="0"/>
              <w:rPr>
                <w:sz w:val="20"/>
                <w:szCs w:val="20"/>
                <w:color w:val="auto"/>
              </w:rPr>
            </w:pPr>
            <w:r>
              <w:rPr>
                <w:rFonts w:ascii="Arial" w:cs="Arial" w:eastAsia="Arial" w:hAnsi="Arial"/>
                <w:sz w:val="16"/>
                <w:szCs w:val="16"/>
                <w:color w:val="262626"/>
              </w:rPr>
              <w:t>&amp; President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6"/>
                <w:szCs w:val="16"/>
                <w:color w:val="262626"/>
              </w:rPr>
              <w:t>CTS Corporation</w:t>
            </w:r>
          </w:p>
        </w:tc>
        <w:tc>
          <w:tcPr>
            <w:tcW w:w="1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947420</wp:posOffset>
                </wp:positionV>
                <wp:extent cx="35591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917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6pt" to="280.25pt,74.6pt" o:allowincell="f" strokecolor="#262626" strokeweight="0.2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
        <w:spacing w:after="0"/>
        <w:rPr>
          <w:sz w:val="20"/>
          <w:szCs w:val="20"/>
          <w:color w:val="auto"/>
        </w:rPr>
      </w:pPr>
      <w:r>
        <w:rPr>
          <w:rFonts w:ascii="Arial" w:cs="Arial" w:eastAsia="Arial" w:hAnsi="Arial"/>
          <w:sz w:val="13"/>
          <w:szCs w:val="13"/>
          <w:color w:val="262626"/>
        </w:rPr>
        <w:t>1  Executive Committee</w:t>
      </w:r>
    </w:p>
    <w:p>
      <w:pPr>
        <w:spacing w:after="0" w:line="60" w:lineRule="exact"/>
        <w:rPr>
          <w:sz w:val="20"/>
          <w:szCs w:val="20"/>
          <w:color w:val="auto"/>
        </w:rPr>
      </w:pPr>
    </w:p>
    <w:p>
      <w:pPr>
        <w:ind w:left="6"/>
        <w:spacing w:after="0"/>
        <w:rPr>
          <w:sz w:val="20"/>
          <w:szCs w:val="20"/>
          <w:color w:val="auto"/>
        </w:rPr>
      </w:pPr>
      <w:r>
        <w:rPr>
          <w:rFonts w:ascii="Arial" w:cs="Arial" w:eastAsia="Arial" w:hAnsi="Arial"/>
          <w:sz w:val="13"/>
          <w:szCs w:val="13"/>
          <w:color w:val="262626"/>
        </w:rPr>
        <w:t>2  Audit and Finance Committee</w:t>
      </w:r>
    </w:p>
    <w:p>
      <w:pPr>
        <w:spacing w:after="0" w:line="60" w:lineRule="exact"/>
        <w:rPr>
          <w:sz w:val="20"/>
          <w:szCs w:val="20"/>
          <w:color w:val="auto"/>
        </w:rPr>
      </w:pPr>
    </w:p>
    <w:p>
      <w:pPr>
        <w:ind w:left="186" w:hanging="186"/>
        <w:spacing w:after="0"/>
        <w:tabs>
          <w:tab w:leader="none" w:pos="186" w:val="left"/>
        </w:tabs>
        <w:numPr>
          <w:ilvl w:val="0"/>
          <w:numId w:val="32"/>
        </w:numPr>
        <w:rPr>
          <w:rFonts w:ascii="Arial" w:cs="Arial" w:eastAsia="Arial" w:hAnsi="Arial"/>
          <w:sz w:val="13"/>
          <w:szCs w:val="13"/>
          <w:color w:val="262626"/>
        </w:rPr>
      </w:pPr>
      <w:r>
        <w:rPr>
          <w:rFonts w:ascii="Arial" w:cs="Arial" w:eastAsia="Arial" w:hAnsi="Arial"/>
          <w:sz w:val="13"/>
          <w:szCs w:val="13"/>
          <w:color w:val="262626"/>
        </w:rPr>
        <w:t>Human Resources and Compensation Committee</w:t>
      </w:r>
    </w:p>
    <w:p>
      <w:pPr>
        <w:spacing w:after="0" w:line="60" w:lineRule="exact"/>
        <w:rPr>
          <w:rFonts w:ascii="Arial" w:cs="Arial" w:eastAsia="Arial" w:hAnsi="Arial"/>
          <w:sz w:val="13"/>
          <w:szCs w:val="13"/>
          <w:color w:val="262626"/>
        </w:rPr>
      </w:pPr>
    </w:p>
    <w:p>
      <w:pPr>
        <w:ind w:left="6"/>
        <w:spacing w:after="0"/>
        <w:rPr>
          <w:rFonts w:ascii="Arial" w:cs="Arial" w:eastAsia="Arial" w:hAnsi="Arial"/>
          <w:sz w:val="13"/>
          <w:szCs w:val="13"/>
          <w:color w:val="262626"/>
        </w:rPr>
      </w:pPr>
      <w:r>
        <w:rPr>
          <w:rFonts w:ascii="Arial" w:cs="Arial" w:eastAsia="Arial" w:hAnsi="Arial"/>
          <w:sz w:val="13"/>
          <w:szCs w:val="13"/>
          <w:color w:val="262626"/>
        </w:rPr>
        <w:t>4  Nominating and Corporate Governance Committee</w:t>
      </w:r>
    </w:p>
    <w:p>
      <w:pPr>
        <w:sectPr>
          <w:pgSz w:w="12240" w:h="15840" w:orient="portrait"/>
          <w:cols w:equalWidth="0" w:num="2">
            <w:col w:w="4080" w:space="394"/>
            <w:col w:w="5586"/>
          </w:cols>
          <w:pgMar w:left="1080" w:top="1013" w:right="1100" w:bottom="584" w:gutter="0" w:footer="0" w:header="0"/>
        </w:sectPr>
      </w:pPr>
    </w:p>
    <w:bookmarkStart w:id="79" w:name="page80"/>
    <w:bookmarkEnd w:id="79"/>
    <w:p>
      <w:pPr>
        <w:ind w:left="79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ESCO Technologies Inc.</w:t>
      </w:r>
    </w:p>
    <w:p>
      <w:pPr>
        <w:spacing w:after="0" w:line="33"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FFFFFF"/>
        </w:rPr>
        <w:t>9900A Clayton Road</w:t>
      </w:r>
    </w:p>
    <w:p>
      <w:pPr>
        <w:spacing w:after="0" w:line="33"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FFFFFF"/>
        </w:rPr>
        <w:t>St. Louis, MO 63124</w:t>
      </w:r>
    </w:p>
    <w:p>
      <w:pPr>
        <w:spacing w:after="0" w:line="33"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FFFFFF"/>
        </w:rPr>
        <w:t>www.escotechnologies.com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b w:val="1"/>
          <w:bCs w:val="1"/>
          <w:color w:val="FFFFFF"/>
        </w:rPr>
        <w:t>ESCO Technologies is a global provider of highly-engineered products and solutions to diverse end-markets that include the defense, aerospace, space, wireless, consumer electronics, healthcare, automotive, electric utility, and renewable energy industries. The company consists of three technology-driven business segments — Aerospace &amp; Defense, Utility Solutions Group, and RF Test &amp; Measurement. Headquartered in St. Louis, Missouri, ESCO and its subsidiaries have offices and manufacturing facilities worldwide.</w:t>
      </w:r>
    </w:p>
    <w:p>
      <w:pPr>
        <w:sectPr>
          <w:pgSz w:w="12240" w:h="15840" w:orient="portrait"/>
          <w:cols w:equalWidth="0" w:num="1">
            <w:col w:w="10060"/>
          </w:cols>
          <w:pgMar w:left="1080" w:top="1034" w:right="1100" w:bottom="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FD960B"/>
        </w:rPr>
        <w:t>Aerospace &amp; Defense</w:t>
      </w:r>
    </w:p>
    <w:p>
      <w:pPr>
        <w:spacing w:after="0" w:line="286" w:lineRule="exact"/>
        <w:rPr>
          <w:sz w:val="20"/>
          <w:szCs w:val="20"/>
          <w:color w:val="auto"/>
        </w:rPr>
      </w:pPr>
    </w:p>
    <w:p>
      <w:pPr>
        <w:spacing w:after="0" w:line="270" w:lineRule="auto"/>
        <w:rPr>
          <w:sz w:val="20"/>
          <w:szCs w:val="20"/>
          <w:color w:val="auto"/>
        </w:rPr>
      </w:pPr>
      <w:r>
        <w:rPr>
          <w:rFonts w:ascii="Arial" w:cs="Arial" w:eastAsia="Arial" w:hAnsi="Arial"/>
          <w:sz w:val="17"/>
          <w:szCs w:val="17"/>
          <w:color w:val="FFFFFF"/>
        </w:rPr>
        <w:t>Aerospace &amp; Defense (A&amp;D) provides highly-engineered hydraulic filtration systems, fluid control valves, machined components, and metal finishing for the aerospace, space, and defense industries. In addition, A&amp;D designs and manufactures complex shock and vibration dampening tiles and signature reduction solutions that enhance</w:t>
      </w:r>
    </w:p>
    <w:p>
      <w:pPr>
        <w:ind w:right="260"/>
        <w:spacing w:after="0" w:line="291" w:lineRule="auto"/>
        <w:rPr>
          <w:sz w:val="20"/>
          <w:szCs w:val="20"/>
          <w:color w:val="auto"/>
        </w:rPr>
      </w:pPr>
      <w:r>
        <w:rPr>
          <w:rFonts w:ascii="Arial" w:cs="Arial" w:eastAsia="Arial" w:hAnsi="Arial"/>
          <w:sz w:val="17"/>
          <w:szCs w:val="17"/>
          <w:color w:val="FFFFFF"/>
        </w:rPr>
        <w:t>the stealth capabilities of U.S. Navy submarines and surface 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4"/>
          <w:szCs w:val="24"/>
          <w:b w:val="1"/>
          <w:bCs w:val="1"/>
          <w:color w:val="FD960B"/>
        </w:rPr>
        <w:t>Utility Solutions Group</w:t>
      </w:r>
    </w:p>
    <w:p>
      <w:pPr>
        <w:spacing w:after="0" w:line="316" w:lineRule="exact"/>
        <w:rPr>
          <w:sz w:val="20"/>
          <w:szCs w:val="20"/>
          <w:color w:val="auto"/>
        </w:rPr>
      </w:pPr>
    </w:p>
    <w:p>
      <w:pPr>
        <w:spacing w:after="0" w:line="271" w:lineRule="auto"/>
        <w:rPr>
          <w:sz w:val="20"/>
          <w:szCs w:val="20"/>
          <w:color w:val="auto"/>
        </w:rPr>
      </w:pPr>
      <w:r>
        <w:rPr>
          <w:rFonts w:ascii="Arial" w:cs="Arial" w:eastAsia="Arial" w:hAnsi="Arial"/>
          <w:sz w:val="17"/>
          <w:szCs w:val="17"/>
          <w:color w:val="FFFFFF"/>
        </w:rPr>
        <w:t>Utility Solutions Group (USG) offers industry-leading diagnostic, protection testing, and condition monitoring equipment, consulting and laboratory testing services, and data analytics vital for ongoing grid reliability and renewable energy project development. Our USG segment offers a complete range of solutions that efficiently measure asset health and ensure the reliable, safe, and secure delivery of power.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ind w:right="640"/>
        <w:spacing w:after="0"/>
        <w:rPr>
          <w:sz w:val="20"/>
          <w:szCs w:val="20"/>
          <w:color w:val="auto"/>
        </w:rPr>
      </w:pPr>
      <w:r>
        <w:rPr>
          <w:rFonts w:ascii="Arial" w:cs="Arial" w:eastAsia="Arial" w:hAnsi="Arial"/>
          <w:sz w:val="21"/>
          <w:szCs w:val="21"/>
          <w:b w:val="1"/>
          <w:bCs w:val="1"/>
          <w:color w:val="FD960B"/>
        </w:rPr>
        <w:t>RF Test &amp; Measurement</w:t>
      </w:r>
    </w:p>
    <w:p>
      <w:pPr>
        <w:spacing w:after="0" w:line="350"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FFFFFF"/>
        </w:rPr>
        <w:t>RF Test &amp; Measurement (Test) is an industry leader in designing and manufacturing products and systems to measure and control RF and acoustic energy for research and development, regulatory compliance, medical, and security applications. It supplies a broad range of turnkey systems, including RF test facilities and measurement systems, acoustic test enclosures, RF and magnetically shielded rooms, and secure communication facilities.</w:t>
      </w:r>
    </w:p>
    <w:p>
      <w:pPr>
        <w:spacing w:after="0" w:line="200" w:lineRule="exact"/>
        <w:rPr>
          <w:sz w:val="20"/>
          <w:szCs w:val="20"/>
          <w:color w:val="auto"/>
        </w:rPr>
      </w:pPr>
    </w:p>
    <w:p>
      <w:pPr>
        <w:sectPr>
          <w:pgSz w:w="12240" w:h="15840" w:orient="portrait"/>
          <w:cols w:equalWidth="0" w:num="3">
            <w:col w:w="3060" w:space="420"/>
            <w:col w:w="2840" w:space="640"/>
            <w:col w:w="3100"/>
          </w:cols>
          <w:pgMar w:left="1080" w:top="1034"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 w:hanging="360"/>
        <w:spacing w:after="0"/>
        <w:tabs>
          <w:tab w:leader="none" w:pos="360" w:val="left"/>
        </w:tabs>
        <w:numPr>
          <w:ilvl w:val="0"/>
          <w:numId w:val="33"/>
        </w:numPr>
        <w:rPr>
          <w:rFonts w:ascii="Times New Roman" w:cs="Times New Roman" w:eastAsia="Times New Roman" w:hAnsi="Times New Roman"/>
          <w:sz w:val="19"/>
          <w:szCs w:val="19"/>
          <w:i w:val="1"/>
          <w:iCs w:val="1"/>
          <w:color w:val="262626"/>
        </w:rPr>
      </w:pPr>
      <w:r>
        <w:rPr>
          <w:rFonts w:ascii="Arial" w:cs="Arial" w:eastAsia="Arial" w:hAnsi="Arial"/>
          <w:sz w:val="14"/>
          <w:szCs w:val="14"/>
          <w:b w:val="1"/>
          <w:bCs w:val="1"/>
          <w:color w:val="262626"/>
        </w:rPr>
        <w:t>ESCO Technologies</w:t>
      </w:r>
    </w:p>
    <w:sectPr>
      <w:pgSz w:w="12240" w:h="15840" w:orient="portrait"/>
      <w:cols w:equalWidth="0" w:num="1">
        <w:col w:w="10060"/>
      </w:cols>
      <w:pgMar w:left="1080" w:top="1034" w:right="110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6"/>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4"/>
    </w:lvl>
  </w:abstractNum>
  <w:abstractNum w:abstractNumId="3">
    <w:nsid w:val="3F2DBA31"/>
    <w:multiLevelType w:val="hybridMultilevel"/>
    <w:lvl w:ilvl="0">
      <w:lvlJc w:val="left"/>
      <w:lvlText w:val=" "/>
      <w:numFmt w:val="bullet"/>
      <w:start w:val="1"/>
    </w:lvl>
  </w:abstractNum>
  <w:abstractNum w:abstractNumId="4">
    <w:nsid w:val="7C83E458"/>
    <w:multiLevelType w:val="hybridMultilevel"/>
    <w:lvl w:ilvl="0">
      <w:lvlJc w:val="left"/>
      <w:lvlText w:val=" "/>
      <w:numFmt w:val="bullet"/>
      <w:start w:val="1"/>
    </w:lvl>
  </w:abstractNum>
  <w:abstractNum w:abstractNumId="5">
    <w:nsid w:val="257130A3"/>
    <w:multiLevelType w:val="hybridMultilevel"/>
    <w:lvl w:ilvl="0">
      <w:lvlJc w:val="left"/>
      <w:lvlText w:val=" "/>
      <w:numFmt w:val="bullet"/>
      <w:start w:val="1"/>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lowerRoman"/>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4"/>
    </w:lvl>
  </w:abstractNum>
  <w:abstractNum w:abstractNumId="16">
    <w:nsid w:val="79838CB2"/>
    <w:multiLevelType w:val="hybridMultilevel"/>
    <w:lvl w:ilvl="0">
      <w:lvlJc w:val="left"/>
      <w:lvlText w:val="(%1)"/>
      <w:numFmt w:val="lowerLetter"/>
      <w:start w:val="1"/>
    </w:lvl>
    <w:lvl w:ilvl="1">
      <w:lvlJc w:val="left"/>
      <w:lvlText w:val="(%2)"/>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upperLetter"/>
      <w:start w:val="9"/>
    </w:lvl>
  </w:abstractNum>
  <w:abstractNum w:abstractNumId="22">
    <w:nsid w:val="2CA88611"/>
    <w:multiLevelType w:val="hybridMultilevel"/>
    <w:lvl w:ilvl="0">
      <w:lvlJc w:val="left"/>
      <w:lvlText w:val="%1."/>
      <w:numFmt w:val="upperLetter"/>
      <w:start w:val="10"/>
    </w:lvl>
  </w:abstractNum>
  <w:abstractNum w:abstractNumId="23">
    <w:nsid w:val="836C40E"/>
    <w:multiLevelType w:val="hybridMultilevel"/>
    <w:lvl w:ilvl="0">
      <w:lvlJc w:val="left"/>
      <w:lvlText w:val=" "/>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314"/>
    </w:lvl>
  </w:abstractNum>
  <w:abstractNum w:abstractNumId="30">
    <w:nsid w:val="6CEAF087"/>
    <w:multiLevelType w:val="hybridMultilevel"/>
    <w:lvl w:ilvl="0">
      <w:lvlJc w:val="left"/>
      <w:lvlText w:val="(%1)"/>
      <w:numFmt w:val="decimal"/>
      <w:start w:val="877"/>
    </w:lvl>
  </w:abstractNum>
  <w:abstractNum w:abstractNumId="31">
    <w:nsid w:val="22221A70"/>
    <w:multiLevelType w:val="hybridMultilevel"/>
    <w:lvl w:ilvl="0">
      <w:lvlJc w:val="left"/>
      <w:lvlText w:val="3"/>
      <w:numFmt w:val="bullet"/>
      <w:start w:val="1"/>
    </w:lvl>
  </w:abstractNum>
  <w:abstractNum w:abstractNumId="32">
    <w:nsid w:val="4516DDE9"/>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2023-11-30T08:50:53Z</dcterms:created>
  <dcterms:modified xsi:type="dcterms:W3CDTF">2023-11-30T08:50:53Z</dcterms:modified>
</cp:coreProperties>
</file>