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1646d1_8k.htm"/>
      <w:bookmarkStart w:id="1" w:name="kstm2621646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w:t>
      </w:r>
      <w:bookmarkStart w:id="2" w:name="xdx_900_edei--DocumentType_c20260806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8_edei--EntityRegistrantName_c2026"/>
      <w:bookmarkEnd w:id="4"/>
      <w:r>
        <w:rPr>
          <w:rFonts w:ascii="Times New Roman;Times;Serif" w:hAnsi="Times New Roman;Times;Serif"/>
          <w:b w:val="false"/>
          <w:i w:val="false"/>
          <w:caps w:val="false"/>
          <w:smallCaps w:val="false"/>
          <w:sz w:val="28"/>
        </w:rPr>
        <w:t>ESCO TECHNOLOGIES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2780"/>
        <w:gridCol w:w="1295"/>
        <w:gridCol w:w="1775"/>
      </w:tblGrid>
      <w:tr>
        <w:trPr/>
        <w:tc>
          <w:tcPr>
            <w:tcW w:w="2780" w:type="dxa"/>
            <w:tcBorders/>
            <w:vAlign w:val="center"/>
          </w:tcPr>
          <w:p>
            <w:pPr>
              <w:pStyle w:val="TableContents"/>
              <w:bidi w:val="0"/>
              <w:spacing w:before="0" w:after="283"/>
              <w:jc w:val="center"/>
              <w:rPr/>
            </w:pPr>
            <w:bookmarkStart w:id="5" w:name="xdx_90F_edei--EntityIncorporationStateCo"/>
            <w:bookmarkEnd w:id="5"/>
            <w:r>
              <w:rPr/>
              <w:t>Missouri</w:t>
            </w:r>
          </w:p>
        </w:tc>
        <w:tc>
          <w:tcPr>
            <w:tcW w:w="1295" w:type="dxa"/>
            <w:tcBorders/>
            <w:vAlign w:val="center"/>
          </w:tcPr>
          <w:p>
            <w:pPr>
              <w:pStyle w:val="TableContents"/>
              <w:bidi w:val="0"/>
              <w:spacing w:before="0" w:after="283"/>
              <w:jc w:val="center"/>
              <w:rPr/>
            </w:pPr>
            <w:bookmarkStart w:id="6" w:name="xdx_909_edei--EntityFileNumber_c20260806"/>
            <w:bookmarkEnd w:id="6"/>
            <w:r>
              <w:rPr/>
              <w:t>1-10596</w:t>
            </w:r>
          </w:p>
        </w:tc>
        <w:tc>
          <w:tcPr>
            <w:tcW w:w="1775" w:type="dxa"/>
            <w:tcBorders/>
            <w:vAlign w:val="center"/>
          </w:tcPr>
          <w:p>
            <w:pPr>
              <w:pStyle w:val="TableContents"/>
              <w:bidi w:val="0"/>
              <w:spacing w:before="0" w:after="283"/>
              <w:jc w:val="center"/>
              <w:rPr/>
            </w:pPr>
            <w:bookmarkStart w:id="7" w:name="xdx_90B_edei--EntityTaxIdentificationNum"/>
            <w:bookmarkEnd w:id="7"/>
            <w:r>
              <w:rPr/>
              <w:t>43-1554045</w:t>
            </w:r>
          </w:p>
        </w:tc>
      </w:tr>
      <w:tr>
        <w:trPr/>
        <w:tc>
          <w:tcPr>
            <w:tcW w:w="2780" w:type="dxa"/>
            <w:tcBorders/>
            <w:vAlign w:val="center"/>
          </w:tcPr>
          <w:p>
            <w:pPr>
              <w:pStyle w:val="TableContents"/>
              <w:bidi w:val="0"/>
              <w:spacing w:before="0" w:after="283"/>
              <w:jc w:val="center"/>
              <w:rPr/>
            </w:pPr>
            <w:r>
              <w:rPr/>
              <w:t>(State or Other</w:t>
            </w:r>
          </w:p>
        </w:tc>
        <w:tc>
          <w:tcPr>
            <w:tcW w:w="1295" w:type="dxa"/>
            <w:tcBorders/>
            <w:vAlign w:val="center"/>
          </w:tcPr>
          <w:p>
            <w:pPr>
              <w:pStyle w:val="TableContents"/>
              <w:bidi w:val="0"/>
              <w:spacing w:before="0" w:after="283"/>
              <w:jc w:val="center"/>
              <w:rPr/>
            </w:pPr>
            <w:r>
              <w:rPr/>
              <w:t>(Commission</w:t>
            </w:r>
          </w:p>
        </w:tc>
        <w:tc>
          <w:tcPr>
            <w:tcW w:w="1775" w:type="dxa"/>
            <w:tcBorders/>
            <w:vAlign w:val="center"/>
          </w:tcPr>
          <w:p>
            <w:pPr>
              <w:pStyle w:val="TableContents"/>
              <w:bidi w:val="0"/>
              <w:spacing w:before="0" w:after="283"/>
              <w:jc w:val="center"/>
              <w:rPr/>
            </w:pPr>
            <w:r>
              <w:rPr/>
              <w:t>(I.R.S. Employer</w:t>
            </w:r>
          </w:p>
        </w:tc>
      </w:tr>
      <w:tr>
        <w:trPr/>
        <w:tc>
          <w:tcPr>
            <w:tcW w:w="2780" w:type="dxa"/>
            <w:tcBorders/>
            <w:vAlign w:val="center"/>
          </w:tcPr>
          <w:p>
            <w:pPr>
              <w:pStyle w:val="TableContents"/>
              <w:bidi w:val="0"/>
              <w:spacing w:before="0" w:after="283"/>
              <w:jc w:val="center"/>
              <w:rPr/>
            </w:pPr>
            <w:r>
              <w:rPr/>
              <w:t>Jurisdiction of Incorporation)</w:t>
            </w:r>
          </w:p>
        </w:tc>
        <w:tc>
          <w:tcPr>
            <w:tcW w:w="1295" w:type="dxa"/>
            <w:tcBorders/>
            <w:vAlign w:val="center"/>
          </w:tcPr>
          <w:p>
            <w:pPr>
              <w:pStyle w:val="TableContents"/>
              <w:bidi w:val="0"/>
              <w:spacing w:before="0" w:after="283"/>
              <w:jc w:val="center"/>
              <w:rPr/>
            </w:pPr>
            <w:r>
              <w:rPr/>
              <w:t>File Number)</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5600"/>
        <w:gridCol w:w="1190"/>
      </w:tblGrid>
      <w:tr>
        <w:trPr/>
        <w:tc>
          <w:tcPr>
            <w:tcW w:w="5600" w:type="dxa"/>
            <w:tcBorders/>
            <w:vAlign w:val="center"/>
          </w:tcPr>
          <w:p>
            <w:pPr>
              <w:pStyle w:val="TableContents"/>
              <w:bidi w:val="0"/>
              <w:spacing w:before="0" w:after="283"/>
              <w:jc w:val="center"/>
              <w:rPr/>
            </w:pPr>
            <w:bookmarkStart w:id="8" w:name="xdx_902_edei--EntityAddressAddressLine1_"/>
            <w:bookmarkEnd w:id="8"/>
            <w:r>
              <w:rPr/>
              <w:t xml:space="preserve">645 Maryville Centre Drive, </w:t>
            </w:r>
            <w:bookmarkStart w:id="9" w:name="xdx_900_edei--EntityAddressAddressLine2_"/>
            <w:bookmarkEnd w:id="9"/>
            <w:r>
              <w:rPr/>
              <w:t xml:space="preserve">Suite 300, </w:t>
            </w:r>
            <w:bookmarkStart w:id="10" w:name="xdx_905_edei--EntityAddressCityOrTown_c2"/>
            <w:bookmarkEnd w:id="10"/>
            <w:r>
              <w:rPr/>
              <w:t xml:space="preserve">St. Louis, </w:t>
            </w:r>
            <w:bookmarkStart w:id="11" w:name="xdx_90F_edei--EntityAddressStateOrProvin"/>
            <w:bookmarkEnd w:id="11"/>
            <w:r>
              <w:rPr/>
              <w:t>Missouri</w:t>
            </w:r>
          </w:p>
        </w:tc>
        <w:tc>
          <w:tcPr>
            <w:tcW w:w="1190" w:type="dxa"/>
            <w:tcBorders/>
            <w:vAlign w:val="center"/>
          </w:tcPr>
          <w:p>
            <w:pPr>
              <w:pStyle w:val="TableContents"/>
              <w:bidi w:val="0"/>
              <w:spacing w:before="0" w:after="283"/>
              <w:jc w:val="center"/>
              <w:rPr/>
            </w:pPr>
            <w:bookmarkStart w:id="12" w:name="xdx_90F_edei--EntityAddressPostalZipCode"/>
            <w:bookmarkEnd w:id="12"/>
            <w:r>
              <w:rPr/>
              <w:t>63141-5855</w:t>
            </w:r>
          </w:p>
        </w:tc>
      </w:tr>
      <w:tr>
        <w:trPr/>
        <w:tc>
          <w:tcPr>
            <w:tcW w:w="5600" w:type="dxa"/>
            <w:tcBorders/>
            <w:vAlign w:val="center"/>
          </w:tcPr>
          <w:p>
            <w:pPr>
              <w:pStyle w:val="TableContents"/>
              <w:bidi w:val="0"/>
              <w:spacing w:before="0" w:after="283"/>
              <w:jc w:val="center"/>
              <w:rPr/>
            </w:pPr>
            <w:r>
              <w:rPr/>
              <w:t>(Address of Principal Executive Offices)</w:t>
            </w:r>
          </w:p>
        </w:tc>
        <w:tc>
          <w:tcPr>
            <w:tcW w:w="119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2_edei--CityAreaCode_c20260806__20"/>
      <w:bookmarkEnd w:id="13"/>
      <w:r>
        <w:rPr>
          <w:rFonts w:ascii="Times New Roman;Times;Serif" w:hAnsi="Times New Roman;Times;Serif"/>
          <w:b w:val="false"/>
          <w:i w:val="false"/>
          <w:caps w:val="false"/>
          <w:smallCaps w:val="false"/>
          <w:sz w:val="20"/>
        </w:rPr>
        <w:t>314-</w:t>
      </w:r>
      <w:bookmarkStart w:id="14" w:name="xdx_90C_edei--LocalPhoneNumber_c20260806"/>
      <w:bookmarkEnd w:id="14"/>
      <w:r>
        <w:rPr>
          <w:rFonts w:ascii="Times New Roman;Times;Serif" w:hAnsi="Times New Roman;Times;Serif"/>
          <w:b w:val="false"/>
          <w:i w:val="false"/>
          <w:caps w:val="false"/>
          <w:smallCaps w:val="false"/>
          <w:sz w:val="20"/>
        </w:rPr>
        <w:t>213-7200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4025"/>
        <w:gridCol w:w="60"/>
        <w:gridCol w:w="1805"/>
        <w:gridCol w:w="60"/>
        <w:gridCol w:w="2660"/>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0" w:type="dxa"/>
            <w:tcBorders/>
            <w:vAlign w:val="center"/>
          </w:tcPr>
          <w:p>
            <w:pPr>
              <w:pStyle w:val="TableContents"/>
              <w:bidi w:val="0"/>
              <w:spacing w:before="0" w:after="283"/>
              <w:jc w:val="center"/>
              <w:rPr/>
            </w:pPr>
            <w:r>
              <w:rPr/>
              <w:t>Name of each exchange</w:t>
            </w:r>
          </w:p>
        </w:tc>
      </w:tr>
      <w:tr>
        <w:trPr/>
        <w:tc>
          <w:tcPr>
            <w:tcW w:w="4025" w:type="dxa"/>
            <w:tcBorders>
              <w:bottom w:val="single" w:sz="8" w:space="0" w:color="000000"/>
            </w:tcBorders>
            <w:tcMar>
              <w:bottom w:w="28" w:type="dxa"/>
            </w:tcMar>
            <w:vAlign w:val="center"/>
          </w:tcPr>
          <w:p>
            <w:pPr>
              <w:pStyle w:val="TableContents"/>
              <w:bidi w:val="0"/>
              <w:spacing w:before="0" w:after="283"/>
              <w:jc w:val="center"/>
              <w:rPr/>
            </w:pPr>
            <w:r>
              <w:rPr/>
              <w:t>Title of each class</w:t>
            </w:r>
          </w:p>
        </w:tc>
        <w:tc>
          <w:tcPr>
            <w:tcW w:w="60" w:type="dxa"/>
            <w:tcBorders/>
            <w:vAlign w:val="center"/>
          </w:tcPr>
          <w:p>
            <w:pPr>
              <w:pStyle w:val="TableContents"/>
              <w:bidi w:val="0"/>
              <w:spacing w:before="0" w:after="283"/>
              <w:jc w:val="center"/>
              <w:rPr/>
            </w:pPr>
            <w:r>
              <w:rPr/>
              <w:t> </w:t>
            </w:r>
          </w:p>
        </w:tc>
        <w:tc>
          <w:tcPr>
            <w:tcW w:w="1805" w:type="dxa"/>
            <w:tcBorders>
              <w:bottom w:val="single" w:sz="8" w:space="0" w:color="000000"/>
            </w:tcBorders>
            <w:tcMar>
              <w:bottom w:w="28" w:type="dxa"/>
            </w:tcMar>
            <w:vAlign w:val="center"/>
          </w:tcPr>
          <w:p>
            <w:pPr>
              <w:pStyle w:val="TableContents"/>
              <w:bidi w:val="0"/>
              <w:spacing w:before="0" w:after="283"/>
              <w:jc w:val="center"/>
              <w:rPr/>
            </w:pPr>
            <w:r>
              <w:rPr/>
              <w:t>Trading Symbol(s)</w:t>
            </w:r>
          </w:p>
        </w:tc>
        <w:tc>
          <w:tcPr>
            <w:tcW w:w="60" w:type="dxa"/>
            <w:tcBorders/>
            <w:vAlign w:val="center"/>
          </w:tcPr>
          <w:p>
            <w:pPr>
              <w:pStyle w:val="TableContents"/>
              <w:bidi w:val="0"/>
              <w:spacing w:before="0" w:after="283"/>
              <w:jc w:val="center"/>
              <w:rPr/>
            </w:pPr>
            <w:r>
              <w:rPr/>
              <w:t> </w:t>
            </w:r>
          </w:p>
        </w:tc>
        <w:tc>
          <w:tcPr>
            <w:tcW w:w="2660" w:type="dxa"/>
            <w:tcBorders>
              <w:bottom w:val="single" w:sz="8" w:space="0" w:color="000000"/>
            </w:tcBorders>
            <w:tcMar>
              <w:bottom w:w="28" w:type="dxa"/>
            </w:tcMar>
            <w:vAlign w:val="center"/>
          </w:tcPr>
          <w:p>
            <w:pPr>
              <w:pStyle w:val="TableContents"/>
              <w:bidi w:val="0"/>
              <w:spacing w:before="0" w:after="283"/>
              <w:jc w:val="center"/>
              <w:rPr/>
            </w:pPr>
            <w:r>
              <w:rPr/>
              <w:t>on which registered</w:t>
            </w:r>
          </w:p>
        </w:tc>
      </w:tr>
      <w:tr>
        <w:trPr/>
        <w:tc>
          <w:tcPr>
            <w:tcW w:w="4025" w:type="dxa"/>
            <w:tcBorders/>
            <w:vAlign w:val="center"/>
          </w:tcPr>
          <w:p>
            <w:pPr>
              <w:pStyle w:val="TableContents"/>
              <w:bidi w:val="0"/>
              <w:spacing w:before="0" w:after="283"/>
              <w:jc w:val="center"/>
              <w:rPr/>
            </w:pPr>
            <w:bookmarkStart w:id="15" w:name="xdx_90D_edei--Security12bTitle_c20260806"/>
            <w:bookmarkEnd w:id="15"/>
            <w:r>
              <w:rPr/>
              <w:t>Common Stock, par value $0.01 per share</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bookmarkStart w:id="16" w:name="xdx_90D_edei--TradingSymbol_c20260806__2"/>
            <w:bookmarkEnd w:id="16"/>
            <w:r>
              <w:rPr/>
              <w:t>ESE</w:t>
            </w:r>
          </w:p>
        </w:tc>
        <w:tc>
          <w:tcPr>
            <w:tcW w:w="60" w:type="dxa"/>
            <w:tcBorders/>
            <w:vAlign w:val="center"/>
          </w:tcPr>
          <w:p>
            <w:pPr>
              <w:pStyle w:val="TableContents"/>
              <w:bidi w:val="0"/>
              <w:spacing w:before="0" w:after="283"/>
              <w:jc w:val="center"/>
              <w:rPr/>
            </w:pPr>
            <w:r>
              <w:rPr/>
              <w:t> </w:t>
            </w:r>
          </w:p>
        </w:tc>
        <w:tc>
          <w:tcPr>
            <w:tcW w:w="2660" w:type="dxa"/>
            <w:tcBorders/>
            <w:vAlign w:val="center"/>
          </w:tcPr>
          <w:p>
            <w:pPr>
              <w:pStyle w:val="TableContents"/>
              <w:bidi w:val="0"/>
              <w:spacing w:before="0" w:after="283"/>
              <w:jc w:val="center"/>
              <w:rPr/>
            </w:pPr>
            <w:bookmarkStart w:id="17" w:name="xdx_902_edei--SecurityExchangeName_c2026"/>
            <w:bookmarkEnd w:id="17"/>
            <w:r>
              <w:rPr/>
              <w:t>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18" w:name="xdx_907_edei--WrittenCommunications_c202"/>
      <w:bookmarkEnd w:id="18"/>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19" w:name="xdx_907_edei--SolicitingMaterial_c202608"/>
      <w:bookmarkEnd w:id="19"/>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20" w:name="xdx_901_edei--PreCommencementTenderOffer"/>
      <w:bookmarkEnd w:id="20"/>
      <w:r>
        <w:rPr>
          <w:caps w:val="false"/>
          <w:smallCaps w:val="false"/>
        </w:rPr>
        <w:t>☐   </w:t>
      </w:r>
      <w:r>
        <w:rPr>
          <w:rFonts w:ascii="Times New Roman;Times;Serif" w:hAnsi="Times New Roman;Times;Serif"/>
          <w:b w:val="false"/>
          <w:i w:val="false"/>
          <w:caps w:val="false"/>
          <w:smallCaps w:val="false"/>
          <w:sz w:val="20"/>
        </w:rPr>
        <w:t>Pre-commencement communications pursuant to Rule 14d-2 (b) under the Exchange Act (17 CFR 240.14d-2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21" w:name="xdx_902_edei--PreCommencementIssuerTende"/>
      <w:bookmarkEnd w:id="21"/>
      <w:r>
        <w:rPr>
          <w:caps w:val="false"/>
          <w:smallCaps w:val="false"/>
        </w:rPr>
        <w:t>☐   </w:t>
      </w:r>
      <w:r>
        <w:rPr>
          <w:rFonts w:ascii="Times New Roman;Times;Serif" w:hAnsi="Times New Roman;Times;Serif"/>
          <w:b w:val="false"/>
          <w:i w:val="false"/>
          <w:caps w:val="false"/>
          <w:smallCaps w:val="false"/>
          <w:sz w:val="20"/>
        </w:rPr>
        <w:t>Pre-commencement communications pursuant to Rule 13e-4 (c) under the Exchange Act (17 CFR 240.113d-4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96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u w:val="single"/>
              </w:rPr>
            </w:pPr>
            <w:r>
              <w:rPr>
                <w:b/>
                <w:u w:val="single"/>
              </w:rPr>
              <w:t>Item 2.02</w:t>
            </w:r>
          </w:p>
        </w:tc>
        <w:tc>
          <w:tcPr>
            <w:tcW w:w="4745" w:type="dxa"/>
            <w:tcBorders/>
            <w:vAlign w:val="center"/>
          </w:tcPr>
          <w:p>
            <w:pPr>
              <w:pStyle w:val="TableContents"/>
              <w:bidi w:val="0"/>
              <w:spacing w:before="0" w:after="283"/>
              <w:jc w:val="left"/>
              <w:rPr>
                <w:b/>
                <w:u w:val="single"/>
              </w:rPr>
            </w:pPr>
            <w:r>
              <w:rPr>
                <w:b/>
                <w:u w:val="single"/>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August 6, 2026, the Registrant is issuing a press release (furnished as Exhibit 99.1 to this report) announcing its fiscal 2026 third quarter financial and operating results. See Item 7.01, Regulation FD Disclosure, below.</w:t>
      </w:r>
    </w:p>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96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u w:val="single"/>
              </w:rPr>
            </w:pPr>
            <w:r>
              <w:rPr>
                <w:b/>
                <w:u w:val="single"/>
              </w:rPr>
              <w:t>Item 7.01</w:t>
            </w:r>
          </w:p>
        </w:tc>
        <w:tc>
          <w:tcPr>
            <w:tcW w:w="2645" w:type="dxa"/>
            <w:tcBorders/>
            <w:vAlign w:val="center"/>
          </w:tcPr>
          <w:p>
            <w:pPr>
              <w:pStyle w:val="TableContents"/>
              <w:bidi w:val="0"/>
              <w:spacing w:before="0" w:after="283"/>
              <w:jc w:val="left"/>
              <w:rPr>
                <w:b/>
                <w:u w:val="single"/>
              </w:rPr>
            </w:pPr>
            <w:r>
              <w:rPr>
                <w:b/>
                <w:u w:val="single"/>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August 6, 2026, the Registrant is issuing a press release (furnished as Exhibit 99.1 to this report) announcing its fiscal 2026 third quarter financial and operating results. The press release will be posted on the Registrant’s investor website (</w:t>
      </w:r>
      <w:r>
        <w:rPr>
          <w:rFonts w:ascii="Times New Roman;Times;Serif" w:hAnsi="Times New Roman;Times;Serif"/>
          <w:b w:val="false"/>
          <w:i w:val="false"/>
          <w:caps w:val="false"/>
          <w:smallCaps w:val="false"/>
          <w:sz w:val="20"/>
          <w:u w:val="single"/>
        </w:rPr>
        <w:t>https://investor.escotechnologies.com</w:t>
      </w:r>
      <w:r>
        <w:rPr>
          <w:rFonts w:ascii="Times New Roman;Times;Serif" w:hAnsi="Times New Roman;Times;Serif"/>
          <w:b w:val="false"/>
          <w:i w:val="false"/>
          <w:caps w:val="false"/>
          <w:smallCaps w:val="false"/>
          <w:sz w:val="20"/>
        </w:rPr>
        <w:t>), although the Registrant reserves the right to discontinue that availability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will conduct a related webcast conference call today at 4:00 p.m. Central Time. The conference call webcast will be available on the Registrant’s investor website (</w:t>
      </w:r>
      <w:r>
        <w:rPr>
          <w:rFonts w:ascii="Times New Roman;Times;Serif" w:hAnsi="Times New Roman;Times;Serif"/>
          <w:b w:val="false"/>
          <w:i w:val="false"/>
          <w:caps w:val="false"/>
          <w:smallCaps w:val="false"/>
          <w:sz w:val="20"/>
          <w:u w:val="single"/>
        </w:rPr>
        <w:t>https://investor.escotechnologies.com</w:t>
      </w:r>
      <w:r>
        <w:rPr>
          <w:rFonts w:ascii="Times New Roman;Times;Serif" w:hAnsi="Times New Roman;Times;Serif"/>
          <w:b w:val="false"/>
          <w:i w:val="false"/>
          <w:caps w:val="false"/>
          <w:smallCaps w:val="false"/>
          <w:sz w:val="20"/>
        </w:rPr>
        <w:t>). A slide presentation will be utilized during the call and will be posted on the website prior to the call. For those unable to participate, a webcast replay will be available after the call on the website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although the Registrant reserves the right to discontinue that availability at any time.</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u w:val="single"/>
              </w:rPr>
            </w:pPr>
            <w:r>
              <w:rPr>
                <w:b/>
                <w:u w:val="single"/>
              </w:rPr>
              <w:t>Item 9.01</w:t>
            </w:r>
          </w:p>
        </w:tc>
        <w:tc>
          <w:tcPr>
            <w:tcW w:w="3500" w:type="dxa"/>
            <w:tcBorders/>
            <w:vAlign w:val="center"/>
          </w:tcPr>
          <w:p>
            <w:pPr>
              <w:pStyle w:val="TableContents"/>
              <w:bidi w:val="0"/>
              <w:spacing w:before="0" w:after="283"/>
              <w:jc w:val="left"/>
              <w:rPr>
                <w:b/>
                <w:u w:val="single"/>
              </w:rPr>
            </w:pPr>
            <w:r>
              <w:rPr>
                <w:b/>
                <w:u w:val="single"/>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980"/>
        <w:gridCol w:w="60"/>
        <w:gridCol w:w="324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Exhibit</w:t>
            </w:r>
          </w:p>
        </w:tc>
      </w:tr>
      <w:tr>
        <w:trPr/>
        <w:tc>
          <w:tcPr>
            <w:tcW w:w="9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24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hyperlink w:anchor="tm2621646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5" w:type="dxa"/>
            <w:tcBorders/>
            <w:tcMar>
              <w:bottom w:w="0" w:type="dxa"/>
            </w:tcMar>
            <w:vAlign w:val="center"/>
          </w:tcPr>
          <w:p>
            <w:pPr>
              <w:pStyle w:val="TableContents"/>
              <w:bidi w:val="0"/>
              <w:spacing w:before="0" w:after="283"/>
              <w:jc w:val="left"/>
              <w:rPr/>
            </w:pPr>
            <w:hyperlink w:anchor="tm2621646d1_ex99-1.htm">
              <w:r>
                <w:rPr>
                  <w:rStyle w:val="InternetLink"/>
                  <w:rFonts w:ascii="Times New Roman;Times;Serif" w:hAnsi="Times New Roman;Times;Serif"/>
                  <w:b w:val="false"/>
                  <w:i w:val="false"/>
                  <w:caps w:val="false"/>
                  <w:smallCaps w:val="false"/>
                  <w:sz w:val="20"/>
                </w:rPr>
                <w:t>Press Release dated August 6, 2026</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Cover Page Inline Interactive Data 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furnished pursuant to Item 2.02 and Item 7.01, including Exhibit 99.1, shall not be deemed to be “filed” for purposes of Section 18 of the Securities Exchange Act of 1934 as amended (“Exchange Act”) or otherwise subject to the liabilities of that section, unless the Registrant incorporates it by reference into a filing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to the Registrant’s website address in this Form 8-K and the press release are included only as inactive textual references, and the Registrant does not intend them to be active links to its website. Information contained on the Registrant’s website does not constitute part of this Form 8-K or the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760"/>
        <w:gridCol w:w="320"/>
        <w:gridCol w:w="4025"/>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43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ESCO TECHNOLOGIES INC.</w:t>
            </w:r>
          </w:p>
        </w:tc>
      </w:tr>
      <w:tr>
        <w:trPr/>
        <w:tc>
          <w:tcPr>
            <w:tcW w:w="176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/s/Christopher L. Tucker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L. Tucker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23" w:name="tm2621646d1_ex99-1.htm"/>
      <w:bookmarkStart w:id="24" w:name="kstm2621646d1_ex991"/>
      <w:bookmarkEnd w:id="23"/>
      <w:bookmarkEnd w:id="24"/>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r>
        <w:br w:type="page"/>
      </w:r>
    </w:p>
    <w:p>
      <w:pPr>
        <w:pStyle w:val="TextBody"/>
        <w:bidi w:val="0"/>
        <w:spacing w:before="0" w:after="0"/>
        <w:ind w:left="0" w:right="0" w:hanging="0"/>
        <w:jc w:val="righ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1235"/>
        <w:gridCol w:w="3090"/>
      </w:tblGrid>
      <w:tr>
        <w:trPr/>
        <w:tc>
          <w:tcPr>
            <w:tcW w:w="1235" w:type="dxa"/>
            <w:tcBorders/>
            <w:vAlign w:val="center"/>
          </w:tcPr>
          <w:p>
            <w:pPr>
              <w:pStyle w:val="TableContents"/>
              <w:bidi w:val="0"/>
              <w:spacing w:before="0" w:after="283"/>
              <w:jc w:val="left"/>
              <w:rPr>
                <w:sz w:val="20"/>
              </w:rPr>
            </w:pPr>
            <w:r>
              <w:rPr>
                <w:sz w:val="20"/>
              </w:rPr>
              <w:br/>
              <w:br/>
            </w:r>
            <w:r>
              <w:rPr>
                <w:rFonts w:ascii="Times New Roman;Times;Serif" w:hAnsi="Times New Roman;Times;Serif"/>
                <w:b/>
                <w:sz w:val="20"/>
              </w:rPr>
              <w:t>NEWS FROM</w:t>
            </w:r>
          </w:p>
        </w:tc>
        <w:tc>
          <w:tcPr>
            <w:tcW w:w="3090" w:type="dxa"/>
            <w:tcBorders/>
            <w:vAlign w:val="center"/>
          </w:tcPr>
          <w:p>
            <w:pPr>
              <w:pStyle w:val="TableContents"/>
              <w:bidi w:val="0"/>
              <w:spacing w:before="0" w:after="283"/>
              <w:jc w:val="right"/>
              <w:rPr/>
            </w:pPr>
            <w:r>
              <w:rPr/>
              <w:drawing>
                <wp:inline distT="0" distB="0" distL="0" distR="0">
                  <wp:extent cx="1914525" cy="1323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32397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contact: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Kate Lowrey - VP of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213-7277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klowrey@escotechnologies.com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ESCO REPORTS THIRD QUARTER FISCAL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Q3 Sales increase 14% to $339 Million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Q3 GAAP EPS from Continuing Operations increases 31% to $1.26 -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Q3 Adjusted EPS from Continuing Operations increases 38% to $2.20 -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August 6, 2026 – ESCO Technologies Inc. (NYSE: ESE) (ESCO, or the Company) today reported its operating results for the third quarter ended June 30, 2026 (Q3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Sales increased $43 million (14 percent) to $339 million compared to $296 million in Q3 2025. Q3 2026 organic sales increased $20 million (8 percent), and Maritime contributed $23 million of revenue growth in the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GAAP EPS from Continuing Operations increased 31 percent to $1.26 per share compared to $0.96 per share in Q3 2025. Q3 2026 Adjusted EPS from Continuing Operations increased 38 percent to $2.20 per share compared to $1.60 per share in Q3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entered orders were $410 million, with a book-to-bill ratio of 1.21. This resulted in record backlog at June 30 of $1.54 billion. Q3 2026 orders were lower than the prior year due to $364 million of acquired backlog related to the acquisition of Maritime in Q3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operating activities from Continuing Operations was $193 million YTD, an increase of $105 million compared to the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Sayler, Chief Executive Officer and President, commented, “Q3 was another strong quarter, highlighted by 14 percent revenue growth, 90 basis points of Adjusted EBIT margin expansion, and a 38 percent increase in Adjusted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Year to date, we have delivered double-digit organic sales growth across our aerospace, Navy, Test, and Doble businesses. This broad-based strength underscores the long-term growth dynamics across our end markets. At the same time, our backlog has increased by over $400 million year-to-date driven by momentum across our business platforms. This combination of durable growth drivers, leading market positions, and record backlog, gives us confidence in our ability to continue delivering above-market growth and we are pleased to again raise our full-year FY 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Segment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Aerospace &amp; Defense (A&amp;D)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sales increased $31.9 million (23 percent) to $168.2 million from $136.3 million in Q3 2025. Organic sales increased $9.2 million (9 percent) and Maritime added $22.7 million of revenue growth in the quarter. Quarterly sales growth was led by strong performance in commercial aerospace and Navy.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EBIT increased $13.8 million to $50.4 million from $36.6 million in Q3 2025. Adjusted EBIT increased $11.2 million in Q3 2026 to $50.5 million (30.0 percent margin) from $39.3 million (28.8 percent margin) in Q3 2025. The 28 percent increase in Adjusted EBIT was driven by leverage on higher volume and price increases, partially offset by inflationary pressures and unfavorable mix.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Entered Orders decreased $386.7 million (66 percent) to $195.7 million, as Q3 2025 contained $364.2 million in acquired backlog related to the Maritime acquisition along with $67 million in Block V.2/VI Virginia Class and $15 million of Columbia Class orders. Book-to-bill in the quarter was 1.16 driven by higher commercial and military aerospace OEM and aftermarket orders, resulting in record backlog of $1.1 billion.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Utility Solutions Group (USG)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sales increased $7.6 million (8 percent) to $100.0 million from $92.4 million in Q3 2025. Doble sales increased by $12.9 million (17 percent) while NRG sales decreased by $5.3 million (29 percent). Sales growth in the quarter was driven by higher protection testing, offline test equipment, and services revenue at Doble, partially offset by lower renewables revenue at NRG.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EBIT increased $0.5 million to $22.0 million from $21.5 million in Q3 2025. Adjusted EBIT increased $0.5 million in Q3 2026 to $22.3 million (22.3 percent margin) from $21.8 million (23.6 percent margin) in Q3 2025. The increase in Adjusted EBIT was driven by leverage on higher volume at Doble and price increases, mostly offset by EBIT reductions at NRG due to lower sales volumes.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entered orders increased $21.4 million (20 percent) to $126.9 million (book-to-bill of 1.27), resulting in backlog of $189.4 million. Doble orders increased $26.4 million (30 percent) to $113.3 million as the business continues to experience broad based increases in demand from utility customers. NRG orders decreased $5.0 million (27 percent) to $13.5 million, related to the expiration of U.S. renewables tax credits.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RF Test &amp; Measurement (Test)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sales increased $3.2 million (5 percent) to $70.9 million from $67.7 million in Q3 2025. Sales growth in the quarter was primarily driven by higher U.S Test &amp; Measurement (EMC), and medical and industrial shielding.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EBIT increased $0.2 million to $10.9 million from $10.7 million in Q3 2025. Q3 2026 Adjusted EBIT increased $0.9 million to $11.6 million (16.4 percent margin) from $10.7 million (15.9 percent margin) in Q3 2025. The 8 percent increase in Adjusted EBIT was driven by leverage on higher volume and price increases, partially offset by inflationary pressures.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Q3 2026 entered orders increased $25.8 million (42 percent) to $87.0 million (book-to-bill of 1.23), resulting in record backlog of $248.6 million. Orders strength in the quarter was driven by industrial shielding projects and electromagnetic interference (EMI) filters for U.S. data centers.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Megger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announced on April 15, 2026, ESCO has agreed to acquire Megger Group Limited. Megger will become part of ESCO’s Utility Solutions Group, creating a business of substantial scale and expanding our capabilities as a valued partner to utilities worldwide. All filings for regulatory approval are underway and we continue to anticipate closing on the transaction in Q1 of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Business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Outlook – FY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FY 2026 Sales and Adjusted EPS Guidance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Raising the lower end of FY 2026 Sales guidance and now expect Sales to be in the range of $1.30 to $1.33 billion (19 to 21 percent growth over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Raising full year Adjusted EPS guidance to a range of $8.30 - $8.40 per share (38 to 39 percent growth), which reflects a midpoint increase of $0.70 per share from our initial November guidance ($7.50 - $7.80) and $0.22 per share from our more recent May guidance update of ($8.00 - $8.25).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Q4’26 Adjusted EPS is expected to be in the range of $2.55 - $2.65 per share (10 to 14 percent growth compared to Q4’25 Adjusted EPS).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Dividend</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quarterly cash dividend of $0.08 per share will be paid on October 15, 2026 to stockholders of record on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 today, August 6, at 4:00 p.m. Central Time, to discuss the Company’s Q3 2026 results. A live audio webcast and an accompanying slide presentation will be available in the </w:t>
      </w:r>
      <w:r>
        <w:rPr>
          <w:rFonts w:ascii="Times New Roman;Times;Serif" w:hAnsi="Times New Roman;Times;Serif"/>
          <w:b w:val="false"/>
          <w:i w:val="false"/>
          <w:caps w:val="false"/>
          <w:smallCaps w:val="false"/>
          <w:sz w:val="20"/>
          <w:u w:val="single"/>
        </w:rPr>
        <w:t>Investor Center</w:t>
      </w:r>
      <w:r>
        <w:rPr>
          <w:rFonts w:ascii="Times New Roman;Times;Serif" w:hAnsi="Times New Roman;Times;Serif"/>
          <w:b w:val="false"/>
          <w:i w:val="false"/>
          <w:caps w:val="false"/>
          <w:smallCaps w:val="false"/>
          <w:sz w:val="20"/>
        </w:rPr>
        <w:t xml:space="preserve"> of ESCO’s website. Participants may also access the webcast using this </w:t>
      </w:r>
      <w:r>
        <w:rPr>
          <w:rFonts w:ascii="Times New Roman;Times;Serif" w:hAnsi="Times New Roman;Times;Serif"/>
          <w:b w:val="false"/>
          <w:i w:val="false"/>
          <w:caps w:val="false"/>
          <w:smallCaps w:val="false"/>
          <w:sz w:val="20"/>
          <w:u w:val="single"/>
        </w:rPr>
        <w:t>registration link</w:t>
      </w:r>
      <w:r>
        <w:rPr>
          <w:rFonts w:ascii="Times New Roman;Times;Serif" w:hAnsi="Times New Roman;Times;Serif"/>
          <w:b w:val="false"/>
          <w:i w:val="false"/>
          <w:caps w:val="false"/>
          <w:smallCaps w:val="false"/>
          <w:sz w:val="20"/>
        </w:rPr>
        <w:t xml:space="preserve">. For those unable to participate, a webcast replay will be available after the call in the </w:t>
      </w:r>
      <w:r>
        <w:rPr>
          <w:rFonts w:ascii="Times New Roman;Times;Serif" w:hAnsi="Times New Roman;Times;Serif"/>
          <w:b w:val="false"/>
          <w:i w:val="false"/>
          <w:caps w:val="false"/>
          <w:smallCaps w:val="false"/>
          <w:sz w:val="20"/>
          <w:u w:val="single"/>
        </w:rPr>
        <w:t>Investor Center</w:t>
      </w:r>
      <w:r>
        <w:rPr>
          <w:rFonts w:ascii="Times New Roman;Times;Serif" w:hAnsi="Times New Roman;Times;Serif"/>
          <w:b w:val="false"/>
          <w:i w:val="false"/>
          <w:caps w:val="false"/>
          <w:smallCaps w:val="false"/>
          <w:sz w:val="20"/>
        </w:rPr>
        <w:t xml:space="preserve"> of ESCO’s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regarding Management’s intentions, expectations and guidance for fiscal 2026, including restructuring and cost reduction actions, sales, orders, revenues, margin, earnings, Adjusted EPS, acquisition related amortization, and any other statements which are not strictly historical, are “forward-looking statements” within the meaning of the safe harbor provisions of the U.S.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that such statements are only predictions and speak only as of the date of this release, and the Company undertakes no duty to update them except as may be required by applicable laws or regulations. The Company’s actual results in the future may differ materially from those projected in the forward-looking statements due to risks and uncertainties that exist in the Company’s operations and business environment including but not limited to those described in Item 1A, “Risk Factors”, of the Company’s Annual Report on Form 10-K for the fiscal year ended September 30, 2025 and the following: the impacts of climate change and related regulation of greenhouse gases; the impacts of labor disputes, civil disorder, wars including the conflicts involving Iran and Lebanon, elections, political changes, tariffs and trade disputes, terrorist activities, cyberattacks or natural disasters on the Company’s operations and those of the Company’s customers and suppliers; disruptions in manufacturing or delivery arrangements due to shortages or unavailability of materials or components; restrictions or closures of critical supply routes such as the Strait of Hormuz; other supply chain disruptions; inability to access work sites; the timing and content of future contract awards or customer orders; the timely appropriation, allocation and availability of Government funds; the termination for convenience of Government and other customer contracts or orders; weakening of economic conditions in served markets; the success of the Company’s competitors; changes in customer demands or customer insolvencies; competition; intellectual property rights; technical difficulties or data breaches; the availability of acquisitions; delivery delays or defaults by customers; performance issues with key customers, suppliers and subcontractors; material changes in the costs and availability of certain raw materials; material changes in the cost of credit; changes in laws and regulations including but not limited to changes in accounting standards and taxation; changes in interest, inflation and employment rates; costs relating to environmental matters arising from current or former facilities; uncertainty regarding the ultimate resolution of current disputes, claims, litigation or arbitration; and the integration and performance of acquired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measures EBIT, Adjusted EBIT, EBITDA, Adjusted EBITDA, and Adjusted EPS are presented in this press release. The Company defines “EBIT” as earnings before interest and taxes, “EBITDA” as earnings before interest, taxes, depreciation and amortization, “Adjusted EBIT” and “Adjusted EBITDA” as excluding the net impact of the items described in the attached Reconciliation of Non-GAAP Financial Measures, and “Adjusted EPS” as GAAP earnings per share excluding the net impact of the items described and reconciled in the attached 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 Adjusted EBIT, EBITDA, Adjusted EBITDA, and Adjusted EPS are not recognized in accordance with U.S. generally accepted accounting principles (GAAP). However, Management believes EBIT, Adjusted EBIT, EBITDA, and Adjusted EBITDA are useful in assessing the operational profitability of the Company’s business segments because they exclude interest, taxes, depreciation, and amortization, which are generally accounted for across the entire Company on a consolidated basis. EBIT is also one of the measures used by Management in determining resource allocations within the Company as well as incentive compensation. The presentation of EBIT, Adjusted EBIT, EBITDA, Adjusted EBITDA, and Adjusted EPS provides important supplemental information to investors by facilitating comparisons with other companies, many of which use similar non-GAAP financial measures to supplement their GAAP results. The use of non-GAAP financial measures is not intended to replace any measures of performance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ESCO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ESCO Technologies is a global provider of highly engineered products and solutions serving diverse end-markets. It manufactures filtration and fluid control products, advanced composites, as well as signature and power management solutions for aviation, Navy, and industrial customers. ESCO is an industry leader in designing and manufacturing RF test and measurement products and systems; and provides diagnostic instruments, software and services to industrial power users and the electric utility and renewable energy industries. Headquartered in St. Louis, Missouri, ESCO and its subsidiaries have offices and manufacturing facilities worldwide. For more information on ESCO and its subsidiaries, visit ESCO’s website at </w:t>
      </w:r>
      <w:r>
        <w:rPr>
          <w:rFonts w:ascii="Times New Roman;Times;Serif" w:hAnsi="Times New Roman;Times;Serif"/>
          <w:b w:val="false"/>
          <w:i w:val="false"/>
          <w:caps w:val="false"/>
          <w:smallCaps w:val="false"/>
          <w:sz w:val="20"/>
          <w:u w:val="single"/>
        </w:rPr>
        <w:t>www.escotechnologies.com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Operations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043" w:type="dxa"/>
        <w:jc w:val="left"/>
        <w:tblInd w:w="0" w:type="dxa"/>
        <w:tblLayout w:type="fixed"/>
        <w:tblCellMar>
          <w:top w:w="0" w:type="dxa"/>
          <w:left w:w="0" w:type="dxa"/>
          <w:bottom w:w="0" w:type="dxa"/>
          <w:right w:w="0" w:type="dxa"/>
        </w:tblCellMar>
      </w:tblPr>
      <w:tblGrid>
        <w:gridCol w:w="7100"/>
        <w:gridCol w:w="60"/>
        <w:gridCol w:w="176"/>
        <w:gridCol w:w="983"/>
        <w:gridCol w:w="245"/>
        <w:gridCol w:w="60"/>
        <w:gridCol w:w="92"/>
        <w:gridCol w:w="1067"/>
        <w:gridCol w:w="260"/>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w:t>
              <w:br/>
              <w:t>Ended</w:t>
              <w:br/>
              <w:t>June 30, 2026</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w:t>
              <w:br/>
              <w:t>Ended</w:t>
              <w:br/>
              <w:t>June 30, 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339,027</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296,344</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197,508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174,350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71,002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62,042</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20,342</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16,753</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298,073</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263,275</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40,954</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33,069</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8,219</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8,314</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32,735</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from discontinued operations, net of tax expense of $0 and $599,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32,735</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26,065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 GAAP</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 As Adjusted Basis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average common shares 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25,918</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 Adjusted EPS from continuing operations excludes $0.94 per share of after-tax charges consisting of: $0.03 of Test &amp; USG segment restructuring charges, $0.20 of debt financing and $0.19 of acquisition costs at Corporate related to the pending Megger acquisition that was announced in April 2026, and $0.52 of acquisition related amortization.</w:t>
            </w:r>
          </w:p>
        </w:tc>
      </w:tr>
      <w:tr>
        <w:trPr/>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 Adjusted EPS from continuing operations excludes $0.64 per share of after-tax charges consisting of: $0.15 of Corporate acquisition costs, $0.08 of Maritime inventory step-up charges and stamp duties, $0.01 of restructuring charges (primarily severance) within the USG segment, and $0.40 of acquisition related amortization.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Operations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7"/>
        <w:gridCol w:w="60"/>
        <w:gridCol w:w="174"/>
        <w:gridCol w:w="973"/>
        <w:gridCol w:w="242"/>
        <w:gridCol w:w="60"/>
        <w:gridCol w:w="93"/>
        <w:gridCol w:w="1094"/>
        <w:gridCol w:w="262"/>
      </w:tblGrid>
      <w:tr>
        <w:trPr/>
        <w:tc>
          <w:tcPr>
            <w:tcW w:w="72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 Months</w:t>
              <w:br/>
              <w:t>Ended</w:t>
              <w:br/>
              <w:t>June 30, 2026</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 Months</w:t>
              <w:br/>
              <w:t>Ended</w:t>
              <w:br/>
              <w:t> June 30, 2025</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938,027</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742,714</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545,274</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431,068</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195,039</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171,305</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61,086</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32,735</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13,992</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12,373</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817,731</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649,428</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120,296</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93,286</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25,314</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21,841</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94,982</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71,445</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from discontinued operations, net of tax expense of $363 and $3,006,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9,126</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96,159</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80,571</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 GAAP</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r>
      <w:tr>
        <w:trPr/>
        <w:tc>
          <w:tcPr>
            <w:tcW w:w="72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 As Adjusted Basis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r>
      <w:tr>
        <w:trPr/>
        <w:tc>
          <w:tcPr>
            <w:tcW w:w="7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average common shares 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25,932</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25,876</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 Q3 2026 Adjusted EPS from continuing operations excludes $2.09 per share of after-tax charges consisting primarily of: $0.09 of restructuring charges within Test, USG &amp; A&amp;D segments, $0.20 of debt financing and $0.23 of acquisition costs at Corporate related to the pending Megger acquisition that was announced in April 2026, and $1.57 of acquisition related amortization.</w:t>
            </w:r>
          </w:p>
        </w:tc>
      </w:tr>
      <w:tr>
        <w:trPr/>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 Q3 2025 Adjusted EPS from continuing operations excludes $0.95 per share of after-tax charges consisting of: $0.15 of Corporate acquisition costs, $0.08 of Maritime inventory step-up charges and stamp duties, $0.02 of restructuring charges within the Test and USG segments, and $0.70 of acquisition related amortization.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Business Segment Information (Unaudited) - Continuing Operations basis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2105"/>
        <w:gridCol w:w="60"/>
        <w:gridCol w:w="125"/>
        <w:gridCol w:w="695"/>
        <w:gridCol w:w="80"/>
        <w:gridCol w:w="60"/>
        <w:gridCol w:w="60"/>
        <w:gridCol w:w="695"/>
        <w:gridCol w:w="80"/>
        <w:gridCol w:w="60"/>
        <w:gridCol w:w="60"/>
        <w:gridCol w:w="695"/>
        <w:gridCol w:w="80"/>
        <w:gridCol w:w="60"/>
        <w:gridCol w:w="60"/>
        <w:gridCol w:w="695"/>
        <w:gridCol w:w="9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Aerospace &amp; Defense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296,344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EBIT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Aerospace &amp; Defense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Adjusted net earnings of $57.3 million in Q3 2026 exclude $24.5 million (or $0.94 per share) of after-tax charges consisting of: $0.03 of Test &amp; USG segment restructuring charges, $0.20 of debt financing and $0.19 of acquisition costs at Corporate related to the pending Megger acquisition and $0.52 of acquisition related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Adjusted net earnings of $41.4 million in Q3 2025 exclude $16.6 million (or $0.64 per share) of after-tax charges consisting of: $0.15 of Corporate acquisition costs, $0.08 of Maritime inventory step-up charges and stamp duties, $0.01 of restructuring charges (primarily severance) within the USG segment, and $0.40 of acquisition related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Reconciliation to Net earnings:</w:t>
      </w:r>
    </w:p>
    <w:p>
      <w:pPr>
        <w:pStyle w:val="TextBody"/>
        <w:bidi w:val="0"/>
        <w:spacing w:before="0" w:after="0"/>
        <w:ind w:left="0" w:right="0" w:hanging="0"/>
        <w:jc w:val="left"/>
        <w:rPr>
          <w:caps w:val="false"/>
          <w:smallCaps w:val="false"/>
        </w:rPr>
      </w:pPr>
      <w:r>
        <w:rPr>
          <w:caps w:val="false"/>
          <w:smallCaps w:val="false"/>
        </w:rPr>
        <w:t> </w:t>
      </w:r>
    </w:p>
    <w:tbl>
      <w:tblPr>
        <w:tblW w:w="5837" w:type="dxa"/>
        <w:jc w:val="left"/>
        <w:tblInd w:w="0" w:type="dxa"/>
        <w:tblLayout w:type="fixed"/>
        <w:tblCellMar>
          <w:top w:w="0" w:type="dxa"/>
          <w:left w:w="0" w:type="dxa"/>
          <w:bottom w:w="0" w:type="dxa"/>
          <w:right w:w="0" w:type="dxa"/>
        </w:tblCellMar>
      </w:tblPr>
      <w:tblGrid>
        <w:gridCol w:w="2105"/>
        <w:gridCol w:w="60"/>
        <w:gridCol w:w="125"/>
        <w:gridCol w:w="650"/>
        <w:gridCol w:w="80"/>
        <w:gridCol w:w="60"/>
        <w:gridCol w:w="61"/>
        <w:gridCol w:w="663"/>
        <w:gridCol w:w="80"/>
        <w:gridCol w:w="60"/>
        <w:gridCol w:w="70"/>
        <w:gridCol w:w="759"/>
        <w:gridCol w:w="80"/>
        <w:gridCol w:w="60"/>
        <w:gridCol w:w="70"/>
        <w:gridCol w:w="759"/>
        <w:gridCol w:w="9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Depr &amp; Amort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Business Segment Information (Unaudited) - Continuing Operations basis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5465" w:type="dxa"/>
        <w:jc w:val="left"/>
        <w:tblInd w:w="0" w:type="dxa"/>
        <w:tblLayout w:type="fixed"/>
        <w:tblCellMar>
          <w:top w:w="0" w:type="dxa"/>
          <w:left w:w="0" w:type="dxa"/>
          <w:bottom w:w="0" w:type="dxa"/>
          <w:right w:w="0" w:type="dxa"/>
        </w:tblCellMar>
      </w:tblPr>
      <w:tblGrid>
        <w:gridCol w:w="1805"/>
        <w:gridCol w:w="60"/>
        <w:gridCol w:w="125"/>
        <w:gridCol w:w="695"/>
        <w:gridCol w:w="80"/>
        <w:gridCol w:w="60"/>
        <w:gridCol w:w="60"/>
        <w:gridCol w:w="695"/>
        <w:gridCol w:w="80"/>
        <w:gridCol w:w="60"/>
        <w:gridCol w:w="60"/>
        <w:gridCol w:w="695"/>
        <w:gridCol w:w="80"/>
        <w:gridCol w:w="60"/>
        <w:gridCol w:w="60"/>
        <w:gridCol w:w="695"/>
        <w:gridCol w:w="9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Aerospace &amp; Defense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307,819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269,784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269,784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742,714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EBIT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Aerospace &amp; Defense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Adjusted net earnings of $149.3 million in YTD 2026 exclude $54.3 million (or $2.09 per share) of after-tax charges consisting of: $0.09 of restructuring charges within Test, USG &amp; A&amp;D segments, $0.20 of debt financing and $0.23 of acquisition costs at Corporate related to the pending Megger acquisition and $1.57 of acquisition related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Adjusted net earnings of $96.4 million in YTD 2025 exclude $24.9 million (or $0.95 per share) of after-tax charges consisting of: $0.15 of Corporate acquisition costs, $0.08 of Maritime inventory step-up charges and stamp duties, $0.02 of restructuring charges within the Test and USG segments, and $0.70 of acquisition related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Reconciliation to Net earnings:</w:t>
      </w:r>
    </w:p>
    <w:p>
      <w:pPr>
        <w:pStyle w:val="TextBody"/>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2105"/>
        <w:gridCol w:w="60"/>
        <w:gridCol w:w="125"/>
        <w:gridCol w:w="695"/>
        <w:gridCol w:w="80"/>
        <w:gridCol w:w="60"/>
        <w:gridCol w:w="60"/>
        <w:gridCol w:w="695"/>
        <w:gridCol w:w="80"/>
        <w:gridCol w:w="60"/>
        <w:gridCol w:w="65"/>
        <w:gridCol w:w="764"/>
        <w:gridCol w:w="80"/>
        <w:gridCol w:w="60"/>
        <w:gridCol w:w="65"/>
        <w:gridCol w:w="764"/>
        <w:gridCol w:w="9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Depr &amp; Amort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198,011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5510" w:type="dxa"/>
        <w:jc w:val="left"/>
        <w:tblInd w:w="0" w:type="dxa"/>
        <w:tblLayout w:type="fixed"/>
        <w:tblCellMar>
          <w:top w:w="0" w:type="dxa"/>
          <w:left w:w="0" w:type="dxa"/>
          <w:bottom w:w="0" w:type="dxa"/>
          <w:right w:w="0" w:type="dxa"/>
        </w:tblCellMar>
      </w:tblPr>
      <w:tblGrid>
        <w:gridCol w:w="3110"/>
        <w:gridCol w:w="60"/>
        <w:gridCol w:w="125"/>
        <w:gridCol w:w="845"/>
        <w:gridCol w:w="60"/>
        <w:gridCol w:w="60"/>
        <w:gridCol w:w="77"/>
        <w:gridCol w:w="1098"/>
        <w:gridCol w:w="7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240,542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688,506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723,973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761,931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2,410,388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maturities of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508,148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1,540,871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2,410,388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w:t>
      </w:r>
    </w:p>
    <w:p>
      <w:pPr>
        <w:pStyle w:val="TextBody"/>
        <w:bidi w:val="0"/>
        <w:spacing w:before="0" w:after="0"/>
        <w:jc w:val="center"/>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6725"/>
        <w:gridCol w:w="60"/>
        <w:gridCol w:w="137"/>
        <w:gridCol w:w="827"/>
        <w:gridCol w:w="80"/>
        <w:gridCol w:w="60"/>
        <w:gridCol w:w="71"/>
        <w:gridCol w:w="893"/>
        <w:gridCol w:w="95"/>
      </w:tblGrid>
      <w:tr>
        <w:trPr/>
        <w:tc>
          <w:tcPr>
            <w:tcW w:w="6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w:t>
              <w:br/>
              <w:t>Months</w:t>
              <w:br/>
              <w:t>Ended June</w:t>
              <w:br/>
              <w:t>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w:t>
              <w:br/>
              <w:t xml:space="preserve">Months </w:t>
              <w:br/>
              <w:t>Ended June</w:t>
              <w:br/>
              <w:t>30, 2025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earnings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deferred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by operating activities-discontinued ops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business,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(472,006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capitalized software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(509,234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by investing activities - discontinued ops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payments on long-term debt and short-term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Selected Financial Data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7175" w:type="dxa"/>
        <w:jc w:val="left"/>
        <w:tblInd w:w="0" w:type="dxa"/>
        <w:tblLayout w:type="fixed"/>
        <w:tblCellMar>
          <w:top w:w="0" w:type="dxa"/>
          <w:left w:w="0" w:type="dxa"/>
          <w:bottom w:w="28" w:type="dxa"/>
          <w:right w:w="0" w:type="dxa"/>
        </w:tblCellMar>
      </w:tblPr>
      <w:tblGrid>
        <w:gridCol w:w="3215"/>
        <w:gridCol w:w="60"/>
        <w:gridCol w:w="125"/>
        <w:gridCol w:w="845"/>
        <w:gridCol w:w="80"/>
        <w:gridCol w:w="60"/>
        <w:gridCol w:w="60"/>
        <w:gridCol w:w="695"/>
        <w:gridCol w:w="80"/>
        <w:gridCol w:w="60"/>
        <w:gridCol w:w="60"/>
        <w:gridCol w:w="695"/>
        <w:gridCol w:w="80"/>
        <w:gridCol w:w="60"/>
        <w:gridCol w:w="60"/>
        <w:gridCol w:w="845"/>
        <w:gridCol w:w="95"/>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And Entered Orders - Q3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A&amp;D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USG</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Backlog - 4/1/26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1,074,987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232,507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1,470,004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Orders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195,661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126,879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86,998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409,538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(168,202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Backlog - 6/30/26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1,102,446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248,643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1,540,515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7730" w:type="dxa"/>
        <w:jc w:val="left"/>
        <w:tblInd w:w="0" w:type="dxa"/>
        <w:tblLayout w:type="fixed"/>
        <w:tblCellMar>
          <w:top w:w="0" w:type="dxa"/>
          <w:left w:w="0" w:type="dxa"/>
          <w:bottom w:w="28" w:type="dxa"/>
          <w:right w:w="0" w:type="dxa"/>
        </w:tblCellMar>
      </w:tblPr>
      <w:tblGrid>
        <w:gridCol w:w="3650"/>
        <w:gridCol w:w="60"/>
        <w:gridCol w:w="125"/>
        <w:gridCol w:w="845"/>
        <w:gridCol w:w="80"/>
        <w:gridCol w:w="60"/>
        <w:gridCol w:w="60"/>
        <w:gridCol w:w="755"/>
        <w:gridCol w:w="80"/>
        <w:gridCol w:w="60"/>
        <w:gridCol w:w="60"/>
        <w:gridCol w:w="755"/>
        <w:gridCol w:w="80"/>
        <w:gridCol w:w="60"/>
        <w:gridCol w:w="60"/>
        <w:gridCol w:w="845"/>
        <w:gridCol w:w="95"/>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And Entered Orders - YTD Q3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A&amp;D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USG</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Backlog - 10/1/25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803,002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187,175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1,133,637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Orders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761,785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326,942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256,178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1,344,905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(462,341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(194,710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(938,027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Backlog - 6/30/26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1,102,446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248,643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1,540,515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 TECHNOLOGIES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Non-GAAP Financial Measures (Unaudited)</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4805"/>
        <w:gridCol w:w="60"/>
        <w:gridCol w:w="125"/>
        <w:gridCol w:w="380"/>
        <w:gridCol w:w="75"/>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EPS – Adjusted Basis Reconciliation – Q3 2026</w:t>
            </w:r>
          </w:p>
        </w:tc>
        <w:tc>
          <w:tcPr>
            <w:tcW w:w="60" w:type="dxa"/>
            <w:tcBorders/>
            <w:shd w:fill="CCEEFF" w:val="clear"/>
            <w:vAlign w:val="center"/>
          </w:tcPr>
          <w:p>
            <w:pPr>
              <w:pStyle w:val="TableContents"/>
              <w:bidi w:val="0"/>
              <w:spacing w:before="0" w:after="283"/>
              <w:jc w:val="left"/>
              <w:rPr/>
            </w:pPr>
            <w:r>
              <w:rPr/>
              <w:t> </w:t>
            </w:r>
          </w:p>
        </w:tc>
        <w:tc>
          <w:tcPr>
            <w:tcW w:w="5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GAAP Basis – Q3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(defined below)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As Adjusted Basis – Q3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of $0.94 per share consisting primarily of: $0.03 of Test and USG segment restructuring charges, $0.20 of debt financing and $0.19 of acquisition costs at Corporate related to the pending Megger acquisition, and $0.52 of acquisition related amortization.</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4805"/>
        <w:gridCol w:w="60"/>
        <w:gridCol w:w="125"/>
        <w:gridCol w:w="380"/>
        <w:gridCol w:w="75"/>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EPS – Adjusted Basis Reconciliation – Q3 2025</w:t>
            </w:r>
          </w:p>
        </w:tc>
        <w:tc>
          <w:tcPr>
            <w:tcW w:w="60" w:type="dxa"/>
            <w:tcBorders/>
            <w:shd w:fill="CCEEFF" w:val="clear"/>
            <w:vAlign w:val="center"/>
          </w:tcPr>
          <w:p>
            <w:pPr>
              <w:pStyle w:val="TableContents"/>
              <w:bidi w:val="0"/>
              <w:spacing w:before="0" w:after="283"/>
              <w:jc w:val="left"/>
              <w:rPr/>
            </w:pPr>
            <w:r>
              <w:rPr/>
              <w:t> </w:t>
            </w:r>
          </w:p>
        </w:tc>
        <w:tc>
          <w:tcPr>
            <w:tcW w:w="5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GAAP Basis – Q3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(defined below)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As Adjusted Basis – Q3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of $0.64 per share consisting primarily of: $0.15 of Corporate acquisition costs, $0.08 of Maritime inventory step-up charges and stamp duties, $0.01 of restructuring charges within the USG segment and $0.40 of acquisition related amortization.</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5285"/>
        <w:gridCol w:w="60"/>
        <w:gridCol w:w="125"/>
        <w:gridCol w:w="380"/>
        <w:gridCol w:w="75"/>
      </w:tblGrid>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EPS – Adjusted Basis Reconciliation – YTD Q3 2026</w:t>
            </w:r>
          </w:p>
        </w:tc>
        <w:tc>
          <w:tcPr>
            <w:tcW w:w="60" w:type="dxa"/>
            <w:tcBorders/>
            <w:shd w:fill="CCEEFF" w:val="clear"/>
            <w:vAlign w:val="center"/>
          </w:tcPr>
          <w:p>
            <w:pPr>
              <w:pStyle w:val="TableContents"/>
              <w:bidi w:val="0"/>
              <w:spacing w:before="0" w:after="283"/>
              <w:jc w:val="left"/>
              <w:rPr/>
            </w:pPr>
            <w:r>
              <w:rPr/>
              <w:t> </w:t>
            </w:r>
          </w:p>
        </w:tc>
        <w:tc>
          <w:tcPr>
            <w:tcW w:w="5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GAAP Basis – YTD Q3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(defined below)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 As Adjusted Basis – YTD Q3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of $2.09 per share consisting primarily of: $0.09 of restructuring   charges within Test, USG and A&amp;D segments, $0.20 of debt financing and $0.23 of   acquisition costs related to the pending Megger acquisition, and $1.57 of acquisition   related amortization.  </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5285"/>
        <w:gridCol w:w="60"/>
        <w:gridCol w:w="125"/>
        <w:gridCol w:w="380"/>
        <w:gridCol w:w="75"/>
      </w:tblGrid>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EPS – Adjusted Basis Reconciliation – YTD Q3 2025</w:t>
            </w:r>
          </w:p>
        </w:tc>
        <w:tc>
          <w:tcPr>
            <w:tcW w:w="60" w:type="dxa"/>
            <w:tcBorders/>
            <w:shd w:fill="CCEEFF" w:val="clear"/>
            <w:vAlign w:val="center"/>
          </w:tcPr>
          <w:p>
            <w:pPr>
              <w:pStyle w:val="TableContents"/>
              <w:bidi w:val="0"/>
              <w:spacing w:before="0" w:after="283"/>
              <w:jc w:val="left"/>
              <w:rPr/>
            </w:pPr>
            <w:r>
              <w:rPr/>
              <w:t> </w:t>
            </w:r>
          </w:p>
        </w:tc>
        <w:tc>
          <w:tcPr>
            <w:tcW w:w="5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GAAP Basis – YTD Q3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(defined below)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Continuing Operations – As Adjusted Basis – YTD Q3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of $0.95 per share consisting primarily of: $0.15 of Corporate acquisition costs, $0.08 of Maritime inventory step-up charges and stamp duties, $0.02 of restructuring charges within the Test and USG segments, and $0.70 of acquisition related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4499</Words>
  <Characters>25106</Characters>
  <CharactersWithSpaces>30428</CharactersWithSpaces>
  <Paragraphs>2488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