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71049.xml.htm"/>
      <w:bookmarkStart w:id="1" w:name="ksform410162026_0710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Valdez Gloria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ESCO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MARYVILLE CENTRE DR.,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1071"/>
        <w:gridCol w:w="831"/>
        <w:gridCol w:w="84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2.5776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252.67</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8,143.4016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issued in lieu of cash dividends on the RSUs held by the reporting person on the payment date. Each RSU is the economic equivalent of one share of Common Stock. A portion of the RSU representing dividends on unvested shares becomes payable in Common Stock and/or cash when the underlying shares vest, or concurrently with the distribution of the underlying shares if the reporting person has so designated. Any remaining RSUs become payable in common stock upon, or at the election of the reporting person in installments beginning upon, the termination of the reporting person's service as a director or such earlier time as the reporting person may have designated.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on file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Fisher,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4684" TargetMode="External"/><Relationship Id="rId5" Type="http://schemas.openxmlformats.org/officeDocument/2006/relationships/hyperlink" Target="http://www.sec.gov/cgi-bin/browse-edgar?action=getcompany&amp;CIK=0000866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3740</Characters>
  <CharactersWithSpaces>4362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