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61046.xml.htm"/>
      <w:bookmarkStart w:id="1" w:name="ksform410162026_0610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Campbell David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ESCO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MARYVILLE CENTRE DR.,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1071"/>
        <w:gridCol w:w="831"/>
        <w:gridCol w:w="84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1.1496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252.67</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3,632.0583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issued in lieu of cash dividends on the RSUs held by the reporting person on the payment date. Each RSU is the economic equivalent of one share of Common Stock. A portion of the RSU representing dividends on unvested shares becomes payable in Common Stock and/or cash when the underlying shares vest, or concurrently with the distribution of the underlying shares if the reporting person has so designated. Any remaining RSUs become payable in common stock upon, or at the election of the reporting person in installments beginning upon, the termination of the reporting person's service as a director or such earlier time as the reporting person may have designated.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on file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Fisher,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2208" TargetMode="External"/><Relationship Id="rId5" Type="http://schemas.openxmlformats.org/officeDocument/2006/relationships/hyperlink" Target="http://www.sec.gov/cgi-bin/browse-edgar?action=getcompany&amp;CIK=0000866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3741</Characters>
  <CharactersWithSpaces>4363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