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1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5920" w:type="dxa"/>
            <w:vAlign w:val="bottom"/>
            <w:gridSpan w:val="8"/>
            <w:vMerge w:val="restart"/>
          </w:tcPr>
          <w:p>
            <w:pPr>
              <w:jc w:val="center"/>
              <w:ind w:left="48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5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Sayler Bryan H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ESCO TECHNOLOGIES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ESE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ESCO TECHNOLOGIES INC.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&amp; President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61239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12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9900 A CLAYTON ROAD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SAINT LOUIS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7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6.6929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93.53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04/18/2023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6.518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96.12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6.2325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100.61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Reinvestment of quarterly dividends paid on shares held in brokerage account.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35 shares acquired under Employee Stock Purchase Plan since the date of the reporting person's last Form 4.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Power of Attorney on file.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D. Fisher,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-27305</wp:posOffset>
            </wp:positionV>
            <wp:extent cx="135318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28765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957432" TargetMode="External"/><Relationship Id="rId9" Type="http://schemas.openxmlformats.org/officeDocument/2006/relationships/hyperlink" Target="http://www.sec.gov/cgi-bin/browse-edgar?action=getcompany&amp;CIK=0000866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2023-10-02T11:18:03Z</dcterms:created>
  <dcterms:modified xsi:type="dcterms:W3CDTF">2023-10-02T11:18:03Z</dcterms:modified>
</cp:coreProperties>
</file>