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313055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26"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(RULE 14a-101)</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INFORMATION REQUIRED IN PROXY STATEMENT</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SCHEDULE 14A INFORMATION</w:t>
      </w:r>
    </w:p>
    <w:p>
      <w:pPr>
        <w:spacing w:after="0" w:line="188"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 THE</w:t>
      </w:r>
    </w:p>
    <w:p>
      <w:pPr>
        <w:spacing w:after="0" w:line="3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SECURITIES EXCHANGE ACT OF 1934 (AMENDMENT NO. )</w:t>
      </w:r>
    </w:p>
    <w:p>
      <w:pPr>
        <w:spacing w:after="0" w:line="154" w:lineRule="exact"/>
        <w:rPr>
          <w:sz w:val="24"/>
          <w:szCs w:val="24"/>
          <w:color w:val="auto"/>
        </w:rPr>
      </w:pPr>
    </w:p>
    <w:p>
      <w:pPr>
        <w:spacing w:after="0" w:line="196" w:lineRule="exact"/>
        <w:tabs>
          <w:tab w:leader="none" w:pos="3020" w:val="left"/>
        </w:tabs>
        <w:rPr>
          <w:sz w:val="20"/>
          <w:szCs w:val="20"/>
          <w:color w:val="auto"/>
        </w:rPr>
      </w:pPr>
      <w:r>
        <w:rPr>
          <w:rFonts w:ascii="Times New Roman" w:cs="Times New Roman" w:eastAsia="Times New Roman" w:hAnsi="Times New Roman"/>
          <w:sz w:val="17"/>
          <w:szCs w:val="17"/>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63" w:lineRule="exact"/>
        <w:rPr>
          <w:sz w:val="24"/>
          <w:szCs w:val="24"/>
          <w:color w:val="auto"/>
        </w:rPr>
      </w:pPr>
    </w:p>
    <w:p>
      <w:pPr>
        <w:spacing w:after="0" w:line="196" w:lineRule="exact"/>
        <w:tabs>
          <w:tab w:leader="none" w:pos="3020" w:val="left"/>
        </w:tabs>
        <w:rPr>
          <w:sz w:val="20"/>
          <w:szCs w:val="20"/>
          <w:color w:val="auto"/>
        </w:rPr>
      </w:pPr>
      <w:r>
        <w:rPr>
          <w:rFonts w:ascii="Times New Roman" w:cs="Times New Roman" w:eastAsia="Times New Roman" w:hAnsi="Times New Roman"/>
          <w:sz w:val="17"/>
          <w:szCs w:val="17"/>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39" w:lineRule="exact"/>
        <w:rPr>
          <w:sz w:val="24"/>
          <w:szCs w:val="24"/>
          <w:color w:val="auto"/>
        </w:rPr>
      </w:pPr>
    </w:p>
    <w:p>
      <w:pPr>
        <w:ind w:left="600" w:hanging="296"/>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56" w:lineRule="exact"/>
        <w:rPr>
          <w:rFonts w:ascii="MS PGothic" w:cs="MS PGothic" w:eastAsia="MS PGothic" w:hAnsi="MS PGothic"/>
          <w:sz w:val="17"/>
          <w:szCs w:val="17"/>
          <w:color w:val="auto"/>
        </w:rPr>
      </w:pPr>
    </w:p>
    <w:p>
      <w:pPr>
        <w:ind w:left="300" w:right="4039" w:firstLine="4"/>
        <w:spacing w:after="0" w:line="248" w:lineRule="exact"/>
        <w:tabs>
          <w:tab w:leader="none" w:pos="60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9" w:lineRule="exact"/>
        <w:rPr>
          <w:rFonts w:ascii="MS PGothic" w:cs="MS PGothic" w:eastAsia="MS PGothic" w:hAnsi="MS PGothic"/>
          <w:sz w:val="17"/>
          <w:szCs w:val="17"/>
          <w:color w:val="auto"/>
        </w:rPr>
      </w:pPr>
    </w:p>
    <w:p>
      <w:pPr>
        <w:ind w:left="600" w:hanging="296"/>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56" w:lineRule="exact"/>
        <w:rPr>
          <w:rFonts w:ascii="MS PGothic" w:cs="MS PGothic" w:eastAsia="MS PGothic" w:hAnsi="MS PGothic"/>
          <w:sz w:val="17"/>
          <w:szCs w:val="17"/>
          <w:color w:val="auto"/>
        </w:rPr>
      </w:pPr>
    </w:p>
    <w:p>
      <w:pPr>
        <w:ind w:left="600" w:hanging="296"/>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ESCO TECHNOLOGIES INC.</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9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57" w:lineRule="exact"/>
        <w:rPr>
          <w:sz w:val="24"/>
          <w:szCs w:val="24"/>
          <w:color w:val="auto"/>
        </w:rPr>
      </w:pPr>
    </w:p>
    <w:p>
      <w:pPr>
        <w:ind w:left="600" w:hanging="296"/>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57" w:lineRule="exact"/>
        <w:rPr>
          <w:sz w:val="24"/>
          <w:szCs w:val="24"/>
          <w:color w:val="auto"/>
        </w:rPr>
      </w:pPr>
    </w:p>
    <w:p>
      <w:pPr>
        <w:ind w:left="600" w:hanging="296"/>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56" w:lineRule="exact"/>
        <w:rPr>
          <w:rFonts w:ascii="MS PGothic" w:cs="MS PGothic" w:eastAsia="MS PGothic" w:hAnsi="MS PGothic"/>
          <w:sz w:val="17"/>
          <w:szCs w:val="17"/>
          <w:color w:val="auto"/>
        </w:rPr>
      </w:pPr>
    </w:p>
    <w:p>
      <w:pPr>
        <w:ind w:left="600" w:hanging="296"/>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167005</wp:posOffset>
            </wp:positionV>
            <wp:extent cx="714121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567690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87"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409575</wp:posOffset>
            </wp:positionV>
            <wp:extent cx="7141210" cy="8535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535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2480"/>
        <w:spacing w:after="0"/>
        <w:rPr>
          <w:sz w:val="20"/>
          <w:szCs w:val="20"/>
          <w:color w:val="auto"/>
        </w:rPr>
      </w:pPr>
      <w:r>
        <w:rPr>
          <w:rFonts w:ascii="Arial" w:cs="Arial" w:eastAsia="Arial" w:hAnsi="Arial"/>
          <w:sz w:val="15"/>
          <w:szCs w:val="15"/>
          <w:color w:val="auto"/>
        </w:rPr>
        <w:t>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1202055" cy="793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2055" cy="793750"/>
                    </a:xfrm>
                    <a:prstGeom prst="rect">
                      <a:avLst/>
                    </a:prstGeom>
                    <a:noFill/>
                  </pic:spPr>
                </pic:pic>
              </a:graphicData>
            </a:graphic>
          </wp:anchor>
        </w:drawing>
      </w:r>
    </w:p>
    <w:p>
      <w:pPr>
        <w:ind w:left="2480"/>
        <w:spacing w:after="0"/>
        <w:rPr>
          <w:sz w:val="20"/>
          <w:szCs w:val="20"/>
          <w:color w:val="auto"/>
        </w:rPr>
      </w:pPr>
      <w:r>
        <w:rPr>
          <w:rFonts w:ascii="Arial" w:cs="Arial" w:eastAsia="Arial" w:hAnsi="Arial"/>
          <w:sz w:val="15"/>
          <w:szCs w:val="15"/>
          <w:color w:val="auto"/>
        </w:rPr>
        <w:t>9900A Clayton Road</w:t>
      </w:r>
    </w:p>
    <w:p>
      <w:pPr>
        <w:spacing w:after="0" w:line="4" w:lineRule="exact"/>
        <w:rPr>
          <w:sz w:val="20"/>
          <w:szCs w:val="20"/>
          <w:color w:val="auto"/>
        </w:rPr>
      </w:pPr>
    </w:p>
    <w:p>
      <w:pPr>
        <w:ind w:left="2480"/>
        <w:spacing w:after="0"/>
        <w:rPr>
          <w:sz w:val="20"/>
          <w:szCs w:val="20"/>
          <w:color w:val="auto"/>
        </w:rPr>
      </w:pPr>
      <w:r>
        <w:rPr>
          <w:rFonts w:ascii="Arial" w:cs="Arial" w:eastAsia="Arial" w:hAnsi="Arial"/>
          <w:sz w:val="15"/>
          <w:szCs w:val="15"/>
          <w:color w:val="auto"/>
        </w:rPr>
        <w:t>St. Louis, MO 63124</w:t>
      </w:r>
    </w:p>
    <w:p>
      <w:pPr>
        <w:spacing w:after="0" w:line="167" w:lineRule="exact"/>
        <w:rPr>
          <w:sz w:val="20"/>
          <w:szCs w:val="20"/>
          <w:color w:val="auto"/>
        </w:rPr>
      </w:pPr>
    </w:p>
    <w:p>
      <w:pPr>
        <w:ind w:left="2480"/>
        <w:spacing w:after="0"/>
        <w:rPr>
          <w:sz w:val="20"/>
          <w:szCs w:val="20"/>
          <w:color w:val="auto"/>
        </w:rPr>
      </w:pPr>
      <w:r>
        <w:rPr>
          <w:rFonts w:ascii="Arial" w:cs="Arial" w:eastAsia="Arial" w:hAnsi="Arial"/>
          <w:sz w:val="15"/>
          <w:szCs w:val="15"/>
          <w:color w:val="auto"/>
        </w:rPr>
        <w:t>Bryan Sayler</w:t>
      </w:r>
    </w:p>
    <w:p>
      <w:pPr>
        <w:spacing w:after="0" w:line="18" w:lineRule="exact"/>
        <w:rPr>
          <w:sz w:val="20"/>
          <w:szCs w:val="20"/>
          <w:color w:val="auto"/>
        </w:rPr>
      </w:pPr>
    </w:p>
    <w:p>
      <w:pPr>
        <w:ind w:left="2480"/>
        <w:spacing w:after="0"/>
        <w:rPr>
          <w:sz w:val="20"/>
          <w:szCs w:val="20"/>
          <w:color w:val="auto"/>
        </w:rPr>
      </w:pPr>
      <w:r>
        <w:rPr>
          <w:rFonts w:ascii="Arial" w:cs="Arial" w:eastAsia="Arial" w:hAnsi="Arial"/>
          <w:sz w:val="15"/>
          <w:szCs w:val="15"/>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80"/>
        <w:spacing w:after="0"/>
        <w:rPr>
          <w:sz w:val="20"/>
          <w:szCs w:val="20"/>
          <w:color w:val="auto"/>
        </w:rPr>
      </w:pPr>
      <w:r>
        <w:rPr>
          <w:rFonts w:ascii="Arial" w:cs="Arial" w:eastAsia="Arial" w:hAnsi="Arial"/>
          <w:sz w:val="15"/>
          <w:szCs w:val="15"/>
          <w:color w:val="auto"/>
        </w:rPr>
        <w:t>December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1314450" cy="1755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4450" cy="1755140"/>
                    </a:xfrm>
                    <a:prstGeom prst="rect">
                      <a:avLst/>
                    </a:prstGeom>
                    <a:noFill/>
                  </pic:spPr>
                </pic:pic>
              </a:graphicData>
            </a:graphic>
          </wp:anchor>
        </w:drawing>
      </w:r>
    </w:p>
    <w:p>
      <w:pPr>
        <w:spacing w:after="0" w:line="338" w:lineRule="exact"/>
        <w:rPr>
          <w:sz w:val="20"/>
          <w:szCs w:val="20"/>
          <w:color w:val="auto"/>
        </w:rPr>
      </w:pPr>
    </w:p>
    <w:p>
      <w:pPr>
        <w:ind w:left="2480"/>
        <w:spacing w:after="0"/>
        <w:rPr>
          <w:sz w:val="20"/>
          <w:szCs w:val="20"/>
          <w:color w:val="auto"/>
        </w:rPr>
      </w:pPr>
      <w:r>
        <w:rPr>
          <w:rFonts w:ascii="Arial" w:cs="Arial" w:eastAsia="Arial" w:hAnsi="Arial"/>
          <w:sz w:val="15"/>
          <w:szCs w:val="15"/>
          <w:color w:val="auto"/>
        </w:rPr>
        <w:t>Dear Fellow Shareholders,</w:t>
      </w:r>
    </w:p>
    <w:p>
      <w:pPr>
        <w:spacing w:after="0" w:line="181" w:lineRule="exact"/>
        <w:rPr>
          <w:sz w:val="20"/>
          <w:szCs w:val="20"/>
          <w:color w:val="auto"/>
        </w:rPr>
      </w:pPr>
    </w:p>
    <w:p>
      <w:pPr>
        <w:jc w:val="both"/>
        <w:ind w:left="2480"/>
        <w:spacing w:after="0" w:line="264" w:lineRule="auto"/>
        <w:rPr>
          <w:sz w:val="20"/>
          <w:szCs w:val="20"/>
          <w:color w:val="auto"/>
        </w:rPr>
      </w:pPr>
      <w:r>
        <w:rPr>
          <w:rFonts w:ascii="Arial" w:cs="Arial" w:eastAsia="Arial" w:hAnsi="Arial"/>
          <w:sz w:val="15"/>
          <w:szCs w:val="15"/>
          <w:color w:val="auto"/>
        </w:rPr>
        <w:t>I am pleased to invite you to attend our 2025 Annual Meeting of Shareholders of ESCO Technologies Inc., to be held on Tuesday, February 4, 2025 at the Innisbrook Resort, 36750 U.S. Highway North, Palm Harbor, Florida 34684, at 8:00 a.m. Eastern Standard Time.</w:t>
      </w:r>
    </w:p>
    <w:p>
      <w:pPr>
        <w:spacing w:after="0" w:line="138" w:lineRule="exact"/>
        <w:rPr>
          <w:sz w:val="20"/>
          <w:szCs w:val="20"/>
          <w:color w:val="auto"/>
        </w:rPr>
      </w:pPr>
    </w:p>
    <w:p>
      <w:pPr>
        <w:jc w:val="both"/>
        <w:ind w:left="2480"/>
        <w:spacing w:after="0" w:line="258" w:lineRule="auto"/>
        <w:rPr>
          <w:sz w:val="20"/>
          <w:szCs w:val="20"/>
          <w:color w:val="auto"/>
        </w:rPr>
      </w:pPr>
      <w:r>
        <w:rPr>
          <w:rFonts w:ascii="Arial" w:cs="Arial" w:eastAsia="Arial" w:hAnsi="Arial"/>
          <w:sz w:val="15"/>
          <w:szCs w:val="15"/>
          <w:color w:val="auto"/>
        </w:rPr>
        <w:t>The accompanying Notice of Annual Meeting and Proxy Statement describe the items of business that will be discussed and voted on at the Meeting. We value your input and encourage you to review this material as well as our Annual Report for fiscal 2024 and to vote your shares of common stock. You have a choice of voting online, by telephone, by returning the enclosed proxy card by mail, or at the Meeting.</w:t>
      </w:r>
    </w:p>
    <w:p>
      <w:pPr>
        <w:spacing w:after="0" w:line="142" w:lineRule="exact"/>
        <w:rPr>
          <w:sz w:val="20"/>
          <w:szCs w:val="20"/>
          <w:color w:val="auto"/>
        </w:rPr>
      </w:pPr>
    </w:p>
    <w:p>
      <w:pPr>
        <w:jc w:val="both"/>
        <w:ind w:left="2480"/>
        <w:spacing w:after="0" w:line="282" w:lineRule="auto"/>
        <w:rPr>
          <w:sz w:val="20"/>
          <w:szCs w:val="20"/>
          <w:color w:val="auto"/>
        </w:rPr>
      </w:pPr>
      <w:r>
        <w:rPr>
          <w:rFonts w:ascii="Arial" w:cs="Arial" w:eastAsia="Arial" w:hAnsi="Arial"/>
          <w:sz w:val="15"/>
          <w:szCs w:val="15"/>
          <w:color w:val="auto"/>
        </w:rPr>
        <w:t>Our technology-oriented businesses provide highly engineered solutions serving industrial markets. We have a highly-skilled workforce and a long history of product innovation focused on building the next generation of solutions for our customers.</w:t>
      </w:r>
    </w:p>
    <w:p>
      <w:pPr>
        <w:spacing w:after="0" w:line="125" w:lineRule="exact"/>
        <w:rPr>
          <w:sz w:val="20"/>
          <w:szCs w:val="20"/>
          <w:color w:val="auto"/>
        </w:rPr>
      </w:pPr>
    </w:p>
    <w:p>
      <w:pPr>
        <w:jc w:val="both"/>
        <w:ind w:left="2480"/>
        <w:spacing w:after="0" w:line="255" w:lineRule="auto"/>
        <w:rPr>
          <w:sz w:val="20"/>
          <w:szCs w:val="20"/>
          <w:color w:val="auto"/>
        </w:rPr>
      </w:pPr>
      <w:r>
        <w:rPr>
          <w:rFonts w:ascii="Arial" w:cs="Arial" w:eastAsia="Arial" w:hAnsi="Arial"/>
          <w:sz w:val="15"/>
          <w:szCs w:val="15"/>
          <w:color w:val="auto"/>
        </w:rPr>
        <w:t>In 2024 we delivered record revenue, earnings, orders and ending backlog. Revenue exceeded $1 billion for the first time, GAAP EPS increased 10 percent, and ending backlog increased 14% during the year as we continue to see strong demand across our aerospace, defense, utility and renewables end markets. Our differentiated solutions in markets with long-term secular growth drivers have us well positioned going forward. We are excited for the future as we look to build on recent momentum by continuing to execute on our growth strategy in order to deliver long-term value for our shareholders.</w:t>
      </w:r>
    </w:p>
    <w:p>
      <w:pPr>
        <w:spacing w:after="0" w:line="144" w:lineRule="exact"/>
        <w:rPr>
          <w:sz w:val="20"/>
          <w:szCs w:val="20"/>
          <w:color w:val="auto"/>
        </w:rPr>
      </w:pPr>
    </w:p>
    <w:p>
      <w:pPr>
        <w:ind w:left="2480"/>
        <w:spacing w:after="0"/>
        <w:rPr>
          <w:sz w:val="20"/>
          <w:szCs w:val="20"/>
          <w:color w:val="auto"/>
        </w:rPr>
      </w:pPr>
      <w:r>
        <w:rPr>
          <w:rFonts w:ascii="Arial" w:cs="Arial" w:eastAsia="Arial" w:hAnsi="Arial"/>
          <w:sz w:val="15"/>
          <w:szCs w:val="15"/>
          <w:color w:val="auto"/>
        </w:rPr>
        <w:t>On behalf of the Board of Directors and all of us at ESCO, thank you for your ongoing support.</w:t>
      </w:r>
    </w:p>
    <w:p>
      <w:pPr>
        <w:spacing w:after="0" w:line="181" w:lineRule="exact"/>
        <w:rPr>
          <w:sz w:val="20"/>
          <w:szCs w:val="20"/>
          <w:color w:val="auto"/>
        </w:rPr>
      </w:pPr>
    </w:p>
    <w:p>
      <w:pPr>
        <w:ind w:left="248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1579245</wp:posOffset>
            </wp:positionH>
            <wp:positionV relativeFrom="paragraph">
              <wp:posOffset>122555</wp:posOffset>
            </wp:positionV>
            <wp:extent cx="1322705" cy="584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2705" cy="584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480"/>
        <w:spacing w:after="0"/>
        <w:rPr>
          <w:sz w:val="20"/>
          <w:szCs w:val="20"/>
          <w:color w:val="auto"/>
        </w:rPr>
      </w:pPr>
      <w:r>
        <w:rPr>
          <w:rFonts w:ascii="Arial" w:cs="Arial" w:eastAsia="Arial" w:hAnsi="Arial"/>
          <w:sz w:val="15"/>
          <w:szCs w:val="15"/>
          <w:color w:val="auto"/>
        </w:rPr>
        <w:t>Bryan Sayler</w:t>
      </w:r>
    </w:p>
    <w:p>
      <w:pPr>
        <w:spacing w:after="0" w:line="18" w:lineRule="exact"/>
        <w:rPr>
          <w:sz w:val="20"/>
          <w:szCs w:val="20"/>
          <w:color w:val="auto"/>
        </w:rPr>
      </w:pPr>
    </w:p>
    <w:p>
      <w:pPr>
        <w:ind w:left="2480"/>
        <w:spacing w:after="0"/>
        <w:rPr>
          <w:sz w:val="20"/>
          <w:szCs w:val="20"/>
          <w:color w:val="auto"/>
        </w:rPr>
      </w:pPr>
      <w:r>
        <w:rPr>
          <w:rFonts w:ascii="Arial" w:cs="Arial" w:eastAsia="Arial" w:hAnsi="Arial"/>
          <w:sz w:val="15"/>
          <w:szCs w:val="15"/>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257810</wp:posOffset>
            </wp:positionV>
            <wp:extent cx="714121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w:t>
      </w:r>
      <w:r>
        <w:rPr>
          <w:rFonts w:ascii="Arial" w:cs="Arial" w:eastAsia="Arial" w:hAnsi="Arial"/>
          <w:sz w:val="12"/>
          <w:szCs w:val="12"/>
          <w:color w:val="auto"/>
        </w:rPr>
        <w:t>  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3" w:name="page4"/>
    <w:bookmarkEnd w:id="3"/>
    <w:p>
      <w:pPr>
        <w:spacing w:after="0"/>
        <w:rPr>
          <w:sz w:val="20"/>
          <w:szCs w:val="20"/>
          <w:color w:val="auto"/>
        </w:rPr>
      </w:pPr>
      <w:r>
        <w:rPr>
          <w:rFonts w:ascii="Arial" w:cs="Arial" w:eastAsia="Arial" w:hAnsi="Arial"/>
          <w:sz w:val="21"/>
          <w:szCs w:val="21"/>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4121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St. Louis, Missouri</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December 16, 2024</w:t>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of ESCO Technologies Inc.:</w:t>
      </w:r>
    </w:p>
    <w:p>
      <w:pPr>
        <w:spacing w:after="0" w:line="194"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The 2025 Annual Meeting of the shareholders of ESCO Technologies Inc. will be held on Tuesday, February 4, 2025 at the Innisbrook Resort, 36750 U.S. Highway North, Palm Harbor, Florida 34684, beginning at 8:00 a.m. Eastern Standard Time, for the following purposes:</w:t>
      </w:r>
    </w:p>
    <w:p>
      <w:pPr>
        <w:spacing w:after="0" w:line="137" w:lineRule="exact"/>
        <w:rPr>
          <w:sz w:val="20"/>
          <w:szCs w:val="20"/>
          <w:color w:val="auto"/>
        </w:rPr>
      </w:pPr>
    </w:p>
    <w:p>
      <w:pPr>
        <w:ind w:left="180" w:hanging="179"/>
        <w:spacing w:after="0" w:line="282" w:lineRule="auto"/>
        <w:tabs>
          <w:tab w:leader="none" w:pos="1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elect David A. Campbell and Penelope M. Conner, and to re-elect Gloria L. Valdez, to the Board of Directors of the Company for three-year terms expiring at the 2028 Annual Meeting;</w:t>
      </w:r>
    </w:p>
    <w:p>
      <w:pPr>
        <w:spacing w:after="0" w:line="124" w:lineRule="exact"/>
        <w:rPr>
          <w:rFonts w:ascii="Arial" w:cs="Arial" w:eastAsia="Arial" w:hAnsi="Arial"/>
          <w:sz w:val="15"/>
          <w:szCs w:val="15"/>
          <w:color w:val="auto"/>
        </w:rPr>
      </w:pPr>
    </w:p>
    <w:p>
      <w:pPr>
        <w:ind w:left="180" w:hanging="179"/>
        <w:spacing w:after="0"/>
        <w:tabs>
          <w:tab w:leader="none" w:pos="1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 advisory vote to approve the compensation of the Company’s executive officers; and</w:t>
      </w:r>
    </w:p>
    <w:p>
      <w:pPr>
        <w:spacing w:after="0" w:line="180" w:lineRule="exact"/>
        <w:rPr>
          <w:rFonts w:ascii="Arial" w:cs="Arial" w:eastAsia="Arial" w:hAnsi="Arial"/>
          <w:sz w:val="15"/>
          <w:szCs w:val="15"/>
          <w:color w:val="auto"/>
        </w:rPr>
      </w:pPr>
    </w:p>
    <w:p>
      <w:pPr>
        <w:ind w:left="180" w:hanging="179"/>
        <w:spacing w:after="0"/>
        <w:tabs>
          <w:tab w:leader="none" w:pos="1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ratify the appointment of the Company’s independent registered public accounting firm for the 2025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141210" cy="833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33755"/>
                    </a:xfrm>
                    <a:prstGeom prst="rect">
                      <a:avLst/>
                    </a:prstGeom>
                    <a:noFill/>
                  </pic:spPr>
                </pic:pic>
              </a:graphicData>
            </a:graphic>
          </wp:anchor>
        </w:drawing>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Your Board of Directors recommends that you vote:</w:t>
      </w:r>
    </w:p>
    <w:p>
      <w:pPr>
        <w:spacing w:after="0" w:line="86" w:lineRule="exact"/>
        <w:rPr>
          <w:sz w:val="20"/>
          <w:szCs w:val="20"/>
          <w:color w:val="auto"/>
        </w:rPr>
      </w:pPr>
    </w:p>
    <w:p>
      <w:pPr>
        <w:ind w:left="540" w:hanging="312"/>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20"/>
          <w:szCs w:val="20"/>
          <w:b w:val="1"/>
          <w:bCs w:val="1"/>
          <w:color w:val="auto"/>
        </w:rPr>
        <w:t>FOR each nominee for director, and</w:t>
      </w:r>
    </w:p>
    <w:p>
      <w:pPr>
        <w:spacing w:after="0" w:line="85" w:lineRule="exact"/>
        <w:rPr>
          <w:rFonts w:ascii="Arial" w:cs="Arial" w:eastAsia="Arial" w:hAnsi="Arial"/>
          <w:sz w:val="17"/>
          <w:szCs w:val="17"/>
          <w:color w:val="auto"/>
        </w:rPr>
      </w:pPr>
    </w:p>
    <w:p>
      <w:pPr>
        <w:ind w:left="540" w:hanging="312"/>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20"/>
          <w:szCs w:val="20"/>
          <w:b w:val="1"/>
          <w:bCs w:val="1"/>
          <w:color w:val="auto"/>
        </w:rPr>
        <w:t>FOR Proposals 2 and 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Shareholders of record at the close of business on November 27, 2024 are entitled to vote at the Meeting.</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Information about each of the above Proposals, as well as instructions for voting and additional relevant information concerning the Company, are set forth in the accompanying Proxy Statement and in the “Important Notice Regarding the Availability of Proxy Materials” sent to all shareholders entitled to vote at the Meeting beginning on or about December 16, 2024.</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122555</wp:posOffset>
            </wp:positionV>
            <wp:extent cx="1362710" cy="456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2710" cy="45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David M. Schatz</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361950</wp:posOffset>
            </wp:positionV>
            <wp:extent cx="7141210" cy="129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129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00" w:right="320"/>
        <w:spacing w:after="0" w:line="282" w:lineRule="auto"/>
        <w:rPr>
          <w:sz w:val="20"/>
          <w:szCs w:val="20"/>
          <w:color w:val="auto"/>
        </w:rPr>
      </w:pPr>
      <w:r>
        <w:rPr>
          <w:rFonts w:ascii="Arial" w:cs="Arial" w:eastAsia="Arial" w:hAnsi="Arial"/>
          <w:sz w:val="15"/>
          <w:szCs w:val="15"/>
          <w:color w:val="auto"/>
        </w:rPr>
        <w:t xml:space="preserve">This Notice, the Proxy Statement attached to this Notice and our Annual Report to Shareholders for the fiscal year ended September 30, 2024 are available electronically at </w:t>
      </w:r>
      <w:r>
        <w:rPr>
          <w:rFonts w:ascii="Arial" w:cs="Arial" w:eastAsia="Arial" w:hAnsi="Arial"/>
          <w:sz w:val="15"/>
          <w:szCs w:val="15"/>
          <w:u w:val="single" w:color="auto"/>
          <w:color w:val="auto"/>
        </w:rPr>
        <w:t>www.envisionreports.com/ESE</w:t>
      </w:r>
      <w:r>
        <w:rPr>
          <w:rFonts w:ascii="Arial" w:cs="Arial" w:eastAsia="Arial" w:hAnsi="Arial"/>
          <w:sz w:val="15"/>
          <w:szCs w:val="15"/>
          <w:color w:val="auto"/>
        </w:rPr>
        <w:t xml:space="preserve"> and on our website at </w:t>
      </w:r>
      <w:r>
        <w:rPr>
          <w:rFonts w:ascii="Arial" w:cs="Arial" w:eastAsia="Arial" w:hAnsi="Arial"/>
          <w:sz w:val="15"/>
          <w:szCs w:val="15"/>
          <w:u w:val="single" w:color="auto"/>
          <w:color w:val="auto"/>
        </w:rPr>
        <w:t>www.escotechnologies.com</w:t>
      </w:r>
      <w:r>
        <w:rPr>
          <w:rFonts w:ascii="Arial" w:cs="Arial" w:eastAsia="Arial" w:hAnsi="Arial"/>
          <w:sz w:val="15"/>
          <w:szCs w:val="15"/>
          <w:color w:val="auto"/>
        </w:rPr>
        <w:t>.</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xml:space="preserve">Even if you plan to attend the Meeting in person, </w:t>
      </w:r>
      <w:r>
        <w:rPr>
          <w:rFonts w:ascii="Arial" w:cs="Arial" w:eastAsia="Arial" w:hAnsi="Arial"/>
          <w:sz w:val="15"/>
          <w:szCs w:val="15"/>
          <w:b w:val="1"/>
          <w:bCs w:val="1"/>
          <w:color w:val="auto"/>
        </w:rPr>
        <w:t>PLEASE VOTE</w:t>
      </w:r>
      <w:r>
        <w:rPr>
          <w:rFonts w:ascii="Arial" w:cs="Arial" w:eastAsia="Arial" w:hAnsi="Arial"/>
          <w:sz w:val="15"/>
          <w:szCs w:val="15"/>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       </w:t>
      </w:r>
      <w:r>
        <w:rPr>
          <w:rFonts w:ascii="Arial" w:cs="Arial" w:eastAsia="Arial" w:hAnsi="Arial"/>
          <w:sz w:val="15"/>
          <w:szCs w:val="15"/>
          <w:color w:val="auto"/>
        </w:rPr>
        <w:t>●    Electronically via the Internet at</w:t>
      </w:r>
      <w:r>
        <w:rPr>
          <w:rFonts w:ascii="Arial" w:cs="Arial" w:eastAsia="Arial" w:hAnsi="Arial"/>
          <w:sz w:val="20"/>
          <w:szCs w:val="20"/>
          <w:color w:val="auto"/>
        </w:rPr>
        <w:t xml:space="preserve"> </w:t>
      </w:r>
      <w:r>
        <w:rPr>
          <w:rFonts w:ascii="Arial" w:cs="Arial" w:eastAsia="Arial" w:hAnsi="Arial"/>
          <w:sz w:val="15"/>
          <w:szCs w:val="15"/>
          <w:u w:val="single" w:color="auto"/>
          <w:color w:val="auto"/>
        </w:rPr>
        <w:t>www.investorvote.com/ESE</w:t>
      </w:r>
      <w:r>
        <w:rPr>
          <w:rFonts w:ascii="Arial" w:cs="Arial" w:eastAsia="Arial" w:hAnsi="Arial"/>
          <w:sz w:val="15"/>
          <w:szCs w:val="15"/>
          <w:color w:val="auto"/>
        </w:rPr>
        <w:t>; or</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       </w:t>
      </w:r>
      <w:r>
        <w:rPr>
          <w:rFonts w:ascii="Arial" w:cs="Arial" w:eastAsia="Arial" w:hAnsi="Arial"/>
          <w:sz w:val="15"/>
          <w:szCs w:val="15"/>
          <w:color w:val="auto"/>
        </w:rPr>
        <w:t>●   By telephone within the United States, U.S. territories or Canada at</w:t>
      </w:r>
      <w:r>
        <w:rPr>
          <w:rFonts w:ascii="Arial" w:cs="Arial" w:eastAsia="Arial" w:hAnsi="Arial"/>
          <w:sz w:val="20"/>
          <w:szCs w:val="20"/>
          <w:color w:val="auto"/>
        </w:rPr>
        <w:t xml:space="preserve"> </w:t>
      </w:r>
      <w:r>
        <w:rPr>
          <w:rFonts w:ascii="Arial" w:cs="Arial" w:eastAsia="Arial" w:hAnsi="Arial"/>
          <w:sz w:val="15"/>
          <w:szCs w:val="15"/>
          <w:b w:val="1"/>
          <w:bCs w:val="1"/>
          <w:color w:val="auto"/>
        </w:rPr>
        <w:t>1 800 652 VOTE (8683)</w:t>
      </w:r>
      <w:r>
        <w:rPr>
          <w:rFonts w:ascii="Arial" w:cs="Arial" w:eastAsia="Arial" w:hAnsi="Arial"/>
          <w:sz w:val="15"/>
          <w:szCs w:val="15"/>
          <w:color w:val="auto"/>
        </w:rPr>
        <w:t>; or</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       </w:t>
      </w:r>
      <w:r>
        <w:rPr>
          <w:rFonts w:ascii="Arial" w:cs="Arial" w:eastAsia="Arial" w:hAnsi="Arial"/>
          <w:sz w:val="15"/>
          <w:szCs w:val="15"/>
          <w:color w:val="auto"/>
        </w:rPr>
        <w:t>●   If you requested paper or e-mail copies of the proxy materials, please complete, sign, date and return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399415</wp:posOffset>
            </wp:positionV>
            <wp:extent cx="714121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2"/>
          <w:szCs w:val="12"/>
          <w:color w:val="auto"/>
        </w:rPr>
        <w:t>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PROXY STATEMENT 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714121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gridSpan w:val="8"/>
          </w:tcPr>
          <w:p>
            <w:pPr>
              <w:spacing w:after="0"/>
              <w:rPr>
                <w:sz w:val="20"/>
                <w:szCs w:val="20"/>
                <w:color w:val="auto"/>
              </w:rPr>
            </w:pPr>
            <w:r>
              <w:rPr>
                <w:rFonts w:ascii="Arial" w:cs="Arial" w:eastAsia="Arial" w:hAnsi="Arial"/>
                <w:sz w:val="17"/>
                <w:szCs w:val="17"/>
                <w:b w:val="1"/>
                <w:bCs w:val="1"/>
                <w:color w:val="0000EE"/>
              </w:rPr>
              <w:t>Proxy Statement Summary</w:t>
            </w:r>
          </w:p>
        </w:tc>
        <w:tc>
          <w:tcPr>
            <w:tcW w:w="2420" w:type="dxa"/>
            <w:vAlign w:val="bottom"/>
            <w:gridSpan w:val="3"/>
          </w:tcPr>
          <w:p>
            <w:pPr>
              <w:jc w:val="right"/>
              <w:spacing w:after="0"/>
              <w:rPr>
                <w:sz w:val="20"/>
                <w:szCs w:val="20"/>
                <w:color w:val="auto"/>
              </w:rPr>
            </w:pPr>
            <w:r>
              <w:rPr>
                <w:rFonts w:ascii="Arial" w:cs="Arial" w:eastAsia="Arial" w:hAnsi="Arial"/>
                <w:sz w:val="17"/>
                <w:szCs w:val="17"/>
                <w:color w:val="0000EE"/>
              </w:rPr>
              <w:t>1</w:t>
            </w:r>
          </w:p>
        </w:tc>
      </w:tr>
      <w:tr>
        <w:trPr>
          <w:trHeight w:val="81"/>
        </w:trPr>
        <w:tc>
          <w:tcPr>
            <w:tcW w:w="1340" w:type="dxa"/>
            <w:vAlign w:val="bottom"/>
            <w:tcBorders>
              <w:top w:val="single" w:sz="8" w:color="0000EE"/>
              <w:bottom w:val="single" w:sz="8" w:color="808080"/>
            </w:tcBorders>
          </w:tcPr>
          <w:p>
            <w:pPr>
              <w:spacing w:after="0"/>
              <w:rPr>
                <w:sz w:val="7"/>
                <w:szCs w:val="7"/>
                <w:color w:val="auto"/>
              </w:rPr>
            </w:pPr>
          </w:p>
        </w:tc>
        <w:tc>
          <w:tcPr>
            <w:tcW w:w="140" w:type="dxa"/>
            <w:vAlign w:val="bottom"/>
            <w:tcBorders>
              <w:top w:val="single" w:sz="8" w:color="0000EE"/>
              <w:bottom w:val="single" w:sz="8" w:color="808080"/>
            </w:tcBorders>
          </w:tcPr>
          <w:p>
            <w:pPr>
              <w:spacing w:after="0"/>
              <w:rPr>
                <w:sz w:val="7"/>
                <w:szCs w:val="7"/>
                <w:color w:val="auto"/>
              </w:rPr>
            </w:pPr>
          </w:p>
        </w:tc>
        <w:tc>
          <w:tcPr>
            <w:tcW w:w="60" w:type="dxa"/>
            <w:vAlign w:val="bottom"/>
            <w:tcBorders>
              <w:top w:val="single" w:sz="8" w:color="0000EE"/>
              <w:bottom w:val="single" w:sz="8" w:color="808080"/>
            </w:tcBorders>
          </w:tcPr>
          <w:p>
            <w:pPr>
              <w:spacing w:after="0"/>
              <w:rPr>
                <w:sz w:val="7"/>
                <w:szCs w:val="7"/>
                <w:color w:val="auto"/>
              </w:rPr>
            </w:pPr>
          </w:p>
        </w:tc>
        <w:tc>
          <w:tcPr>
            <w:tcW w:w="420" w:type="dxa"/>
            <w:vAlign w:val="bottom"/>
            <w:tcBorders>
              <w:top w:val="single" w:sz="8" w:color="0000EE"/>
              <w:bottom w:val="single" w:sz="8" w:color="808080"/>
            </w:tcBorders>
          </w:tcPr>
          <w:p>
            <w:pPr>
              <w:spacing w:after="0"/>
              <w:rPr>
                <w:sz w:val="7"/>
                <w:szCs w:val="7"/>
                <w:color w:val="auto"/>
              </w:rPr>
            </w:pPr>
          </w:p>
        </w:tc>
        <w:tc>
          <w:tcPr>
            <w:tcW w:w="180" w:type="dxa"/>
            <w:vAlign w:val="bottom"/>
            <w:tcBorders>
              <w:top w:val="single" w:sz="8" w:color="0000EE"/>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320" w:type="dxa"/>
            <w:vAlign w:val="bottom"/>
            <w:tcBorders>
              <w:bottom w:val="single" w:sz="8" w:color="808080"/>
            </w:tcBorders>
          </w:tcPr>
          <w:p>
            <w:pPr>
              <w:spacing w:after="0"/>
              <w:rPr>
                <w:sz w:val="7"/>
                <w:szCs w:val="7"/>
                <w:color w:val="auto"/>
              </w:rPr>
            </w:pPr>
          </w:p>
        </w:tc>
        <w:tc>
          <w:tcPr>
            <w:tcW w:w="20" w:type="dxa"/>
            <w:vAlign w:val="bottom"/>
            <w:tcBorders>
              <w:top w:val="single" w:sz="8" w:color="0000EE"/>
              <w:bottom w:val="single" w:sz="8" w:color="808080"/>
            </w:tcBorders>
          </w:tcPr>
          <w:p>
            <w:pPr>
              <w:spacing w:after="0"/>
              <w:rPr>
                <w:sz w:val="7"/>
                <w:szCs w:val="7"/>
                <w:color w:val="auto"/>
              </w:rPr>
            </w:pPr>
          </w:p>
        </w:tc>
        <w:tc>
          <w:tcPr>
            <w:tcW w:w="80" w:type="dxa"/>
            <w:vAlign w:val="bottom"/>
            <w:tcBorders>
              <w:top w:val="single" w:sz="8" w:color="0000EE"/>
              <w:bottom w:val="single" w:sz="8" w:color="808080"/>
            </w:tcBorders>
          </w:tcPr>
          <w:p>
            <w:pPr>
              <w:spacing w:after="0"/>
              <w:rPr>
                <w:sz w:val="7"/>
                <w:szCs w:val="7"/>
                <w:color w:val="auto"/>
              </w:rPr>
            </w:pPr>
          </w:p>
        </w:tc>
      </w:tr>
      <w:tr>
        <w:trPr>
          <w:trHeight w:val="270"/>
        </w:trPr>
        <w:tc>
          <w:tcPr>
            <w:tcW w:w="1340" w:type="dxa"/>
            <w:vAlign w:val="bottom"/>
          </w:tcPr>
          <w:p>
            <w:pPr>
              <w:spacing w:after="0"/>
              <w:rPr>
                <w:sz w:val="20"/>
                <w:szCs w:val="20"/>
                <w:color w:val="auto"/>
              </w:rPr>
            </w:pPr>
            <w:r>
              <w:rPr>
                <w:rFonts w:ascii="Arial" w:cs="Arial" w:eastAsia="Arial" w:hAnsi="Arial"/>
                <w:sz w:val="15"/>
                <w:szCs w:val="15"/>
                <w:color w:val="0000EE"/>
                <w:w w:val="99"/>
              </w:rPr>
              <w:t>Meeting Information</w:t>
            </w:r>
          </w:p>
        </w:tc>
        <w:tc>
          <w:tcPr>
            <w:tcW w:w="1640" w:type="dxa"/>
            <w:vAlign w:val="bottom"/>
            <w:gridSpan w:val="7"/>
          </w:tcPr>
          <w:p>
            <w:pPr>
              <w:spacing w:after="0"/>
              <w:rPr>
                <w:sz w:val="23"/>
                <w:szCs w:val="23"/>
                <w:color w:val="auto"/>
              </w:rPr>
            </w:pPr>
          </w:p>
        </w:tc>
        <w:tc>
          <w:tcPr>
            <w:tcW w:w="2420" w:type="dxa"/>
            <w:vAlign w:val="bottom"/>
            <w:gridSpan w:val="3"/>
          </w:tcPr>
          <w:p>
            <w:pPr>
              <w:jc w:val="right"/>
              <w:spacing w:after="0"/>
              <w:rPr>
                <w:sz w:val="20"/>
                <w:szCs w:val="20"/>
                <w:color w:val="auto"/>
              </w:rPr>
            </w:pPr>
            <w:r>
              <w:rPr>
                <w:rFonts w:ascii="Arial" w:cs="Arial" w:eastAsia="Arial" w:hAnsi="Arial"/>
                <w:sz w:val="15"/>
                <w:szCs w:val="15"/>
                <w:color w:val="0000EE"/>
              </w:rPr>
              <w:t>1</w:t>
            </w:r>
          </w:p>
        </w:tc>
      </w:tr>
      <w:tr>
        <w:trPr>
          <w:trHeight w:val="20"/>
        </w:trPr>
        <w:tc>
          <w:tcPr>
            <w:tcW w:w="1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57"/>
        </w:trPr>
        <w:tc>
          <w:tcPr>
            <w:tcW w:w="2720" w:type="dxa"/>
            <w:vAlign w:val="bottom"/>
            <w:gridSpan w:val="7"/>
          </w:tcPr>
          <w:p>
            <w:pPr>
              <w:spacing w:after="0" w:line="157" w:lineRule="exact"/>
              <w:rPr>
                <w:sz w:val="20"/>
                <w:szCs w:val="20"/>
                <w:color w:val="auto"/>
              </w:rPr>
            </w:pPr>
            <w:r>
              <w:rPr>
                <w:rFonts w:ascii="Arial" w:cs="Arial" w:eastAsia="Arial" w:hAnsi="Arial"/>
                <w:sz w:val="15"/>
                <w:szCs w:val="15"/>
                <w:color w:val="0000EE"/>
              </w:rPr>
              <w:t>Proposals and Board Recommendations</w:t>
            </w:r>
          </w:p>
        </w:tc>
        <w:tc>
          <w:tcPr>
            <w:tcW w:w="260" w:type="dxa"/>
            <w:vAlign w:val="bottom"/>
          </w:tcPr>
          <w:p>
            <w:pPr>
              <w:spacing w:after="0"/>
              <w:rPr>
                <w:sz w:val="13"/>
                <w:szCs w:val="13"/>
                <w:color w:val="auto"/>
              </w:rPr>
            </w:pPr>
          </w:p>
        </w:tc>
        <w:tc>
          <w:tcPr>
            <w:tcW w:w="242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1</w:t>
            </w: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57"/>
        </w:trPr>
        <w:tc>
          <w:tcPr>
            <w:tcW w:w="1480" w:type="dxa"/>
            <w:vAlign w:val="bottom"/>
            <w:gridSpan w:val="2"/>
          </w:tcPr>
          <w:p>
            <w:pPr>
              <w:spacing w:after="0" w:line="157" w:lineRule="exact"/>
              <w:rPr>
                <w:sz w:val="20"/>
                <w:szCs w:val="20"/>
                <w:color w:val="auto"/>
              </w:rPr>
            </w:pPr>
            <w:r>
              <w:rPr>
                <w:rFonts w:ascii="Arial" w:cs="Arial" w:eastAsia="Arial" w:hAnsi="Arial"/>
                <w:sz w:val="15"/>
                <w:szCs w:val="15"/>
                <w:color w:val="0000EE"/>
              </w:rPr>
              <w:t>Nominees for Director</w:t>
            </w:r>
          </w:p>
        </w:tc>
        <w:tc>
          <w:tcPr>
            <w:tcW w:w="1240" w:type="dxa"/>
            <w:vAlign w:val="bottom"/>
            <w:gridSpan w:val="5"/>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2</w:t>
            </w:r>
          </w:p>
        </w:tc>
      </w:tr>
      <w:tr>
        <w:trPr>
          <w:trHeight w:val="20"/>
        </w:trPr>
        <w:tc>
          <w:tcPr>
            <w:tcW w:w="1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57"/>
        </w:trPr>
        <w:tc>
          <w:tcPr>
            <w:tcW w:w="1960" w:type="dxa"/>
            <w:vAlign w:val="bottom"/>
            <w:gridSpan w:val="4"/>
          </w:tcPr>
          <w:p>
            <w:pPr>
              <w:spacing w:after="0" w:line="157" w:lineRule="exact"/>
              <w:rPr>
                <w:sz w:val="20"/>
                <w:szCs w:val="20"/>
                <w:color w:val="auto"/>
              </w:rPr>
            </w:pPr>
            <w:r>
              <w:rPr>
                <w:rFonts w:ascii="Arial" w:cs="Arial" w:eastAsia="Arial" w:hAnsi="Arial"/>
                <w:sz w:val="15"/>
                <w:szCs w:val="15"/>
                <w:color w:val="0000EE"/>
                <w:w w:val="99"/>
              </w:rPr>
              <w:t>Director Diversity and Tenure</w:t>
            </w:r>
          </w:p>
        </w:tc>
        <w:tc>
          <w:tcPr>
            <w:tcW w:w="1020" w:type="dxa"/>
            <w:vAlign w:val="bottom"/>
            <w:gridSpan w:val="4"/>
          </w:tcPr>
          <w:p>
            <w:pPr>
              <w:spacing w:after="0"/>
              <w:rPr>
                <w:sz w:val="13"/>
                <w:szCs w:val="13"/>
                <w:color w:val="auto"/>
              </w:rPr>
            </w:pPr>
          </w:p>
        </w:tc>
        <w:tc>
          <w:tcPr>
            <w:tcW w:w="242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2</w:t>
            </w:r>
          </w:p>
        </w:tc>
      </w:tr>
      <w:tr>
        <w:trPr>
          <w:trHeight w:val="20"/>
        </w:trPr>
        <w:tc>
          <w:tcPr>
            <w:tcW w:w="15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57"/>
        </w:trPr>
        <w:tc>
          <w:tcPr>
            <w:tcW w:w="2980" w:type="dxa"/>
            <w:vAlign w:val="bottom"/>
            <w:gridSpan w:val="8"/>
          </w:tcPr>
          <w:p>
            <w:pPr>
              <w:spacing w:after="0" w:line="157" w:lineRule="exact"/>
              <w:rPr>
                <w:sz w:val="20"/>
                <w:szCs w:val="20"/>
                <w:color w:val="auto"/>
              </w:rPr>
            </w:pPr>
            <w:r>
              <w:rPr>
                <w:rFonts w:ascii="Arial" w:cs="Arial" w:eastAsia="Arial" w:hAnsi="Arial"/>
                <w:sz w:val="15"/>
                <w:szCs w:val="15"/>
                <w:color w:val="0000EE"/>
              </w:rPr>
              <w:t>Company Overview and Business Highlights</w:t>
            </w:r>
          </w:p>
        </w:tc>
        <w:tc>
          <w:tcPr>
            <w:tcW w:w="242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3</w:t>
            </w:r>
          </w:p>
        </w:tc>
      </w:tr>
      <w:tr>
        <w:trPr>
          <w:trHeight w:val="20"/>
        </w:trPr>
        <w:tc>
          <w:tcPr>
            <w:tcW w:w="1540" w:type="dxa"/>
            <w:vAlign w:val="bottom"/>
            <w:gridSpan w:val="3"/>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57"/>
        </w:trPr>
        <w:tc>
          <w:tcPr>
            <w:tcW w:w="1540" w:type="dxa"/>
            <w:vAlign w:val="bottom"/>
            <w:gridSpan w:val="3"/>
          </w:tcPr>
          <w:p>
            <w:pPr>
              <w:spacing w:after="0" w:line="157" w:lineRule="exact"/>
              <w:rPr>
                <w:sz w:val="20"/>
                <w:szCs w:val="20"/>
                <w:color w:val="auto"/>
              </w:rPr>
            </w:pPr>
            <w:r>
              <w:rPr>
                <w:rFonts w:ascii="Arial" w:cs="Arial" w:eastAsia="Arial" w:hAnsi="Arial"/>
                <w:sz w:val="15"/>
                <w:szCs w:val="15"/>
                <w:color w:val="0000EE"/>
              </w:rPr>
              <w:t>Governance Highlights</w:t>
            </w:r>
          </w:p>
        </w:tc>
        <w:tc>
          <w:tcPr>
            <w:tcW w:w="1440" w:type="dxa"/>
            <w:vAlign w:val="bottom"/>
            <w:gridSpan w:val="5"/>
          </w:tcPr>
          <w:p>
            <w:pPr>
              <w:spacing w:after="0"/>
              <w:rPr>
                <w:sz w:val="13"/>
                <w:szCs w:val="13"/>
                <w:color w:val="auto"/>
              </w:rPr>
            </w:pPr>
          </w:p>
        </w:tc>
        <w:tc>
          <w:tcPr>
            <w:tcW w:w="242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4</w:t>
            </w:r>
          </w:p>
        </w:tc>
      </w:tr>
      <w:tr>
        <w:trPr>
          <w:trHeight w:val="20"/>
        </w:trPr>
        <w:tc>
          <w:tcPr>
            <w:tcW w:w="1540" w:type="dxa"/>
            <w:vAlign w:val="bottom"/>
            <w:gridSpan w:val="3"/>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57"/>
        </w:trPr>
        <w:tc>
          <w:tcPr>
            <w:tcW w:w="2980" w:type="dxa"/>
            <w:vAlign w:val="bottom"/>
            <w:gridSpan w:val="8"/>
          </w:tcPr>
          <w:p>
            <w:pPr>
              <w:spacing w:after="0" w:line="157" w:lineRule="exact"/>
              <w:rPr>
                <w:sz w:val="20"/>
                <w:szCs w:val="20"/>
                <w:color w:val="auto"/>
              </w:rPr>
            </w:pPr>
            <w:r>
              <w:rPr>
                <w:rFonts w:ascii="Arial" w:cs="Arial" w:eastAsia="Arial" w:hAnsi="Arial"/>
                <w:sz w:val="15"/>
                <w:szCs w:val="15"/>
                <w:color w:val="0000EE"/>
              </w:rPr>
              <w:t>Executive Compensation Highlights</w:t>
            </w:r>
          </w:p>
        </w:tc>
        <w:tc>
          <w:tcPr>
            <w:tcW w:w="242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4</w:t>
            </w:r>
          </w:p>
        </w:tc>
      </w:tr>
      <w:tr>
        <w:trPr>
          <w:trHeight w:val="20"/>
        </w:trPr>
        <w:tc>
          <w:tcPr>
            <w:tcW w:w="1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gridSpan w:val="22"/>
          </w:tcPr>
          <w:p>
            <w:pPr>
              <w:spacing w:after="0"/>
              <w:rPr>
                <w:sz w:val="20"/>
                <w:szCs w:val="20"/>
                <w:color w:val="auto"/>
              </w:rPr>
            </w:pPr>
            <w:r>
              <w:rPr>
                <w:rFonts w:ascii="Arial" w:cs="Arial" w:eastAsia="Arial" w:hAnsi="Arial"/>
                <w:sz w:val="17"/>
                <w:szCs w:val="17"/>
                <w:b w:val="1"/>
                <w:bCs w:val="1"/>
                <w:color w:val="0000EE"/>
              </w:rPr>
              <w:t>Voting</w:t>
            </w:r>
          </w:p>
        </w:tc>
        <w:tc>
          <w:tcPr>
            <w:tcW w:w="200" w:type="dxa"/>
            <w:vAlign w:val="bottom"/>
            <w:gridSpan w:val="3"/>
          </w:tcPr>
          <w:p>
            <w:pPr>
              <w:jc w:val="right"/>
              <w:spacing w:after="0"/>
              <w:rPr>
                <w:sz w:val="20"/>
                <w:szCs w:val="20"/>
                <w:color w:val="auto"/>
              </w:rPr>
            </w:pPr>
            <w:r>
              <w:rPr>
                <w:rFonts w:ascii="Arial" w:cs="Arial" w:eastAsia="Arial" w:hAnsi="Arial"/>
                <w:sz w:val="17"/>
                <w:szCs w:val="17"/>
                <w:color w:val="0000EE"/>
              </w:rPr>
              <w:t>6</w:t>
            </w:r>
          </w:p>
        </w:tc>
        <w:tc>
          <w:tcPr>
            <w:tcW w:w="0" w:type="dxa"/>
            <w:vAlign w:val="bottom"/>
          </w:tcPr>
          <w:p>
            <w:pPr>
              <w:spacing w:after="0"/>
              <w:rPr>
                <w:sz w:val="1"/>
                <w:szCs w:val="1"/>
                <w:color w:val="auto"/>
              </w:rPr>
            </w:pPr>
          </w:p>
        </w:tc>
      </w:tr>
      <w:tr>
        <w:trPr>
          <w:trHeight w:val="81"/>
        </w:trPr>
        <w:tc>
          <w:tcPr>
            <w:tcW w:w="520" w:type="dxa"/>
            <w:vAlign w:val="bottom"/>
            <w:tcBorders>
              <w:top w:val="single" w:sz="8" w:color="0000EE"/>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top w:val="single" w:sz="8" w:color="0000EE"/>
              <w:bottom w:val="single" w:sz="8" w:color="808080"/>
            </w:tcBorders>
          </w:tcPr>
          <w:p>
            <w:pPr>
              <w:spacing w:after="0"/>
              <w:rPr>
                <w:sz w:val="7"/>
                <w:szCs w:val="7"/>
                <w:color w:val="auto"/>
              </w:rPr>
            </w:pPr>
          </w:p>
        </w:tc>
        <w:tc>
          <w:tcPr>
            <w:tcW w:w="80" w:type="dxa"/>
            <w:vAlign w:val="bottom"/>
            <w:tcBorders>
              <w:top w:val="single" w:sz="8" w:color="0000EE"/>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5"/>
                <w:szCs w:val="15"/>
                <w:color w:val="0000EE"/>
                <w:w w:val="92"/>
              </w:rPr>
              <w:t>How to Vote</w:t>
            </w:r>
          </w:p>
        </w:tc>
        <w:tc>
          <w:tcPr>
            <w:tcW w:w="4400" w:type="dxa"/>
            <w:vAlign w:val="bottom"/>
            <w:gridSpan w:val="20"/>
          </w:tcPr>
          <w:p>
            <w:pPr>
              <w:spacing w:after="0"/>
              <w:rPr>
                <w:sz w:val="23"/>
                <w:szCs w:val="23"/>
                <w:color w:val="auto"/>
              </w:rPr>
            </w:pPr>
          </w:p>
        </w:tc>
        <w:tc>
          <w:tcPr>
            <w:tcW w:w="200" w:type="dxa"/>
            <w:vAlign w:val="bottom"/>
            <w:gridSpan w:val="3"/>
          </w:tcPr>
          <w:p>
            <w:pPr>
              <w:jc w:val="right"/>
              <w:spacing w:after="0"/>
              <w:rPr>
                <w:sz w:val="20"/>
                <w:szCs w:val="20"/>
                <w:color w:val="auto"/>
              </w:rPr>
            </w:pPr>
            <w:r>
              <w:rPr>
                <w:rFonts w:ascii="Arial" w:cs="Arial" w:eastAsia="Arial" w:hAnsi="Arial"/>
                <w:sz w:val="15"/>
                <w:szCs w:val="15"/>
                <w:color w:val="0000EE"/>
              </w:rPr>
              <w:t>6</w:t>
            </w:r>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2"/>
          </w:tcPr>
          <w:p>
            <w:pPr>
              <w:spacing w:after="0" w:line="157" w:lineRule="exact"/>
              <w:rPr>
                <w:sz w:val="20"/>
                <w:szCs w:val="20"/>
                <w:color w:val="auto"/>
              </w:rPr>
            </w:pPr>
            <w:r>
              <w:rPr>
                <w:rFonts w:ascii="Arial" w:cs="Arial" w:eastAsia="Arial" w:hAnsi="Arial"/>
                <w:sz w:val="15"/>
                <w:szCs w:val="15"/>
                <w:color w:val="0000EE"/>
              </w:rPr>
              <w:t>Required Vote</w:t>
            </w:r>
          </w:p>
        </w:tc>
        <w:tc>
          <w:tcPr>
            <w:tcW w:w="20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6</w:t>
            </w:r>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200" w:type="dxa"/>
            <w:vAlign w:val="bottom"/>
            <w:gridSpan w:val="22"/>
          </w:tcPr>
          <w:p>
            <w:pPr>
              <w:spacing w:after="0"/>
              <w:rPr>
                <w:sz w:val="20"/>
                <w:szCs w:val="20"/>
                <w:color w:val="auto"/>
              </w:rPr>
            </w:pPr>
            <w:r>
              <w:rPr>
                <w:rFonts w:ascii="Arial" w:cs="Arial" w:eastAsia="Arial" w:hAnsi="Arial"/>
                <w:sz w:val="17"/>
                <w:szCs w:val="17"/>
                <w:b w:val="1"/>
                <w:bCs w:val="1"/>
                <w:color w:val="0000EE"/>
              </w:rPr>
              <w:t>Proposal 1: Election of Directors</w:t>
            </w:r>
          </w:p>
        </w:tc>
        <w:tc>
          <w:tcPr>
            <w:tcW w:w="200" w:type="dxa"/>
            <w:vAlign w:val="bottom"/>
            <w:gridSpan w:val="3"/>
          </w:tcPr>
          <w:p>
            <w:pPr>
              <w:jc w:val="right"/>
              <w:spacing w:after="0"/>
              <w:rPr>
                <w:sz w:val="20"/>
                <w:szCs w:val="20"/>
                <w:color w:val="auto"/>
              </w:rPr>
            </w:pPr>
            <w:r>
              <w:rPr>
                <w:rFonts w:ascii="Arial" w:cs="Arial" w:eastAsia="Arial" w:hAnsi="Arial"/>
                <w:sz w:val="17"/>
                <w:szCs w:val="17"/>
                <w:color w:val="0000EE"/>
              </w:rPr>
              <w:t>8</w:t>
            </w:r>
          </w:p>
        </w:tc>
        <w:tc>
          <w:tcPr>
            <w:tcW w:w="0" w:type="dxa"/>
            <w:vAlign w:val="bottom"/>
          </w:tcPr>
          <w:p>
            <w:pPr>
              <w:spacing w:after="0"/>
              <w:rPr>
                <w:sz w:val="1"/>
                <w:szCs w:val="1"/>
                <w:color w:val="auto"/>
              </w:rPr>
            </w:pPr>
          </w:p>
        </w:tc>
      </w:tr>
      <w:tr>
        <w:trPr>
          <w:trHeight w:val="81"/>
        </w:trPr>
        <w:tc>
          <w:tcPr>
            <w:tcW w:w="520" w:type="dxa"/>
            <w:vAlign w:val="bottom"/>
            <w:tcBorders>
              <w:top w:val="single" w:sz="8" w:color="0000EE"/>
              <w:bottom w:val="single" w:sz="8" w:color="808080"/>
            </w:tcBorders>
          </w:tcPr>
          <w:p>
            <w:pPr>
              <w:spacing w:after="0"/>
              <w:rPr>
                <w:sz w:val="7"/>
                <w:szCs w:val="7"/>
                <w:color w:val="auto"/>
              </w:rPr>
            </w:pPr>
          </w:p>
        </w:tc>
        <w:tc>
          <w:tcPr>
            <w:tcW w:w="280" w:type="dxa"/>
            <w:vAlign w:val="bottom"/>
            <w:tcBorders>
              <w:top w:val="single" w:sz="8" w:color="0000EE"/>
              <w:bottom w:val="single" w:sz="8" w:color="808080"/>
            </w:tcBorders>
          </w:tcPr>
          <w:p>
            <w:pPr>
              <w:spacing w:after="0"/>
              <w:rPr>
                <w:sz w:val="7"/>
                <w:szCs w:val="7"/>
                <w:color w:val="auto"/>
              </w:rPr>
            </w:pPr>
          </w:p>
        </w:tc>
        <w:tc>
          <w:tcPr>
            <w:tcW w:w="160" w:type="dxa"/>
            <w:vAlign w:val="bottom"/>
            <w:tcBorders>
              <w:top w:val="single" w:sz="8" w:color="0000EE"/>
              <w:bottom w:val="single" w:sz="8" w:color="808080"/>
            </w:tcBorders>
          </w:tcPr>
          <w:p>
            <w:pPr>
              <w:spacing w:after="0"/>
              <w:rPr>
                <w:sz w:val="7"/>
                <w:szCs w:val="7"/>
                <w:color w:val="auto"/>
              </w:rPr>
            </w:pPr>
          </w:p>
        </w:tc>
        <w:tc>
          <w:tcPr>
            <w:tcW w:w="180" w:type="dxa"/>
            <w:vAlign w:val="bottom"/>
            <w:tcBorders>
              <w:top w:val="single" w:sz="8" w:color="0000EE"/>
              <w:bottom w:val="single" w:sz="8" w:color="808080"/>
            </w:tcBorders>
          </w:tcPr>
          <w:p>
            <w:pPr>
              <w:spacing w:after="0"/>
              <w:rPr>
                <w:sz w:val="7"/>
                <w:szCs w:val="7"/>
                <w:color w:val="auto"/>
              </w:rPr>
            </w:pPr>
          </w:p>
        </w:tc>
        <w:tc>
          <w:tcPr>
            <w:tcW w:w="80" w:type="dxa"/>
            <w:vAlign w:val="bottom"/>
            <w:tcBorders>
              <w:top w:val="single" w:sz="8" w:color="0000EE"/>
              <w:bottom w:val="single" w:sz="8" w:color="808080"/>
            </w:tcBorders>
          </w:tcPr>
          <w:p>
            <w:pPr>
              <w:spacing w:after="0"/>
              <w:rPr>
                <w:sz w:val="7"/>
                <w:szCs w:val="7"/>
                <w:color w:val="auto"/>
              </w:rPr>
            </w:pPr>
          </w:p>
        </w:tc>
        <w:tc>
          <w:tcPr>
            <w:tcW w:w="160" w:type="dxa"/>
            <w:vAlign w:val="bottom"/>
            <w:tcBorders>
              <w:top w:val="single" w:sz="8" w:color="0000EE"/>
              <w:bottom w:val="single" w:sz="8" w:color="808080"/>
            </w:tcBorders>
          </w:tcPr>
          <w:p>
            <w:pPr>
              <w:spacing w:after="0"/>
              <w:rPr>
                <w:sz w:val="7"/>
                <w:szCs w:val="7"/>
                <w:color w:val="auto"/>
              </w:rPr>
            </w:pPr>
          </w:p>
        </w:tc>
        <w:tc>
          <w:tcPr>
            <w:tcW w:w="20" w:type="dxa"/>
            <w:vAlign w:val="bottom"/>
            <w:tcBorders>
              <w:top w:val="single" w:sz="8" w:color="0000EE"/>
              <w:bottom w:val="single" w:sz="8" w:color="808080"/>
            </w:tcBorders>
          </w:tcPr>
          <w:p>
            <w:pPr>
              <w:spacing w:after="0"/>
              <w:rPr>
                <w:sz w:val="7"/>
                <w:szCs w:val="7"/>
                <w:color w:val="auto"/>
              </w:rPr>
            </w:pPr>
          </w:p>
        </w:tc>
        <w:tc>
          <w:tcPr>
            <w:tcW w:w="140" w:type="dxa"/>
            <w:vAlign w:val="bottom"/>
            <w:tcBorders>
              <w:top w:val="single" w:sz="8" w:color="0000EE"/>
              <w:bottom w:val="single" w:sz="8" w:color="808080"/>
            </w:tcBorders>
          </w:tcPr>
          <w:p>
            <w:pPr>
              <w:spacing w:after="0"/>
              <w:rPr>
                <w:sz w:val="7"/>
                <w:szCs w:val="7"/>
                <w:color w:val="auto"/>
              </w:rPr>
            </w:pPr>
          </w:p>
        </w:tc>
        <w:tc>
          <w:tcPr>
            <w:tcW w:w="160" w:type="dxa"/>
            <w:vAlign w:val="bottom"/>
            <w:tcBorders>
              <w:top w:val="single" w:sz="8" w:color="0000EE"/>
              <w:bottom w:val="single" w:sz="8" w:color="808080"/>
            </w:tcBorders>
          </w:tcPr>
          <w:p>
            <w:pPr>
              <w:spacing w:after="0"/>
              <w:rPr>
                <w:sz w:val="7"/>
                <w:szCs w:val="7"/>
                <w:color w:val="auto"/>
              </w:rPr>
            </w:pPr>
          </w:p>
        </w:tc>
        <w:tc>
          <w:tcPr>
            <w:tcW w:w="260" w:type="dxa"/>
            <w:vAlign w:val="bottom"/>
            <w:tcBorders>
              <w:top w:val="single" w:sz="8" w:color="0000EE"/>
              <w:bottom w:val="single" w:sz="8" w:color="808080"/>
            </w:tcBorders>
          </w:tcPr>
          <w:p>
            <w:pPr>
              <w:spacing w:after="0"/>
              <w:rPr>
                <w:sz w:val="7"/>
                <w:szCs w:val="7"/>
                <w:color w:val="auto"/>
              </w:rPr>
            </w:pPr>
          </w:p>
        </w:tc>
        <w:tc>
          <w:tcPr>
            <w:tcW w:w="280" w:type="dxa"/>
            <w:vAlign w:val="bottom"/>
            <w:tcBorders>
              <w:top w:val="single" w:sz="8" w:color="0000EE"/>
              <w:bottom w:val="single" w:sz="8" w:color="808080"/>
            </w:tcBorders>
          </w:tcPr>
          <w:p>
            <w:pPr>
              <w:spacing w:after="0"/>
              <w:rPr>
                <w:sz w:val="7"/>
                <w:szCs w:val="7"/>
                <w:color w:val="auto"/>
              </w:rPr>
            </w:pPr>
          </w:p>
        </w:tc>
        <w:tc>
          <w:tcPr>
            <w:tcW w:w="100" w:type="dxa"/>
            <w:vAlign w:val="bottom"/>
            <w:tcBorders>
              <w:top w:val="single" w:sz="8" w:color="0000EE"/>
              <w:bottom w:val="single" w:sz="8" w:color="808080"/>
            </w:tcBorders>
          </w:tcPr>
          <w:p>
            <w:pPr>
              <w:spacing w:after="0"/>
              <w:rPr>
                <w:sz w:val="7"/>
                <w:szCs w:val="7"/>
                <w:color w:val="auto"/>
              </w:rPr>
            </w:pPr>
          </w:p>
        </w:tc>
        <w:tc>
          <w:tcPr>
            <w:tcW w:w="60" w:type="dxa"/>
            <w:vAlign w:val="bottom"/>
            <w:tcBorders>
              <w:top w:val="single" w:sz="8" w:color="0000EE"/>
              <w:bottom w:val="single" w:sz="8" w:color="808080"/>
            </w:tcBorders>
          </w:tcPr>
          <w:p>
            <w:pPr>
              <w:spacing w:after="0"/>
              <w:rPr>
                <w:sz w:val="7"/>
                <w:szCs w:val="7"/>
                <w:color w:val="auto"/>
              </w:rPr>
            </w:pPr>
          </w:p>
        </w:tc>
        <w:tc>
          <w:tcPr>
            <w:tcW w:w="60" w:type="dxa"/>
            <w:vAlign w:val="bottom"/>
            <w:tcBorders>
              <w:top w:val="single" w:sz="8" w:color="0000EE"/>
              <w:bottom w:val="single" w:sz="8" w:color="808080"/>
            </w:tcBorders>
          </w:tcPr>
          <w:p>
            <w:pPr>
              <w:spacing w:after="0"/>
              <w:rPr>
                <w:sz w:val="7"/>
                <w:szCs w:val="7"/>
                <w:color w:val="auto"/>
              </w:rPr>
            </w:pPr>
          </w:p>
        </w:tc>
        <w:tc>
          <w:tcPr>
            <w:tcW w:w="140" w:type="dxa"/>
            <w:vAlign w:val="bottom"/>
            <w:tcBorders>
              <w:top w:val="single" w:sz="8" w:color="0000EE"/>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 w:type="dxa"/>
            <w:vAlign w:val="bottom"/>
            <w:tcBorders>
              <w:top w:val="single" w:sz="8" w:color="0000EE"/>
              <w:bottom w:val="single" w:sz="8" w:color="808080"/>
            </w:tcBorders>
          </w:tcPr>
          <w:p>
            <w:pPr>
              <w:spacing w:after="0"/>
              <w:rPr>
                <w:sz w:val="7"/>
                <w:szCs w:val="7"/>
                <w:color w:val="auto"/>
              </w:rPr>
            </w:pPr>
          </w:p>
        </w:tc>
        <w:tc>
          <w:tcPr>
            <w:tcW w:w="80" w:type="dxa"/>
            <w:vAlign w:val="bottom"/>
            <w:tcBorders>
              <w:top w:val="single" w:sz="8" w:color="0000EE"/>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5200" w:type="dxa"/>
            <w:vAlign w:val="bottom"/>
            <w:gridSpan w:val="22"/>
          </w:tcPr>
          <w:p>
            <w:pPr>
              <w:spacing w:after="0"/>
              <w:rPr>
                <w:sz w:val="20"/>
                <w:szCs w:val="20"/>
                <w:color w:val="auto"/>
              </w:rPr>
            </w:pPr>
            <w:r>
              <w:rPr>
                <w:rFonts w:ascii="Arial" w:cs="Arial" w:eastAsia="Arial" w:hAnsi="Arial"/>
                <w:sz w:val="15"/>
                <w:szCs w:val="15"/>
                <w:color w:val="0000EE"/>
              </w:rPr>
              <w:t>Nominees for Terms Ending in 2028</w:t>
            </w:r>
          </w:p>
        </w:tc>
        <w:tc>
          <w:tcPr>
            <w:tcW w:w="200" w:type="dxa"/>
            <w:vAlign w:val="bottom"/>
            <w:gridSpan w:val="3"/>
          </w:tcPr>
          <w:p>
            <w:pPr>
              <w:jc w:val="right"/>
              <w:spacing w:after="0"/>
              <w:rPr>
                <w:sz w:val="20"/>
                <w:szCs w:val="20"/>
                <w:color w:val="auto"/>
              </w:rPr>
            </w:pPr>
            <w:r>
              <w:rPr>
                <w:rFonts w:ascii="Arial" w:cs="Arial" w:eastAsia="Arial" w:hAnsi="Arial"/>
                <w:sz w:val="15"/>
                <w:szCs w:val="15"/>
                <w:color w:val="0000EE"/>
              </w:rPr>
              <w:t>9</w:t>
            </w:r>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400" w:type="dxa"/>
            <w:vAlign w:val="bottom"/>
            <w:gridSpan w:val="13"/>
          </w:tcPr>
          <w:p>
            <w:pPr>
              <w:spacing w:after="0" w:line="157" w:lineRule="exact"/>
              <w:rPr>
                <w:sz w:val="20"/>
                <w:szCs w:val="20"/>
                <w:color w:val="auto"/>
              </w:rPr>
            </w:pPr>
            <w:r>
              <w:rPr>
                <w:rFonts w:ascii="Arial" w:cs="Arial" w:eastAsia="Arial" w:hAnsi="Arial"/>
                <w:sz w:val="15"/>
                <w:szCs w:val="15"/>
                <w:color w:val="0000EE"/>
              </w:rPr>
              <w:t>Directors Continuing in Office</w:t>
            </w:r>
          </w:p>
        </w:tc>
        <w:tc>
          <w:tcPr>
            <w:tcW w:w="2800" w:type="dxa"/>
            <w:vAlign w:val="bottom"/>
            <w:gridSpan w:val="9"/>
          </w:tcPr>
          <w:p>
            <w:pPr>
              <w:spacing w:after="0"/>
              <w:rPr>
                <w:sz w:val="13"/>
                <w:szCs w:val="13"/>
                <w:color w:val="auto"/>
              </w:rPr>
            </w:pPr>
          </w:p>
        </w:tc>
        <w:tc>
          <w:tcPr>
            <w:tcW w:w="20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11</w:t>
            </w:r>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960" w:type="dxa"/>
            <w:vAlign w:val="bottom"/>
            <w:gridSpan w:val="10"/>
          </w:tcPr>
          <w:p>
            <w:pPr>
              <w:spacing w:after="0" w:line="157" w:lineRule="exact"/>
              <w:rPr>
                <w:sz w:val="20"/>
                <w:szCs w:val="20"/>
                <w:color w:val="auto"/>
              </w:rPr>
            </w:pPr>
            <w:r>
              <w:rPr>
                <w:rFonts w:ascii="Arial" w:cs="Arial" w:eastAsia="Arial" w:hAnsi="Arial"/>
                <w:sz w:val="15"/>
                <w:szCs w:val="15"/>
                <w:color w:val="0000EE"/>
              </w:rPr>
              <w:t>Board of Directors</w:t>
            </w:r>
          </w:p>
        </w:tc>
        <w:tc>
          <w:tcPr>
            <w:tcW w:w="3240" w:type="dxa"/>
            <w:vAlign w:val="bottom"/>
            <w:gridSpan w:val="12"/>
          </w:tcPr>
          <w:p>
            <w:pPr>
              <w:spacing w:after="0"/>
              <w:rPr>
                <w:sz w:val="13"/>
                <w:szCs w:val="13"/>
                <w:color w:val="auto"/>
              </w:rPr>
            </w:pPr>
          </w:p>
        </w:tc>
        <w:tc>
          <w:tcPr>
            <w:tcW w:w="20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14</w:t>
            </w:r>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2"/>
          </w:tcPr>
          <w:p>
            <w:pPr>
              <w:spacing w:after="0" w:line="157" w:lineRule="exact"/>
              <w:rPr>
                <w:sz w:val="20"/>
                <w:szCs w:val="20"/>
                <w:color w:val="auto"/>
              </w:rPr>
            </w:pPr>
            <w:r>
              <w:rPr>
                <w:rFonts w:ascii="Arial" w:cs="Arial" w:eastAsia="Arial" w:hAnsi="Arial"/>
                <w:sz w:val="15"/>
                <w:szCs w:val="15"/>
                <w:color w:val="0000EE"/>
              </w:rPr>
              <w:t>Diversity and Tenure</w:t>
            </w:r>
          </w:p>
        </w:tc>
        <w:tc>
          <w:tcPr>
            <w:tcW w:w="20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15</w:t>
            </w:r>
          </w:p>
        </w:tc>
        <w:tc>
          <w:tcPr>
            <w:tcW w:w="0" w:type="dxa"/>
            <w:vAlign w:val="bottom"/>
          </w:tcPr>
          <w:p>
            <w:pPr>
              <w:spacing w:after="0"/>
              <w:rPr>
                <w:sz w:val="1"/>
                <w:szCs w:val="1"/>
                <w:color w:val="auto"/>
              </w:rPr>
            </w:pPr>
          </w:p>
        </w:tc>
      </w:tr>
      <w:tr>
        <w:trPr>
          <w:trHeight w:val="157"/>
        </w:trPr>
        <w:tc>
          <w:tcPr>
            <w:tcW w:w="1380" w:type="dxa"/>
            <w:vAlign w:val="bottom"/>
            <w:tcBorders>
              <w:top w:val="single" w:sz="8" w:color="0000EE"/>
            </w:tcBorders>
            <w:gridSpan w:val="6"/>
          </w:tcPr>
          <w:p>
            <w:pPr>
              <w:spacing w:after="0" w:line="157" w:lineRule="exact"/>
              <w:rPr>
                <w:sz w:val="20"/>
                <w:szCs w:val="20"/>
                <w:color w:val="auto"/>
              </w:rPr>
            </w:pPr>
            <w:r>
              <w:rPr>
                <w:rFonts w:ascii="Arial" w:cs="Arial" w:eastAsia="Arial" w:hAnsi="Arial"/>
                <w:sz w:val="15"/>
                <w:szCs w:val="15"/>
                <w:color w:val="0000EE"/>
              </w:rPr>
              <w:t>Committees</w:t>
            </w:r>
          </w:p>
        </w:tc>
        <w:tc>
          <w:tcPr>
            <w:tcW w:w="3820" w:type="dxa"/>
            <w:vAlign w:val="bottom"/>
            <w:gridSpan w:val="16"/>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EE"/>
            </w:tcBorders>
            <w:gridSpan w:val="2"/>
          </w:tcPr>
          <w:p>
            <w:pPr>
              <w:jc w:val="right"/>
              <w:spacing w:after="0"/>
              <w:rPr>
                <w:sz w:val="20"/>
                <w:szCs w:val="20"/>
                <w:color w:val="auto"/>
              </w:rPr>
            </w:pPr>
            <w:r>
              <w:rPr>
                <w:rFonts w:ascii="Arial" w:cs="Arial" w:eastAsia="Arial" w:hAnsi="Arial"/>
                <w:sz w:val="10"/>
                <w:szCs w:val="10"/>
                <w:color w:val="0000EE"/>
                <w:w w:val="71"/>
              </w:rPr>
              <w:t>15</w:t>
            </w:r>
          </w:p>
        </w:tc>
        <w:tc>
          <w:tcPr>
            <w:tcW w:w="0" w:type="dxa"/>
            <w:vAlign w:val="bottom"/>
          </w:tcPr>
          <w:p>
            <w:pPr>
              <w:spacing w:after="0"/>
              <w:rPr>
                <w:sz w:val="1"/>
                <w:szCs w:val="1"/>
                <w:color w:val="auto"/>
              </w:rPr>
            </w:pPr>
          </w:p>
        </w:tc>
      </w:tr>
      <w:tr>
        <w:trPr>
          <w:trHeight w:val="20"/>
        </w:trPr>
        <w:tc>
          <w:tcPr>
            <w:tcW w:w="80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gridSpan w:val="22"/>
          </w:tcPr>
          <w:p>
            <w:pPr>
              <w:spacing w:after="0" w:line="157" w:lineRule="exact"/>
              <w:rPr>
                <w:sz w:val="20"/>
                <w:szCs w:val="20"/>
                <w:color w:val="auto"/>
              </w:rPr>
            </w:pPr>
            <w:r>
              <w:rPr>
                <w:rFonts w:ascii="Arial" w:cs="Arial" w:eastAsia="Arial" w:hAnsi="Arial"/>
                <w:sz w:val="15"/>
                <w:szCs w:val="15"/>
                <w:color w:val="0000EE"/>
              </w:rPr>
              <w:t>Corporate Governance Information</w:t>
            </w:r>
          </w:p>
        </w:tc>
        <w:tc>
          <w:tcPr>
            <w:tcW w:w="20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18</w:t>
            </w:r>
          </w:p>
        </w:tc>
        <w:tc>
          <w:tcPr>
            <w:tcW w:w="0" w:type="dxa"/>
            <w:vAlign w:val="bottom"/>
          </w:tcPr>
          <w:p>
            <w:pPr>
              <w:spacing w:after="0"/>
              <w:rPr>
                <w:sz w:val="1"/>
                <w:szCs w:val="1"/>
                <w:color w:val="auto"/>
              </w:rPr>
            </w:pPr>
          </w:p>
        </w:tc>
      </w:tr>
      <w:tr>
        <w:trPr>
          <w:trHeight w:val="157"/>
        </w:trPr>
        <w:tc>
          <w:tcPr>
            <w:tcW w:w="2340" w:type="dxa"/>
            <w:vAlign w:val="bottom"/>
            <w:tcBorders>
              <w:top w:val="single" w:sz="8" w:color="0000EE"/>
            </w:tcBorders>
            <w:gridSpan w:val="12"/>
          </w:tcPr>
          <w:p>
            <w:pPr>
              <w:spacing w:after="0" w:line="157" w:lineRule="exact"/>
              <w:rPr>
                <w:sz w:val="20"/>
                <w:szCs w:val="20"/>
                <w:color w:val="auto"/>
              </w:rPr>
            </w:pPr>
            <w:r>
              <w:rPr>
                <w:rFonts w:ascii="Arial" w:cs="Arial" w:eastAsia="Arial" w:hAnsi="Arial"/>
                <w:sz w:val="15"/>
                <w:szCs w:val="15"/>
                <w:color w:val="0000EE"/>
              </w:rPr>
              <w:t>Director Compensation</w:t>
            </w:r>
          </w:p>
        </w:tc>
        <w:tc>
          <w:tcPr>
            <w:tcW w:w="2860" w:type="dxa"/>
            <w:vAlign w:val="bottom"/>
            <w:gridSpan w:val="10"/>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EE"/>
            </w:tcBorders>
            <w:gridSpan w:val="2"/>
          </w:tcPr>
          <w:p>
            <w:pPr>
              <w:jc w:val="right"/>
              <w:spacing w:after="0"/>
              <w:rPr>
                <w:sz w:val="20"/>
                <w:szCs w:val="20"/>
                <w:color w:val="auto"/>
              </w:rPr>
            </w:pPr>
            <w:r>
              <w:rPr>
                <w:rFonts w:ascii="Arial" w:cs="Arial" w:eastAsia="Arial" w:hAnsi="Arial"/>
                <w:sz w:val="10"/>
                <w:szCs w:val="10"/>
                <w:color w:val="0000EE"/>
                <w:w w:val="71"/>
              </w:rPr>
              <w:t>20</w:t>
            </w:r>
          </w:p>
        </w:tc>
        <w:tc>
          <w:tcPr>
            <w:tcW w:w="0" w:type="dxa"/>
            <w:vAlign w:val="bottom"/>
          </w:tcPr>
          <w:p>
            <w:pPr>
              <w:spacing w:after="0"/>
              <w:rPr>
                <w:sz w:val="1"/>
                <w:szCs w:val="1"/>
                <w:color w:val="auto"/>
              </w:rPr>
            </w:pP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200" w:type="dxa"/>
            <w:vAlign w:val="bottom"/>
            <w:gridSpan w:val="22"/>
          </w:tcPr>
          <w:p>
            <w:pPr>
              <w:spacing w:after="0"/>
              <w:rPr>
                <w:sz w:val="20"/>
                <w:szCs w:val="20"/>
                <w:color w:val="auto"/>
              </w:rPr>
            </w:pPr>
            <w:r>
              <w:rPr>
                <w:rFonts w:ascii="Arial" w:cs="Arial" w:eastAsia="Arial" w:hAnsi="Arial"/>
                <w:sz w:val="17"/>
                <w:szCs w:val="17"/>
                <w:b w:val="1"/>
                <w:bCs w:val="1"/>
                <w:color w:val="0000EE"/>
              </w:rPr>
              <w:t>Proposal 2: Advisory Vote to Approve Executive</w:t>
            </w:r>
          </w:p>
        </w:tc>
        <w:tc>
          <w:tcPr>
            <w:tcW w:w="200" w:type="dxa"/>
            <w:vAlign w:val="bottom"/>
            <w:gridSpan w:val="3"/>
            <w:vMerge w:val="restart"/>
          </w:tcPr>
          <w:p>
            <w:pPr>
              <w:jc w:val="right"/>
              <w:spacing w:after="0"/>
              <w:rPr>
                <w:sz w:val="20"/>
                <w:szCs w:val="20"/>
                <w:color w:val="auto"/>
              </w:rPr>
            </w:pPr>
            <w:r>
              <w:rPr>
                <w:rFonts w:ascii="Arial" w:cs="Arial" w:eastAsia="Arial" w:hAnsi="Arial"/>
                <w:sz w:val="17"/>
                <w:szCs w:val="17"/>
                <w:color w:val="0000EE"/>
                <w:w w:val="94"/>
              </w:rPr>
              <w:t>23</w:t>
            </w:r>
          </w:p>
        </w:tc>
        <w:tc>
          <w:tcPr>
            <w:tcW w:w="0" w:type="dxa"/>
            <w:vAlign w:val="bottom"/>
          </w:tcPr>
          <w:p>
            <w:pPr>
              <w:spacing w:after="0"/>
              <w:rPr>
                <w:sz w:val="1"/>
                <w:szCs w:val="1"/>
                <w:color w:val="auto"/>
              </w:rPr>
            </w:pPr>
          </w:p>
        </w:tc>
      </w:tr>
      <w:tr>
        <w:trPr>
          <w:trHeight w:val="169"/>
        </w:trPr>
        <w:tc>
          <w:tcPr>
            <w:tcW w:w="3840" w:type="dxa"/>
            <w:vAlign w:val="bottom"/>
            <w:tcBorders>
              <w:top w:val="single" w:sz="8" w:color="0000EE"/>
            </w:tcBorders>
            <w:gridSpan w:val="20"/>
          </w:tcPr>
          <w:p>
            <w:pPr>
              <w:spacing w:after="0" w:line="169" w:lineRule="exact"/>
              <w:rPr>
                <w:sz w:val="20"/>
                <w:szCs w:val="20"/>
                <w:color w:val="auto"/>
              </w:rPr>
            </w:pPr>
            <w:r>
              <w:rPr>
                <w:rFonts w:ascii="Arial" w:cs="Arial" w:eastAsia="Arial" w:hAnsi="Arial"/>
                <w:sz w:val="17"/>
                <w:szCs w:val="17"/>
                <w:b w:val="1"/>
                <w:bCs w:val="1"/>
                <w:color w:val="0000EE"/>
              </w:rPr>
              <w:t>Compensation</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520" w:type="dxa"/>
            <w:vAlign w:val="bottom"/>
            <w:tcBorders>
              <w:top w:val="single" w:sz="8" w:color="0000EE"/>
              <w:bottom w:val="single" w:sz="8" w:color="808080"/>
            </w:tcBorders>
          </w:tcPr>
          <w:p>
            <w:pPr>
              <w:spacing w:after="0"/>
              <w:rPr>
                <w:sz w:val="7"/>
                <w:szCs w:val="7"/>
                <w:color w:val="auto"/>
              </w:rPr>
            </w:pPr>
          </w:p>
        </w:tc>
        <w:tc>
          <w:tcPr>
            <w:tcW w:w="280" w:type="dxa"/>
            <w:vAlign w:val="bottom"/>
            <w:tcBorders>
              <w:top w:val="single" w:sz="8" w:color="0000EE"/>
              <w:bottom w:val="single" w:sz="8" w:color="808080"/>
            </w:tcBorders>
          </w:tcPr>
          <w:p>
            <w:pPr>
              <w:spacing w:after="0"/>
              <w:rPr>
                <w:sz w:val="7"/>
                <w:szCs w:val="7"/>
                <w:color w:val="auto"/>
              </w:rPr>
            </w:pPr>
          </w:p>
        </w:tc>
        <w:tc>
          <w:tcPr>
            <w:tcW w:w="160" w:type="dxa"/>
            <w:vAlign w:val="bottom"/>
            <w:tcBorders>
              <w:top w:val="single" w:sz="8" w:color="0000EE"/>
              <w:bottom w:val="single" w:sz="8" w:color="808080"/>
            </w:tcBorders>
          </w:tcPr>
          <w:p>
            <w:pPr>
              <w:spacing w:after="0"/>
              <w:rPr>
                <w:sz w:val="7"/>
                <w:szCs w:val="7"/>
                <w:color w:val="auto"/>
              </w:rPr>
            </w:pPr>
          </w:p>
        </w:tc>
        <w:tc>
          <w:tcPr>
            <w:tcW w:w="180" w:type="dxa"/>
            <w:vAlign w:val="bottom"/>
            <w:tcBorders>
              <w:top w:val="single" w:sz="8" w:color="0000EE"/>
              <w:bottom w:val="single" w:sz="8" w:color="808080"/>
            </w:tcBorders>
          </w:tcPr>
          <w:p>
            <w:pPr>
              <w:spacing w:after="0"/>
              <w:rPr>
                <w:sz w:val="7"/>
                <w:szCs w:val="7"/>
                <w:color w:val="auto"/>
              </w:rPr>
            </w:pPr>
          </w:p>
        </w:tc>
        <w:tc>
          <w:tcPr>
            <w:tcW w:w="80" w:type="dxa"/>
            <w:vAlign w:val="bottom"/>
            <w:tcBorders>
              <w:top w:val="single" w:sz="8" w:color="0000EE"/>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00" w:type="dxa"/>
            <w:vAlign w:val="bottom"/>
            <w:tcBorders>
              <w:top w:val="single" w:sz="8" w:color="0000EE"/>
              <w:bottom w:val="single" w:sz="8" w:color="808080"/>
            </w:tcBorders>
          </w:tcPr>
          <w:p>
            <w:pPr>
              <w:spacing w:after="0"/>
              <w:rPr>
                <w:sz w:val="7"/>
                <w:szCs w:val="7"/>
                <w:color w:val="auto"/>
              </w:rPr>
            </w:pPr>
          </w:p>
        </w:tc>
        <w:tc>
          <w:tcPr>
            <w:tcW w:w="20" w:type="dxa"/>
            <w:vAlign w:val="bottom"/>
            <w:tcBorders>
              <w:top w:val="single" w:sz="8" w:color="0000EE"/>
              <w:bottom w:val="single" w:sz="8" w:color="808080"/>
            </w:tcBorders>
          </w:tcPr>
          <w:p>
            <w:pPr>
              <w:spacing w:after="0"/>
              <w:rPr>
                <w:sz w:val="7"/>
                <w:szCs w:val="7"/>
                <w:color w:val="auto"/>
              </w:rPr>
            </w:pPr>
          </w:p>
        </w:tc>
        <w:tc>
          <w:tcPr>
            <w:tcW w:w="80" w:type="dxa"/>
            <w:vAlign w:val="bottom"/>
            <w:tcBorders>
              <w:top w:val="single" w:sz="8" w:color="0000EE"/>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160" w:type="dxa"/>
            <w:vAlign w:val="bottom"/>
            <w:tcBorders>
              <w:bottom w:val="single" w:sz="8" w:color="0000EE"/>
            </w:tcBorders>
            <w:gridSpan w:val="18"/>
          </w:tcPr>
          <w:p>
            <w:pPr>
              <w:spacing w:after="0"/>
              <w:rPr>
                <w:sz w:val="20"/>
                <w:szCs w:val="20"/>
                <w:color w:val="auto"/>
              </w:rPr>
            </w:pPr>
            <w:r>
              <w:rPr>
                <w:rFonts w:ascii="Arial" w:cs="Arial" w:eastAsia="Arial" w:hAnsi="Arial"/>
                <w:sz w:val="15"/>
                <w:szCs w:val="15"/>
                <w:color w:val="0000EE"/>
              </w:rPr>
              <w:t>Summary of Executive Compensation Program</w:t>
            </w:r>
          </w:p>
        </w:tc>
        <w:tc>
          <w:tcPr>
            <w:tcW w:w="2040" w:type="dxa"/>
            <w:vAlign w:val="bottom"/>
            <w:gridSpan w:val="4"/>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0"/>
                <w:szCs w:val="10"/>
                <w:color w:val="0000EE"/>
                <w:w w:val="71"/>
              </w:rPr>
              <w:t>23</w:t>
            </w:r>
          </w:p>
        </w:tc>
        <w:tc>
          <w:tcPr>
            <w:tcW w:w="0" w:type="dxa"/>
            <w:vAlign w:val="bottom"/>
          </w:tcPr>
          <w:p>
            <w:pPr>
              <w:spacing w:after="0"/>
              <w:rPr>
                <w:sz w:val="1"/>
                <w:szCs w:val="1"/>
                <w:color w:val="auto"/>
              </w:rPr>
            </w:pPr>
          </w:p>
        </w:tc>
      </w:tr>
      <w:tr>
        <w:trPr>
          <w:trHeight w:val="157"/>
        </w:trPr>
        <w:tc>
          <w:tcPr>
            <w:tcW w:w="5200" w:type="dxa"/>
            <w:vAlign w:val="bottom"/>
            <w:gridSpan w:val="22"/>
          </w:tcPr>
          <w:p>
            <w:pPr>
              <w:spacing w:after="0" w:line="157" w:lineRule="exact"/>
              <w:rPr>
                <w:sz w:val="20"/>
                <w:szCs w:val="20"/>
                <w:color w:val="auto"/>
              </w:rPr>
            </w:pPr>
            <w:r>
              <w:rPr>
                <w:rFonts w:ascii="Arial" w:cs="Arial" w:eastAsia="Arial" w:hAnsi="Arial"/>
                <w:sz w:val="15"/>
                <w:szCs w:val="15"/>
                <w:color w:val="0000EE"/>
              </w:rPr>
              <w:t>Compensation Committee Report</w:t>
            </w:r>
          </w:p>
        </w:tc>
        <w:tc>
          <w:tcPr>
            <w:tcW w:w="20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24</w:t>
            </w:r>
          </w:p>
        </w:tc>
        <w:tc>
          <w:tcPr>
            <w:tcW w:w="0" w:type="dxa"/>
            <w:vAlign w:val="bottom"/>
          </w:tcPr>
          <w:p>
            <w:pPr>
              <w:spacing w:after="0"/>
              <w:rPr>
                <w:sz w:val="1"/>
                <w:szCs w:val="1"/>
                <w:color w:val="auto"/>
              </w:rPr>
            </w:pP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660" w:type="dxa"/>
            <w:vAlign w:val="bottom"/>
            <w:tcBorders>
              <w:bottom w:val="single" w:sz="8" w:color="0000EE"/>
            </w:tcBorders>
            <w:gridSpan w:val="16"/>
          </w:tcPr>
          <w:p>
            <w:pPr>
              <w:spacing w:after="0" w:line="157" w:lineRule="exact"/>
              <w:rPr>
                <w:sz w:val="20"/>
                <w:szCs w:val="20"/>
                <w:color w:val="auto"/>
              </w:rPr>
            </w:pPr>
            <w:r>
              <w:rPr>
                <w:rFonts w:ascii="Arial" w:cs="Arial" w:eastAsia="Arial" w:hAnsi="Arial"/>
                <w:sz w:val="15"/>
                <w:szCs w:val="15"/>
                <w:color w:val="0000EE"/>
              </w:rPr>
              <w:t>Compensation Discussion and Analysis</w:t>
            </w:r>
          </w:p>
        </w:tc>
        <w:tc>
          <w:tcPr>
            <w:tcW w:w="2540" w:type="dxa"/>
            <w:vAlign w:val="bottom"/>
            <w:gridSpan w:val="6"/>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0"/>
                <w:szCs w:val="10"/>
                <w:color w:val="0000EE"/>
                <w:w w:val="71"/>
              </w:rPr>
              <w:t>24</w:t>
            </w:r>
          </w:p>
        </w:tc>
        <w:tc>
          <w:tcPr>
            <w:tcW w:w="0" w:type="dxa"/>
            <w:vAlign w:val="bottom"/>
          </w:tcPr>
          <w:p>
            <w:pPr>
              <w:spacing w:after="0"/>
              <w:rPr>
                <w:sz w:val="1"/>
                <w:szCs w:val="1"/>
                <w:color w:val="auto"/>
              </w:rPr>
            </w:pPr>
          </w:p>
        </w:tc>
      </w:tr>
      <w:tr>
        <w:trPr>
          <w:trHeight w:val="157"/>
        </w:trPr>
        <w:tc>
          <w:tcPr>
            <w:tcW w:w="2460" w:type="dxa"/>
            <w:vAlign w:val="bottom"/>
            <w:tcBorders>
              <w:bottom w:val="single" w:sz="8" w:color="0000EE"/>
            </w:tcBorders>
            <w:gridSpan w:val="14"/>
          </w:tcPr>
          <w:p>
            <w:pPr>
              <w:spacing w:after="0" w:line="157" w:lineRule="exact"/>
              <w:rPr>
                <w:sz w:val="20"/>
                <w:szCs w:val="20"/>
                <w:color w:val="auto"/>
              </w:rPr>
            </w:pPr>
            <w:r>
              <w:rPr>
                <w:rFonts w:ascii="Arial" w:cs="Arial" w:eastAsia="Arial" w:hAnsi="Arial"/>
                <w:sz w:val="15"/>
                <w:szCs w:val="15"/>
                <w:color w:val="0000EE"/>
                <w:w w:val="99"/>
              </w:rPr>
              <w:t>2024 Summary Compensation Table</w:t>
            </w:r>
          </w:p>
        </w:tc>
        <w:tc>
          <w:tcPr>
            <w:tcW w:w="2740" w:type="dxa"/>
            <w:vAlign w:val="bottom"/>
            <w:gridSpan w:val="8"/>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0"/>
                <w:szCs w:val="10"/>
                <w:color w:val="0000EE"/>
                <w:w w:val="71"/>
              </w:rPr>
              <w:t>36</w:t>
            </w:r>
          </w:p>
        </w:tc>
        <w:tc>
          <w:tcPr>
            <w:tcW w:w="0" w:type="dxa"/>
            <w:vAlign w:val="bottom"/>
          </w:tcPr>
          <w:p>
            <w:pPr>
              <w:spacing w:after="0"/>
              <w:rPr>
                <w:sz w:val="1"/>
                <w:szCs w:val="1"/>
                <w:color w:val="auto"/>
              </w:rPr>
            </w:pPr>
          </w:p>
        </w:tc>
      </w:tr>
      <w:tr>
        <w:trPr>
          <w:trHeight w:val="157"/>
        </w:trPr>
        <w:tc>
          <w:tcPr>
            <w:tcW w:w="2400" w:type="dxa"/>
            <w:vAlign w:val="bottom"/>
            <w:tcBorders>
              <w:bottom w:val="single" w:sz="8" w:color="0000EE"/>
            </w:tcBorders>
            <w:gridSpan w:val="13"/>
          </w:tcPr>
          <w:p>
            <w:pPr>
              <w:spacing w:after="0" w:line="157" w:lineRule="exact"/>
              <w:rPr>
                <w:sz w:val="20"/>
                <w:szCs w:val="20"/>
                <w:color w:val="auto"/>
              </w:rPr>
            </w:pPr>
            <w:r>
              <w:rPr>
                <w:rFonts w:ascii="Arial" w:cs="Arial" w:eastAsia="Arial" w:hAnsi="Arial"/>
                <w:sz w:val="15"/>
                <w:szCs w:val="15"/>
                <w:color w:val="0000EE"/>
              </w:rPr>
              <w:t>2024 Grants of Plan-Based Awards</w:t>
            </w:r>
          </w:p>
        </w:tc>
        <w:tc>
          <w:tcPr>
            <w:tcW w:w="2800" w:type="dxa"/>
            <w:vAlign w:val="bottom"/>
            <w:gridSpan w:val="9"/>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0"/>
                <w:szCs w:val="10"/>
                <w:color w:val="0000EE"/>
                <w:w w:val="71"/>
              </w:rPr>
              <w:t>37</w:t>
            </w:r>
          </w:p>
        </w:tc>
        <w:tc>
          <w:tcPr>
            <w:tcW w:w="0" w:type="dxa"/>
            <w:vAlign w:val="bottom"/>
          </w:tcPr>
          <w:p>
            <w:pPr>
              <w:spacing w:after="0"/>
              <w:rPr>
                <w:sz w:val="1"/>
                <w:szCs w:val="1"/>
                <w:color w:val="auto"/>
              </w:rPr>
            </w:pPr>
          </w:p>
        </w:tc>
      </w:tr>
      <w:tr>
        <w:trPr>
          <w:trHeight w:val="157"/>
        </w:trPr>
        <w:tc>
          <w:tcPr>
            <w:tcW w:w="3480" w:type="dxa"/>
            <w:vAlign w:val="bottom"/>
            <w:tcBorders>
              <w:bottom w:val="single" w:sz="8" w:color="0000EE"/>
            </w:tcBorders>
            <w:gridSpan w:val="19"/>
          </w:tcPr>
          <w:p>
            <w:pPr>
              <w:spacing w:after="0" w:line="157" w:lineRule="exact"/>
              <w:rPr>
                <w:sz w:val="20"/>
                <w:szCs w:val="20"/>
                <w:color w:val="auto"/>
              </w:rPr>
            </w:pPr>
            <w:r>
              <w:rPr>
                <w:rFonts w:ascii="Arial" w:cs="Arial" w:eastAsia="Arial" w:hAnsi="Arial"/>
                <w:sz w:val="15"/>
                <w:szCs w:val="15"/>
                <w:color w:val="0000EE"/>
                <w:w w:val="99"/>
              </w:rPr>
              <w:t>Outstanding Equity Awards at Fiscal 2024 Year-End</w:t>
            </w:r>
          </w:p>
        </w:tc>
        <w:tc>
          <w:tcPr>
            <w:tcW w:w="172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0"/>
                <w:szCs w:val="10"/>
                <w:color w:val="0000EE"/>
                <w:w w:val="71"/>
              </w:rPr>
              <w:t>38</w:t>
            </w:r>
          </w:p>
        </w:tc>
        <w:tc>
          <w:tcPr>
            <w:tcW w:w="0" w:type="dxa"/>
            <w:vAlign w:val="bottom"/>
          </w:tcPr>
          <w:p>
            <w:pPr>
              <w:spacing w:after="0"/>
              <w:rPr>
                <w:sz w:val="1"/>
                <w:szCs w:val="1"/>
                <w:color w:val="auto"/>
              </w:rPr>
            </w:pPr>
          </w:p>
        </w:tc>
      </w:tr>
      <w:tr>
        <w:trPr>
          <w:trHeight w:val="157"/>
        </w:trPr>
        <w:tc>
          <w:tcPr>
            <w:tcW w:w="5200" w:type="dxa"/>
            <w:vAlign w:val="bottom"/>
            <w:gridSpan w:val="22"/>
          </w:tcPr>
          <w:p>
            <w:pPr>
              <w:spacing w:after="0" w:line="157" w:lineRule="exact"/>
              <w:rPr>
                <w:sz w:val="20"/>
                <w:szCs w:val="20"/>
                <w:color w:val="auto"/>
              </w:rPr>
            </w:pPr>
            <w:r>
              <w:rPr>
                <w:rFonts w:ascii="Arial" w:cs="Arial" w:eastAsia="Arial" w:hAnsi="Arial"/>
                <w:sz w:val="15"/>
                <w:szCs w:val="15"/>
                <w:color w:val="0000EE"/>
              </w:rPr>
              <w:t>2024 Option Exercises and Stock Vested</w:t>
            </w:r>
          </w:p>
        </w:tc>
        <w:tc>
          <w:tcPr>
            <w:tcW w:w="20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39</w:t>
            </w:r>
          </w:p>
        </w:tc>
        <w:tc>
          <w:tcPr>
            <w:tcW w:w="0" w:type="dxa"/>
            <w:vAlign w:val="bottom"/>
          </w:tcPr>
          <w:p>
            <w:pPr>
              <w:spacing w:after="0"/>
              <w:rPr>
                <w:sz w:val="1"/>
                <w:szCs w:val="1"/>
                <w:color w:val="auto"/>
              </w:rPr>
            </w:pPr>
          </w:p>
        </w:tc>
      </w:tr>
      <w:tr>
        <w:trPr>
          <w:trHeight w:val="157"/>
        </w:trPr>
        <w:tc>
          <w:tcPr>
            <w:tcW w:w="1140" w:type="dxa"/>
            <w:vAlign w:val="bottom"/>
            <w:tcBorders>
              <w:top w:val="single" w:sz="8" w:color="0000EE"/>
              <w:bottom w:val="single" w:sz="8" w:color="0000EE"/>
            </w:tcBorders>
            <w:gridSpan w:val="4"/>
          </w:tcPr>
          <w:p>
            <w:pPr>
              <w:spacing w:after="0" w:line="157" w:lineRule="exact"/>
              <w:rPr>
                <w:sz w:val="20"/>
                <w:szCs w:val="20"/>
                <w:color w:val="auto"/>
              </w:rPr>
            </w:pPr>
            <w:r>
              <w:rPr>
                <w:rFonts w:ascii="Arial" w:cs="Arial" w:eastAsia="Arial" w:hAnsi="Arial"/>
                <w:sz w:val="15"/>
                <w:szCs w:val="15"/>
                <w:color w:val="0000EE"/>
                <w:w w:val="99"/>
              </w:rPr>
              <w:t>Pension Benefits</w:t>
            </w:r>
          </w:p>
        </w:tc>
        <w:tc>
          <w:tcPr>
            <w:tcW w:w="1600" w:type="dxa"/>
            <w:vAlign w:val="bottom"/>
            <w:tcBorders>
              <w:top w:val="single" w:sz="8" w:color="0000EE"/>
            </w:tcBorders>
            <w:gridSpan w:val="13"/>
          </w:tcPr>
          <w:p>
            <w:pPr>
              <w:spacing w:after="0"/>
              <w:rPr>
                <w:sz w:val="13"/>
                <w:szCs w:val="13"/>
                <w:color w:val="auto"/>
              </w:rPr>
            </w:pPr>
          </w:p>
        </w:tc>
        <w:tc>
          <w:tcPr>
            <w:tcW w:w="246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EE"/>
              <w:bottom w:val="single" w:sz="8" w:color="0000EE"/>
            </w:tcBorders>
            <w:gridSpan w:val="2"/>
          </w:tcPr>
          <w:p>
            <w:pPr>
              <w:jc w:val="right"/>
              <w:spacing w:after="0"/>
              <w:rPr>
                <w:sz w:val="20"/>
                <w:szCs w:val="20"/>
                <w:color w:val="auto"/>
              </w:rPr>
            </w:pPr>
            <w:r>
              <w:rPr>
                <w:rFonts w:ascii="Arial" w:cs="Arial" w:eastAsia="Arial" w:hAnsi="Arial"/>
                <w:sz w:val="10"/>
                <w:szCs w:val="10"/>
                <w:color w:val="0000EE"/>
                <w:w w:val="71"/>
              </w:rPr>
              <w:t>39</w:t>
            </w:r>
          </w:p>
        </w:tc>
        <w:tc>
          <w:tcPr>
            <w:tcW w:w="0" w:type="dxa"/>
            <w:vAlign w:val="bottom"/>
          </w:tcPr>
          <w:p>
            <w:pPr>
              <w:spacing w:after="0"/>
              <w:rPr>
                <w:sz w:val="1"/>
                <w:szCs w:val="1"/>
                <w:color w:val="auto"/>
              </w:rPr>
            </w:pPr>
          </w:p>
        </w:tc>
      </w:tr>
      <w:tr>
        <w:trPr>
          <w:trHeight w:val="157"/>
        </w:trPr>
        <w:tc>
          <w:tcPr>
            <w:tcW w:w="5200" w:type="dxa"/>
            <w:vAlign w:val="bottom"/>
            <w:gridSpan w:val="22"/>
          </w:tcPr>
          <w:p>
            <w:pPr>
              <w:spacing w:after="0" w:line="157" w:lineRule="exact"/>
              <w:rPr>
                <w:sz w:val="20"/>
                <w:szCs w:val="20"/>
                <w:color w:val="auto"/>
              </w:rPr>
            </w:pPr>
            <w:r>
              <w:rPr>
                <w:rFonts w:ascii="Arial" w:cs="Arial" w:eastAsia="Arial" w:hAnsi="Arial"/>
                <w:sz w:val="15"/>
                <w:szCs w:val="15"/>
                <w:color w:val="0000EE"/>
              </w:rPr>
              <w:t>Employment Agreements</w:t>
            </w:r>
          </w:p>
        </w:tc>
        <w:tc>
          <w:tcPr>
            <w:tcW w:w="20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39</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2280" w:type="dxa"/>
            <w:vAlign w:val="bottom"/>
            <w:gridSpan w:val="1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980" w:type="dxa"/>
            <w:vAlign w:val="bottom"/>
            <w:tcBorders>
              <w:bottom w:val="single" w:sz="8" w:color="0000EE"/>
            </w:tcBorders>
            <w:gridSpan w:val="21"/>
          </w:tcPr>
          <w:p>
            <w:pPr>
              <w:spacing w:after="0" w:line="157" w:lineRule="exact"/>
              <w:rPr>
                <w:sz w:val="20"/>
                <w:szCs w:val="20"/>
                <w:color w:val="auto"/>
              </w:rPr>
            </w:pPr>
            <w:r>
              <w:rPr>
                <w:rFonts w:ascii="Arial" w:cs="Arial" w:eastAsia="Arial" w:hAnsi="Arial"/>
                <w:sz w:val="15"/>
                <w:szCs w:val="15"/>
                <w:color w:val="0000EE"/>
              </w:rPr>
              <w:t>Potential Payments Upon Termination or Change in Control</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0"/>
                <w:szCs w:val="10"/>
                <w:color w:val="0000EE"/>
                <w:w w:val="71"/>
              </w:rPr>
              <w:t>40</w:t>
            </w:r>
          </w:p>
        </w:tc>
        <w:tc>
          <w:tcPr>
            <w:tcW w:w="0" w:type="dxa"/>
            <w:vAlign w:val="bottom"/>
          </w:tcPr>
          <w:p>
            <w:pPr>
              <w:spacing w:after="0"/>
              <w:rPr>
                <w:sz w:val="1"/>
                <w:szCs w:val="1"/>
                <w:color w:val="auto"/>
              </w:rPr>
            </w:pPr>
          </w:p>
        </w:tc>
      </w:tr>
      <w:tr>
        <w:trPr>
          <w:trHeight w:val="157"/>
        </w:trPr>
        <w:tc>
          <w:tcPr>
            <w:tcW w:w="5200" w:type="dxa"/>
            <w:vAlign w:val="bottom"/>
            <w:gridSpan w:val="22"/>
          </w:tcPr>
          <w:p>
            <w:pPr>
              <w:spacing w:after="0" w:line="157" w:lineRule="exact"/>
              <w:rPr>
                <w:sz w:val="20"/>
                <w:szCs w:val="20"/>
                <w:color w:val="auto"/>
              </w:rPr>
            </w:pPr>
            <w:r>
              <w:rPr>
                <w:rFonts w:ascii="Arial" w:cs="Arial" w:eastAsia="Arial" w:hAnsi="Arial"/>
                <w:sz w:val="15"/>
                <w:szCs w:val="15"/>
                <w:color w:val="0000EE"/>
              </w:rPr>
              <w:t>Pay Ratio Disclosure</w:t>
            </w:r>
          </w:p>
        </w:tc>
        <w:tc>
          <w:tcPr>
            <w:tcW w:w="200" w:type="dxa"/>
            <w:vAlign w:val="bottom"/>
            <w:gridSpan w:val="3"/>
          </w:tcPr>
          <w:p>
            <w:pPr>
              <w:jc w:val="right"/>
              <w:spacing w:after="0" w:line="157" w:lineRule="exact"/>
              <w:rPr>
                <w:sz w:val="20"/>
                <w:szCs w:val="20"/>
                <w:color w:val="auto"/>
              </w:rPr>
            </w:pPr>
            <w:r>
              <w:rPr>
                <w:rFonts w:ascii="Arial" w:cs="Arial" w:eastAsia="Arial" w:hAnsi="Arial"/>
                <w:sz w:val="15"/>
                <w:szCs w:val="15"/>
                <w:color w:val="0000EE"/>
              </w:rPr>
              <w:t>43</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500" w:type="dxa"/>
            <w:vAlign w:val="bottom"/>
            <w:gridSpan w:val="1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700" w:type="dxa"/>
            <w:vAlign w:val="bottom"/>
            <w:tcBorders>
              <w:bottom w:val="single" w:sz="8" w:color="0000EE"/>
            </w:tcBorders>
            <w:gridSpan w:val="9"/>
          </w:tcPr>
          <w:p>
            <w:pPr>
              <w:spacing w:after="0" w:line="157" w:lineRule="exact"/>
              <w:rPr>
                <w:sz w:val="20"/>
                <w:szCs w:val="20"/>
                <w:color w:val="auto"/>
              </w:rPr>
            </w:pPr>
            <w:r>
              <w:rPr>
                <w:rFonts w:ascii="Arial" w:cs="Arial" w:eastAsia="Arial" w:hAnsi="Arial"/>
                <w:sz w:val="15"/>
                <w:szCs w:val="15"/>
                <w:color w:val="0000EE"/>
                <w:w w:val="99"/>
              </w:rPr>
              <w:t>Pay Versus Performance</w:t>
            </w:r>
          </w:p>
        </w:tc>
        <w:tc>
          <w:tcPr>
            <w:tcW w:w="3500" w:type="dxa"/>
            <w:vAlign w:val="bottom"/>
            <w:gridSpan w:val="13"/>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Arial" w:cs="Arial" w:eastAsia="Arial" w:hAnsi="Arial"/>
                <w:sz w:val="10"/>
                <w:szCs w:val="10"/>
                <w:color w:val="0000EE"/>
                <w:w w:val="71"/>
              </w:rPr>
              <w:t>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220" w:type="dxa"/>
            <w:vAlign w:val="bottom"/>
            <w:gridSpan w:val="6"/>
          </w:tcPr>
          <w:p>
            <w:pPr>
              <w:spacing w:after="0"/>
              <w:rPr>
                <w:sz w:val="20"/>
                <w:szCs w:val="20"/>
                <w:color w:val="auto"/>
              </w:rPr>
            </w:pPr>
            <w:r>
              <w:rPr>
                <w:rFonts w:ascii="Arial" w:cs="Arial" w:eastAsia="Arial" w:hAnsi="Arial"/>
                <w:sz w:val="17"/>
                <w:szCs w:val="17"/>
                <w:b w:val="1"/>
                <w:bCs w:val="1"/>
                <w:color w:val="0000EE"/>
              </w:rPr>
              <w:t>Proposal 3: Ratification of Appointment of Independent</w:t>
            </w:r>
          </w:p>
        </w:tc>
        <w:tc>
          <w:tcPr>
            <w:tcW w:w="180" w:type="dxa"/>
            <w:vAlign w:val="bottom"/>
            <w:gridSpan w:val="2"/>
            <w:vMerge w:val="restart"/>
          </w:tcPr>
          <w:p>
            <w:pPr>
              <w:jc w:val="right"/>
              <w:spacing w:after="0"/>
              <w:rPr>
                <w:sz w:val="20"/>
                <w:szCs w:val="20"/>
                <w:color w:val="auto"/>
              </w:rPr>
            </w:pPr>
            <w:r>
              <w:rPr>
                <w:rFonts w:ascii="Arial" w:cs="Arial" w:eastAsia="Arial" w:hAnsi="Arial"/>
                <w:sz w:val="17"/>
                <w:szCs w:val="17"/>
                <w:color w:val="0000EE"/>
                <w:w w:val="84"/>
              </w:rPr>
              <w:t>48</w:t>
            </w:r>
          </w:p>
        </w:tc>
        <w:tc>
          <w:tcPr>
            <w:tcW w:w="0" w:type="dxa"/>
            <w:vAlign w:val="bottom"/>
          </w:tcPr>
          <w:p>
            <w:pPr>
              <w:spacing w:after="0"/>
              <w:rPr>
                <w:sz w:val="1"/>
                <w:szCs w:val="1"/>
                <w:color w:val="auto"/>
              </w:rPr>
            </w:pPr>
          </w:p>
        </w:tc>
      </w:tr>
      <w:tr>
        <w:trPr>
          <w:trHeight w:val="169"/>
        </w:trPr>
        <w:tc>
          <w:tcPr>
            <w:tcW w:w="442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7"/>
                <w:szCs w:val="17"/>
                <w:b w:val="1"/>
                <w:bCs w:val="1"/>
                <w:color w:val="0000EE"/>
              </w:rPr>
              <w:t>Registered Public Accounting Firm</w:t>
            </w:r>
          </w:p>
        </w:tc>
        <w:tc>
          <w:tcPr>
            <w:tcW w:w="80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620" w:type="dxa"/>
            <w:vAlign w:val="bottom"/>
            <w:tcBorders>
              <w:top w:val="single" w:sz="8" w:color="0000EE"/>
              <w:bottom w:val="single" w:sz="8" w:color="808080"/>
            </w:tcBorders>
          </w:tcPr>
          <w:p>
            <w:pPr>
              <w:spacing w:after="0"/>
              <w:rPr>
                <w:sz w:val="7"/>
                <w:szCs w:val="7"/>
                <w:color w:val="auto"/>
              </w:rPr>
            </w:pPr>
          </w:p>
        </w:tc>
        <w:tc>
          <w:tcPr>
            <w:tcW w:w="160" w:type="dxa"/>
            <w:vAlign w:val="bottom"/>
            <w:tcBorders>
              <w:top w:val="single" w:sz="8" w:color="0000EE"/>
              <w:bottom w:val="single" w:sz="8" w:color="808080"/>
            </w:tcBorders>
          </w:tcPr>
          <w:p>
            <w:pPr>
              <w:spacing w:after="0"/>
              <w:rPr>
                <w:sz w:val="7"/>
                <w:szCs w:val="7"/>
                <w:color w:val="auto"/>
              </w:rPr>
            </w:pPr>
          </w:p>
        </w:tc>
        <w:tc>
          <w:tcPr>
            <w:tcW w:w="1040" w:type="dxa"/>
            <w:vAlign w:val="bottom"/>
            <w:tcBorders>
              <w:top w:val="single" w:sz="8" w:color="0000EE"/>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20" w:type="dxa"/>
            <w:vAlign w:val="bottom"/>
            <w:tcBorders>
              <w:top w:val="single" w:sz="8" w:color="0000EE"/>
              <w:bottom w:val="single" w:sz="8" w:color="808080"/>
            </w:tcBorders>
          </w:tcPr>
          <w:p>
            <w:pPr>
              <w:spacing w:after="0"/>
              <w:rPr>
                <w:sz w:val="7"/>
                <w:szCs w:val="7"/>
                <w:color w:val="auto"/>
              </w:rPr>
            </w:pPr>
          </w:p>
        </w:tc>
        <w:tc>
          <w:tcPr>
            <w:tcW w:w="160" w:type="dxa"/>
            <w:vAlign w:val="bottom"/>
            <w:tcBorders>
              <w:top w:val="single" w:sz="8" w:color="0000EE"/>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780" w:type="dxa"/>
            <w:vAlign w:val="bottom"/>
            <w:gridSpan w:val="4"/>
          </w:tcPr>
          <w:p>
            <w:pPr>
              <w:spacing w:after="0"/>
              <w:rPr>
                <w:sz w:val="20"/>
                <w:szCs w:val="20"/>
                <w:color w:val="auto"/>
              </w:rPr>
            </w:pPr>
            <w:r>
              <w:rPr>
                <w:rFonts w:ascii="Arial" w:cs="Arial" w:eastAsia="Arial" w:hAnsi="Arial"/>
                <w:sz w:val="15"/>
                <w:szCs w:val="15"/>
                <w:color w:val="0000EE"/>
              </w:rPr>
              <w:t>Pre-Approval of Audit and Permitted Non-Audit Services</w:t>
            </w:r>
          </w:p>
        </w:tc>
        <w:tc>
          <w:tcPr>
            <w:tcW w:w="1440" w:type="dxa"/>
            <w:vAlign w:val="bottom"/>
            <w:gridSpan w:val="2"/>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w w:val="95"/>
              </w:rPr>
              <w:t>48</w:t>
            </w:r>
          </w:p>
        </w:tc>
        <w:tc>
          <w:tcPr>
            <w:tcW w:w="0" w:type="dxa"/>
            <w:vAlign w:val="bottom"/>
          </w:tcPr>
          <w:p>
            <w:pPr>
              <w:spacing w:after="0"/>
              <w:rPr>
                <w:sz w:val="1"/>
                <w:szCs w:val="1"/>
                <w:color w:val="auto"/>
              </w:rPr>
            </w:pPr>
          </w:p>
        </w:tc>
      </w:tr>
      <w:tr>
        <w:trPr>
          <w:trHeight w:val="20"/>
        </w:trPr>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80" w:type="dxa"/>
            <w:vAlign w:val="bottom"/>
            <w:gridSpan w:val="4"/>
          </w:tcPr>
          <w:p>
            <w:pPr>
              <w:spacing w:after="0" w:line="157" w:lineRule="exact"/>
              <w:rPr>
                <w:sz w:val="20"/>
                <w:szCs w:val="20"/>
                <w:color w:val="auto"/>
              </w:rPr>
            </w:pPr>
            <w:r>
              <w:rPr>
                <w:rFonts w:ascii="Arial" w:cs="Arial" w:eastAsia="Arial" w:hAnsi="Arial"/>
                <w:sz w:val="15"/>
                <w:szCs w:val="15"/>
                <w:color w:val="0000EE"/>
              </w:rPr>
              <w:t>Auditor Fees and Services</w:t>
            </w:r>
          </w:p>
        </w:tc>
        <w:tc>
          <w:tcPr>
            <w:tcW w:w="1440" w:type="dxa"/>
            <w:vAlign w:val="bottom"/>
            <w:gridSpan w:val="2"/>
          </w:tcPr>
          <w:p>
            <w:pPr>
              <w:spacing w:after="0"/>
              <w:rPr>
                <w:sz w:val="13"/>
                <w:szCs w:val="13"/>
                <w:color w:val="auto"/>
              </w:rPr>
            </w:pPr>
          </w:p>
        </w:tc>
        <w:tc>
          <w:tcPr>
            <w:tcW w:w="180" w:type="dxa"/>
            <w:vAlign w:val="bottom"/>
            <w:gridSpan w:val="2"/>
          </w:tcPr>
          <w:p>
            <w:pPr>
              <w:jc w:val="right"/>
              <w:spacing w:after="0" w:line="157" w:lineRule="exact"/>
              <w:rPr>
                <w:sz w:val="20"/>
                <w:szCs w:val="20"/>
                <w:color w:val="auto"/>
              </w:rPr>
            </w:pPr>
            <w:r>
              <w:rPr>
                <w:rFonts w:ascii="Arial" w:cs="Arial" w:eastAsia="Arial" w:hAnsi="Arial"/>
                <w:sz w:val="15"/>
                <w:szCs w:val="15"/>
                <w:color w:val="0000EE"/>
                <w:w w:val="95"/>
              </w:rPr>
              <w:t>48</w:t>
            </w:r>
          </w:p>
        </w:tc>
        <w:tc>
          <w:tcPr>
            <w:tcW w:w="0" w:type="dxa"/>
            <w:vAlign w:val="bottom"/>
          </w:tcPr>
          <w:p>
            <w:pPr>
              <w:spacing w:after="0"/>
              <w:rPr>
                <w:sz w:val="1"/>
                <w:szCs w:val="1"/>
                <w:color w:val="auto"/>
              </w:rPr>
            </w:pPr>
          </w:p>
        </w:tc>
      </w:tr>
      <w:tr>
        <w:trPr>
          <w:trHeight w:val="20"/>
        </w:trPr>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780" w:type="dxa"/>
            <w:vAlign w:val="bottom"/>
            <w:gridSpan w:val="2"/>
          </w:tcPr>
          <w:p>
            <w:pPr>
              <w:spacing w:after="0" w:line="157" w:lineRule="exact"/>
              <w:rPr>
                <w:sz w:val="20"/>
                <w:szCs w:val="20"/>
                <w:color w:val="auto"/>
              </w:rPr>
            </w:pPr>
            <w:r>
              <w:rPr>
                <w:rFonts w:ascii="Arial" w:cs="Arial" w:eastAsia="Arial" w:hAnsi="Arial"/>
                <w:sz w:val="15"/>
                <w:szCs w:val="15"/>
                <w:color w:val="0000EE"/>
              </w:rPr>
              <w:t>Audit Committee Report</w:t>
            </w:r>
          </w:p>
        </w:tc>
        <w:tc>
          <w:tcPr>
            <w:tcW w:w="3440" w:type="dxa"/>
            <w:vAlign w:val="bottom"/>
            <w:gridSpan w:val="4"/>
          </w:tcPr>
          <w:p>
            <w:pPr>
              <w:spacing w:after="0"/>
              <w:rPr>
                <w:sz w:val="13"/>
                <w:szCs w:val="13"/>
                <w:color w:val="auto"/>
              </w:rPr>
            </w:pPr>
          </w:p>
        </w:tc>
        <w:tc>
          <w:tcPr>
            <w:tcW w:w="180" w:type="dxa"/>
            <w:vAlign w:val="bottom"/>
            <w:gridSpan w:val="2"/>
          </w:tcPr>
          <w:p>
            <w:pPr>
              <w:jc w:val="right"/>
              <w:spacing w:after="0" w:line="157" w:lineRule="exact"/>
              <w:rPr>
                <w:sz w:val="20"/>
                <w:szCs w:val="20"/>
                <w:color w:val="auto"/>
              </w:rPr>
            </w:pPr>
            <w:r>
              <w:rPr>
                <w:rFonts w:ascii="Arial" w:cs="Arial" w:eastAsia="Arial" w:hAnsi="Arial"/>
                <w:sz w:val="15"/>
                <w:szCs w:val="15"/>
                <w:color w:val="0000EE"/>
                <w:w w:val="95"/>
              </w:rPr>
              <w:t>49</w:t>
            </w:r>
          </w:p>
        </w:tc>
        <w:tc>
          <w:tcPr>
            <w:tcW w:w="0" w:type="dxa"/>
            <w:vAlign w:val="bottom"/>
          </w:tcPr>
          <w:p>
            <w:pPr>
              <w:spacing w:after="0"/>
              <w:rPr>
                <w:sz w:val="1"/>
                <w:szCs w:val="1"/>
                <w:color w:val="auto"/>
              </w:rPr>
            </w:pPr>
          </w:p>
        </w:tc>
      </w:tr>
      <w:tr>
        <w:trPr>
          <w:trHeight w:val="20"/>
        </w:trPr>
        <w:tc>
          <w:tcPr>
            <w:tcW w:w="1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gridSpan w:val="6"/>
          </w:tcPr>
          <w:p>
            <w:pPr>
              <w:spacing w:after="0"/>
              <w:rPr>
                <w:sz w:val="20"/>
                <w:szCs w:val="20"/>
                <w:color w:val="auto"/>
              </w:rPr>
            </w:pPr>
            <w:r>
              <w:rPr>
                <w:rFonts w:ascii="Arial" w:cs="Arial" w:eastAsia="Arial" w:hAnsi="Arial"/>
                <w:sz w:val="17"/>
                <w:szCs w:val="17"/>
                <w:b w:val="1"/>
                <w:bCs w:val="1"/>
                <w:color w:val="0000EE"/>
              </w:rPr>
              <w:t>Other Information</w:t>
            </w:r>
          </w:p>
        </w:tc>
        <w:tc>
          <w:tcPr>
            <w:tcW w:w="180" w:type="dxa"/>
            <w:vAlign w:val="bottom"/>
            <w:gridSpan w:val="2"/>
          </w:tcPr>
          <w:p>
            <w:pPr>
              <w:jc w:val="right"/>
              <w:spacing w:after="0"/>
              <w:rPr>
                <w:sz w:val="20"/>
                <w:szCs w:val="20"/>
                <w:color w:val="auto"/>
              </w:rPr>
            </w:pPr>
            <w:r>
              <w:rPr>
                <w:rFonts w:ascii="Arial" w:cs="Arial" w:eastAsia="Arial" w:hAnsi="Arial"/>
                <w:sz w:val="17"/>
                <w:szCs w:val="17"/>
                <w:color w:val="0000EE"/>
                <w:w w:val="84"/>
              </w:rPr>
              <w:t>50</w:t>
            </w:r>
          </w:p>
        </w:tc>
      </w:tr>
      <w:tr>
        <w:trPr>
          <w:trHeight w:val="81"/>
        </w:trPr>
        <w:tc>
          <w:tcPr>
            <w:tcW w:w="1420" w:type="dxa"/>
            <w:vAlign w:val="bottom"/>
            <w:tcBorders>
              <w:top w:val="single" w:sz="8" w:color="0000EE"/>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20" w:type="dxa"/>
            <w:vAlign w:val="bottom"/>
            <w:tcBorders>
              <w:top w:val="single" w:sz="8" w:color="0000EE"/>
              <w:bottom w:val="single" w:sz="8" w:color="808080"/>
            </w:tcBorders>
          </w:tcPr>
          <w:p>
            <w:pPr>
              <w:spacing w:after="0"/>
              <w:rPr>
                <w:sz w:val="7"/>
                <w:szCs w:val="7"/>
                <w:color w:val="auto"/>
              </w:rPr>
            </w:pPr>
          </w:p>
        </w:tc>
        <w:tc>
          <w:tcPr>
            <w:tcW w:w="160" w:type="dxa"/>
            <w:vAlign w:val="bottom"/>
            <w:tcBorders>
              <w:top w:val="single" w:sz="8" w:color="0000EE"/>
              <w:bottom w:val="single" w:sz="8" w:color="808080"/>
            </w:tcBorders>
          </w:tcPr>
          <w:p>
            <w:pPr>
              <w:spacing w:after="0"/>
              <w:rPr>
                <w:sz w:val="7"/>
                <w:szCs w:val="7"/>
                <w:color w:val="auto"/>
              </w:rPr>
            </w:pPr>
          </w:p>
        </w:tc>
      </w:tr>
      <w:tr>
        <w:trPr>
          <w:trHeight w:val="270"/>
        </w:trPr>
        <w:tc>
          <w:tcPr>
            <w:tcW w:w="3820" w:type="dxa"/>
            <w:vAlign w:val="bottom"/>
            <w:gridSpan w:val="5"/>
          </w:tcPr>
          <w:p>
            <w:pPr>
              <w:spacing w:after="0"/>
              <w:rPr>
                <w:sz w:val="20"/>
                <w:szCs w:val="20"/>
                <w:color w:val="auto"/>
              </w:rPr>
            </w:pPr>
            <w:r>
              <w:rPr>
                <w:rFonts w:ascii="Arial" w:cs="Arial" w:eastAsia="Arial" w:hAnsi="Arial"/>
                <w:sz w:val="15"/>
                <w:szCs w:val="15"/>
                <w:color w:val="0000EE"/>
              </w:rPr>
              <w:t>Securities Ownership of Directors and Executive Officers</w:t>
            </w:r>
          </w:p>
        </w:tc>
        <w:tc>
          <w:tcPr>
            <w:tcW w:w="140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0000EE"/>
                <w:w w:val="95"/>
              </w:rPr>
              <w:t>50</w:t>
            </w: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57"/>
        </w:trPr>
        <w:tc>
          <w:tcPr>
            <w:tcW w:w="3820" w:type="dxa"/>
            <w:vAlign w:val="bottom"/>
            <w:gridSpan w:val="5"/>
          </w:tcPr>
          <w:p>
            <w:pPr>
              <w:spacing w:after="0" w:line="157" w:lineRule="exact"/>
              <w:rPr>
                <w:sz w:val="20"/>
                <w:szCs w:val="20"/>
                <w:color w:val="auto"/>
              </w:rPr>
            </w:pPr>
            <w:r>
              <w:rPr>
                <w:rFonts w:ascii="Arial" w:cs="Arial" w:eastAsia="Arial" w:hAnsi="Arial"/>
                <w:sz w:val="15"/>
                <w:szCs w:val="15"/>
                <w:color w:val="0000EE"/>
              </w:rPr>
              <w:t>Securities Ownership of Certain Beneficial Owners</w:t>
            </w:r>
          </w:p>
        </w:tc>
        <w:tc>
          <w:tcPr>
            <w:tcW w:w="1400" w:type="dxa"/>
            <w:vAlign w:val="bottom"/>
          </w:tcPr>
          <w:p>
            <w:pPr>
              <w:spacing w:after="0"/>
              <w:rPr>
                <w:sz w:val="13"/>
                <w:szCs w:val="13"/>
                <w:color w:val="auto"/>
              </w:rPr>
            </w:pPr>
          </w:p>
        </w:tc>
        <w:tc>
          <w:tcPr>
            <w:tcW w:w="180" w:type="dxa"/>
            <w:vAlign w:val="bottom"/>
            <w:gridSpan w:val="2"/>
          </w:tcPr>
          <w:p>
            <w:pPr>
              <w:jc w:val="right"/>
              <w:spacing w:after="0" w:line="157" w:lineRule="exact"/>
              <w:rPr>
                <w:sz w:val="20"/>
                <w:szCs w:val="20"/>
                <w:color w:val="auto"/>
              </w:rPr>
            </w:pPr>
            <w:r>
              <w:rPr>
                <w:rFonts w:ascii="Arial" w:cs="Arial" w:eastAsia="Arial" w:hAnsi="Arial"/>
                <w:sz w:val="15"/>
                <w:szCs w:val="15"/>
                <w:color w:val="0000EE"/>
                <w:w w:val="95"/>
              </w:rPr>
              <w:t>50</w:t>
            </w: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57"/>
        </w:trPr>
        <w:tc>
          <w:tcPr>
            <w:tcW w:w="3400" w:type="dxa"/>
            <w:vAlign w:val="bottom"/>
            <w:gridSpan w:val="4"/>
          </w:tcPr>
          <w:p>
            <w:pPr>
              <w:spacing w:after="0" w:line="157" w:lineRule="exact"/>
              <w:rPr>
                <w:sz w:val="20"/>
                <w:szCs w:val="20"/>
                <w:color w:val="auto"/>
              </w:rPr>
            </w:pPr>
            <w:r>
              <w:rPr>
                <w:rFonts w:ascii="Arial" w:cs="Arial" w:eastAsia="Arial" w:hAnsi="Arial"/>
                <w:sz w:val="15"/>
                <w:szCs w:val="15"/>
                <w:color w:val="0000EE"/>
              </w:rPr>
              <w:t>Shareholder Proposals</w:t>
            </w:r>
          </w:p>
        </w:tc>
        <w:tc>
          <w:tcPr>
            <w:tcW w:w="1820" w:type="dxa"/>
            <w:vAlign w:val="bottom"/>
            <w:gridSpan w:val="2"/>
          </w:tcPr>
          <w:p>
            <w:pPr>
              <w:spacing w:after="0"/>
              <w:rPr>
                <w:sz w:val="13"/>
                <w:szCs w:val="13"/>
                <w:color w:val="auto"/>
              </w:rPr>
            </w:pPr>
          </w:p>
        </w:tc>
        <w:tc>
          <w:tcPr>
            <w:tcW w:w="180" w:type="dxa"/>
            <w:vAlign w:val="bottom"/>
            <w:gridSpan w:val="2"/>
          </w:tcPr>
          <w:p>
            <w:pPr>
              <w:jc w:val="right"/>
              <w:spacing w:after="0" w:line="157" w:lineRule="exact"/>
              <w:rPr>
                <w:sz w:val="20"/>
                <w:szCs w:val="20"/>
                <w:color w:val="auto"/>
              </w:rPr>
            </w:pPr>
            <w:r>
              <w:rPr>
                <w:rFonts w:ascii="Arial" w:cs="Arial" w:eastAsia="Arial" w:hAnsi="Arial"/>
                <w:sz w:val="15"/>
                <w:szCs w:val="15"/>
                <w:color w:val="0000EE"/>
                <w:w w:val="95"/>
              </w:rPr>
              <w:t>51</w:t>
            </w: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57"/>
        </w:trPr>
        <w:tc>
          <w:tcPr>
            <w:tcW w:w="1960" w:type="dxa"/>
            <w:vAlign w:val="bottom"/>
            <w:gridSpan w:val="3"/>
          </w:tcPr>
          <w:p>
            <w:pPr>
              <w:spacing w:after="0" w:line="157" w:lineRule="exact"/>
              <w:rPr>
                <w:sz w:val="20"/>
                <w:szCs w:val="20"/>
                <w:color w:val="auto"/>
              </w:rPr>
            </w:pPr>
            <w:r>
              <w:rPr>
                <w:rFonts w:ascii="Arial" w:cs="Arial" w:eastAsia="Arial" w:hAnsi="Arial"/>
                <w:sz w:val="15"/>
                <w:szCs w:val="15"/>
                <w:color w:val="0000EE"/>
              </w:rPr>
              <w:t>Forward-Looking Statements</w:t>
            </w:r>
          </w:p>
        </w:tc>
        <w:tc>
          <w:tcPr>
            <w:tcW w:w="3260" w:type="dxa"/>
            <w:vAlign w:val="bottom"/>
            <w:gridSpan w:val="3"/>
          </w:tcPr>
          <w:p>
            <w:pPr>
              <w:spacing w:after="0"/>
              <w:rPr>
                <w:sz w:val="13"/>
                <w:szCs w:val="13"/>
                <w:color w:val="auto"/>
              </w:rPr>
            </w:pPr>
          </w:p>
        </w:tc>
        <w:tc>
          <w:tcPr>
            <w:tcW w:w="180" w:type="dxa"/>
            <w:vAlign w:val="bottom"/>
            <w:gridSpan w:val="2"/>
          </w:tcPr>
          <w:p>
            <w:pPr>
              <w:jc w:val="right"/>
              <w:spacing w:after="0" w:line="157" w:lineRule="exact"/>
              <w:rPr>
                <w:sz w:val="20"/>
                <w:szCs w:val="20"/>
                <w:color w:val="auto"/>
              </w:rPr>
            </w:pPr>
            <w:r>
              <w:rPr>
                <w:rFonts w:ascii="Arial" w:cs="Arial" w:eastAsia="Arial" w:hAnsi="Arial"/>
                <w:sz w:val="15"/>
                <w:szCs w:val="15"/>
                <w:color w:val="0000EE"/>
                <w:w w:val="95"/>
              </w:rPr>
              <w:t>52</w:t>
            </w:r>
          </w:p>
        </w:tc>
      </w:tr>
      <w:tr>
        <w:trPr>
          <w:trHeight w:val="20"/>
        </w:trPr>
        <w:tc>
          <w:tcPr>
            <w:tcW w:w="1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20" w:type="dxa"/>
            <w:vAlign w:val="bottom"/>
            <w:gridSpan w:val="4"/>
          </w:tcPr>
          <w:p>
            <w:pPr>
              <w:spacing w:after="0"/>
              <w:rPr>
                <w:sz w:val="20"/>
                <w:szCs w:val="20"/>
                <w:color w:val="auto"/>
              </w:rPr>
            </w:pPr>
            <w:r>
              <w:rPr>
                <w:rFonts w:ascii="Arial" w:cs="Arial" w:eastAsia="Arial" w:hAnsi="Arial"/>
                <w:sz w:val="17"/>
                <w:szCs w:val="17"/>
                <w:b w:val="1"/>
                <w:bCs w:val="1"/>
                <w:color w:val="0000EE"/>
              </w:rPr>
              <w:t>Appendix A</w:t>
            </w:r>
          </w:p>
        </w:tc>
        <w:tc>
          <w:tcPr>
            <w:tcW w:w="180" w:type="dxa"/>
            <w:vAlign w:val="bottom"/>
            <w:gridSpan w:val="2"/>
          </w:tcPr>
          <w:p>
            <w:pPr>
              <w:jc w:val="right"/>
              <w:spacing w:after="0"/>
              <w:rPr>
                <w:sz w:val="20"/>
                <w:szCs w:val="20"/>
                <w:color w:val="auto"/>
              </w:rPr>
            </w:pPr>
            <w:r>
              <w:rPr>
                <w:rFonts w:ascii="Arial" w:cs="Arial" w:eastAsia="Arial" w:hAnsi="Arial"/>
                <w:sz w:val="17"/>
                <w:szCs w:val="17"/>
                <w:color w:val="0000EE"/>
                <w:w w:val="84"/>
              </w:rPr>
              <w:t>53</w:t>
            </w:r>
          </w:p>
        </w:tc>
        <w:tc>
          <w:tcPr>
            <w:tcW w:w="0" w:type="dxa"/>
            <w:vAlign w:val="bottom"/>
          </w:tcPr>
          <w:p>
            <w:pPr>
              <w:spacing w:after="0"/>
              <w:rPr>
                <w:sz w:val="1"/>
                <w:szCs w:val="1"/>
                <w:color w:val="auto"/>
              </w:rPr>
            </w:pPr>
          </w:p>
        </w:tc>
      </w:tr>
      <w:tr>
        <w:trPr>
          <w:trHeight w:val="81"/>
        </w:trPr>
        <w:tc>
          <w:tcPr>
            <w:tcW w:w="940" w:type="dxa"/>
            <w:vAlign w:val="bottom"/>
            <w:tcBorders>
              <w:top w:val="single" w:sz="8" w:color="0000EE"/>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37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0" w:type="dxa"/>
            <w:vAlign w:val="bottom"/>
            <w:tcBorders>
              <w:top w:val="single" w:sz="8" w:color="0000EE"/>
              <w:bottom w:val="single" w:sz="8" w:color="808080"/>
            </w:tcBorders>
          </w:tcPr>
          <w:p>
            <w:pPr>
              <w:spacing w:after="0"/>
              <w:rPr>
                <w:sz w:val="7"/>
                <w:szCs w:val="7"/>
                <w:color w:val="auto"/>
              </w:rPr>
            </w:pPr>
          </w:p>
        </w:tc>
        <w:tc>
          <w:tcPr>
            <w:tcW w:w="160" w:type="dxa"/>
            <w:vAlign w:val="bottom"/>
            <w:tcBorders>
              <w:top w:val="single" w:sz="8" w:color="0000EE"/>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960" w:type="dxa"/>
            <w:vAlign w:val="bottom"/>
            <w:tcBorders>
              <w:bottom w:val="single" w:sz="8" w:color="0000EE"/>
            </w:tcBorders>
            <w:gridSpan w:val="3"/>
          </w:tcPr>
          <w:p>
            <w:pPr>
              <w:spacing w:after="0"/>
              <w:rPr>
                <w:sz w:val="20"/>
                <w:szCs w:val="20"/>
                <w:color w:val="auto"/>
              </w:rPr>
            </w:pPr>
            <w:r>
              <w:rPr>
                <w:rFonts w:ascii="Arial" w:cs="Arial" w:eastAsia="Arial" w:hAnsi="Arial"/>
                <w:sz w:val="15"/>
                <w:szCs w:val="15"/>
                <w:color w:val="0000EE"/>
              </w:rPr>
              <w:t>Participants in the 2022 Mercer Benchmark Database/Total Remuneration</w:t>
            </w:r>
          </w:p>
        </w:tc>
        <w:tc>
          <w:tcPr>
            <w:tcW w:w="260" w:type="dxa"/>
            <w:vAlign w:val="bottom"/>
          </w:tcPr>
          <w:p>
            <w:pPr>
              <w:spacing w:after="0"/>
              <w:rPr>
                <w:sz w:val="23"/>
                <w:szCs w:val="23"/>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5"/>
                <w:szCs w:val="15"/>
                <w:color w:val="0000EE"/>
                <w:w w:val="95"/>
              </w:rPr>
              <w:t>53</w:t>
            </w:r>
          </w:p>
        </w:tc>
        <w:tc>
          <w:tcPr>
            <w:tcW w:w="0" w:type="dxa"/>
            <w:vAlign w:val="bottom"/>
          </w:tcPr>
          <w:p>
            <w:pPr>
              <w:spacing w:after="0"/>
              <w:rPr>
                <w:sz w:val="1"/>
                <w:szCs w:val="1"/>
                <w:color w:val="auto"/>
              </w:rPr>
            </w:pPr>
          </w:p>
        </w:tc>
      </w:tr>
      <w:tr>
        <w:trPr>
          <w:trHeight w:val="157"/>
        </w:trPr>
        <w:tc>
          <w:tcPr>
            <w:tcW w:w="5220" w:type="dxa"/>
            <w:vAlign w:val="bottom"/>
            <w:gridSpan w:val="4"/>
          </w:tcPr>
          <w:p>
            <w:pPr>
              <w:spacing w:after="0" w:line="157" w:lineRule="exact"/>
              <w:rPr>
                <w:sz w:val="20"/>
                <w:szCs w:val="20"/>
                <w:color w:val="auto"/>
              </w:rPr>
            </w:pPr>
            <w:r>
              <w:rPr>
                <w:rFonts w:ascii="Arial" w:cs="Arial" w:eastAsia="Arial" w:hAnsi="Arial"/>
                <w:sz w:val="15"/>
                <w:szCs w:val="15"/>
                <w:color w:val="0000EE"/>
              </w:rPr>
              <w:t>Survey: Executive</w:t>
            </w: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2797175</wp:posOffset>
            </wp:positionV>
            <wp:extent cx="714121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4188" w:lineRule="exact"/>
        <w:rPr>
          <w:sz w:val="20"/>
          <w:szCs w:val="20"/>
          <w:color w:val="auto"/>
        </w:rPr>
      </w:pPr>
    </w:p>
    <w:p>
      <w:pPr>
        <w:sectPr>
          <w:pgSz w:w="11900" w:h="16838" w:orient="portrait"/>
          <w:cols w:equalWidth="0" w:num="2">
            <w:col w:w="5400" w:space="440"/>
            <w:col w:w="5400"/>
          </w:cols>
          <w:pgMar w:left="320" w:top="823" w:right="339" w:bottom="1440" w:gutter="0" w:footer="0" w:header="0"/>
          <w:type w:val="continuous"/>
        </w:sectPr>
      </w:pP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NOTICE OF 2025 ANNUAL MEETING &amp; PROXY STATEMENT  </w:t>
      </w:r>
      <w:r>
        <w:rPr>
          <w:rFonts w:ascii="Arial" w:cs="Arial" w:eastAsia="Arial" w:hAnsi="Arial"/>
          <w:sz w:val="12"/>
          <w:szCs w:val="12"/>
          <w:color w:val="auto"/>
        </w:rPr>
        <w:t>●</w:t>
      </w:r>
      <w:r>
        <w:rPr>
          <w:rFonts w:ascii="Arial" w:cs="Arial" w:eastAsia="Arial" w:hAnsi="Arial"/>
          <w:sz w:val="11"/>
          <w:szCs w:val="11"/>
          <w:color w:val="auto"/>
        </w:rPr>
        <w:t xml:space="preserve">  ESCO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50"/>
          <w:szCs w:val="50"/>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101600</wp:posOffset>
            </wp:positionV>
            <wp:extent cx="7141210" cy="4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4826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5"/>
          <w:szCs w:val="15"/>
          <w:color w:val="auto"/>
        </w:rPr>
        <w:t>This Proxy Statement relates to the 2025 Annual Meeting of the shareholders of ESCO Technologies Inc., sometimes referred to herein as the Company, we, our or us.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Our stock is listed on the New York Stock Exchange (NYSE), where our ticker symbol is “ESE”.</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This Proxy Statement is provided pursuant to the rules of the Securities and Exchange Commission (SEC) in connection with our Management’s solicitation of votes for the Meeting.</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This Summary highlights certain information relating to the Meeting and the items to be voted on at the Meeting. For additional information, including important business, compensation and corporate governance matters, please refer to the following sections of this Proxy Statement and to our 2024 Annual Report on Form 10-K. Unless otherwise noted, all references to 2024 in this Proxy Statement refer to our fiscal year ended September 30, 2024.</w:t>
      </w: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4121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ind w:left="100"/>
              <w:spacing w:after="0"/>
              <w:rPr>
                <w:sz w:val="20"/>
                <w:szCs w:val="20"/>
                <w:color w:val="auto"/>
              </w:rPr>
            </w:pPr>
            <w:r>
              <w:rPr>
                <w:rFonts w:ascii="Arial" w:cs="Arial" w:eastAsia="Arial" w:hAnsi="Arial"/>
                <w:sz w:val="13"/>
                <w:szCs w:val="13"/>
                <w:b w:val="1"/>
                <w:bCs w:val="1"/>
                <w:color w:val="auto"/>
              </w:rPr>
              <w:t>Date and Time</w:t>
            </w:r>
          </w:p>
        </w:tc>
        <w:tc>
          <w:tcPr>
            <w:tcW w:w="2820" w:type="dxa"/>
            <w:vAlign w:val="bottom"/>
          </w:tcPr>
          <w:p>
            <w:pPr>
              <w:ind w:left="220"/>
              <w:spacing w:after="0"/>
              <w:rPr>
                <w:sz w:val="20"/>
                <w:szCs w:val="20"/>
                <w:color w:val="auto"/>
              </w:rPr>
            </w:pPr>
            <w:r>
              <w:rPr>
                <w:rFonts w:ascii="Arial" w:cs="Arial" w:eastAsia="Arial" w:hAnsi="Arial"/>
                <w:sz w:val="13"/>
                <w:szCs w:val="13"/>
                <w:b w:val="1"/>
                <w:bCs w:val="1"/>
                <w:color w:val="auto"/>
              </w:rPr>
              <w:t>Location</w:t>
            </w:r>
          </w:p>
        </w:tc>
        <w:tc>
          <w:tcPr>
            <w:tcW w:w="1840" w:type="dxa"/>
            <w:vAlign w:val="bottom"/>
          </w:tcPr>
          <w:p>
            <w:pPr>
              <w:ind w:left="220"/>
              <w:spacing w:after="0"/>
              <w:rPr>
                <w:sz w:val="20"/>
                <w:szCs w:val="20"/>
                <w:color w:val="auto"/>
              </w:rPr>
            </w:pPr>
            <w:r>
              <w:rPr>
                <w:rFonts w:ascii="Arial" w:cs="Arial" w:eastAsia="Arial" w:hAnsi="Arial"/>
                <w:sz w:val="13"/>
                <w:szCs w:val="13"/>
                <w:b w:val="1"/>
                <w:bCs w:val="1"/>
                <w:color w:val="auto"/>
              </w:rPr>
              <w:t>Record Date</w:t>
            </w:r>
          </w:p>
        </w:tc>
        <w:tc>
          <w:tcPr>
            <w:tcW w:w="3900" w:type="dxa"/>
            <w:vAlign w:val="bottom"/>
          </w:tcPr>
          <w:p>
            <w:pPr>
              <w:ind w:left="80"/>
              <w:spacing w:after="0"/>
              <w:rPr>
                <w:sz w:val="20"/>
                <w:szCs w:val="20"/>
                <w:color w:val="auto"/>
              </w:rPr>
            </w:pPr>
            <w:r>
              <w:rPr>
                <w:rFonts w:ascii="Arial" w:cs="Arial" w:eastAsia="Arial" w:hAnsi="Arial"/>
                <w:sz w:val="13"/>
                <w:szCs w:val="13"/>
                <w:b w:val="1"/>
                <w:bCs w:val="1"/>
                <w:color w:val="auto"/>
              </w:rPr>
              <w:t>Voting</w:t>
            </w:r>
          </w:p>
        </w:tc>
      </w:tr>
      <w:tr>
        <w:trPr>
          <w:trHeight w:val="64"/>
        </w:trPr>
        <w:tc>
          <w:tcPr>
            <w:tcW w:w="268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tcPr>
          <w:p>
            <w:pPr>
              <w:spacing w:after="0"/>
              <w:rPr>
                <w:sz w:val="5"/>
                <w:szCs w:val="5"/>
                <w:color w:val="auto"/>
              </w:rPr>
            </w:pPr>
          </w:p>
        </w:tc>
        <w:tc>
          <w:tcPr>
            <w:tcW w:w="3900" w:type="dxa"/>
            <w:vAlign w:val="bottom"/>
            <w:tcBorders>
              <w:bottom w:val="single" w:sz="8" w:color="auto"/>
            </w:tcBorders>
          </w:tcPr>
          <w:p>
            <w:pPr>
              <w:spacing w:after="0"/>
              <w:rPr>
                <w:sz w:val="5"/>
                <w:szCs w:val="5"/>
                <w:color w:val="auto"/>
              </w:rPr>
            </w:pPr>
          </w:p>
        </w:tc>
      </w:tr>
      <w:tr>
        <w:trPr>
          <w:trHeight w:val="225"/>
        </w:trPr>
        <w:tc>
          <w:tcPr>
            <w:tcW w:w="2680" w:type="dxa"/>
            <w:vAlign w:val="bottom"/>
            <w:shd w:val="clear" w:color="auto" w:fill="F3F3F4"/>
          </w:tcPr>
          <w:p>
            <w:pPr>
              <w:ind w:left="100"/>
              <w:spacing w:after="0"/>
              <w:rPr>
                <w:sz w:val="20"/>
                <w:szCs w:val="20"/>
                <w:color w:val="auto"/>
              </w:rPr>
            </w:pPr>
            <w:r>
              <w:rPr>
                <w:rFonts w:ascii="Arial" w:cs="Arial" w:eastAsia="Arial" w:hAnsi="Arial"/>
                <w:sz w:val="13"/>
                <w:szCs w:val="13"/>
                <w:color w:val="auto"/>
              </w:rPr>
              <w:t>Tuesday, February 4, 2025 at 8:00 a.m.</w:t>
            </w:r>
          </w:p>
        </w:tc>
        <w:tc>
          <w:tcPr>
            <w:tcW w:w="2820" w:type="dxa"/>
            <w:vAlign w:val="bottom"/>
            <w:shd w:val="clear" w:color="auto" w:fill="F3F3F4"/>
          </w:tcPr>
          <w:p>
            <w:pPr>
              <w:ind w:left="220"/>
              <w:spacing w:after="0"/>
              <w:rPr>
                <w:sz w:val="20"/>
                <w:szCs w:val="20"/>
                <w:color w:val="auto"/>
              </w:rPr>
            </w:pPr>
            <w:r>
              <w:rPr>
                <w:rFonts w:ascii="Arial" w:cs="Arial" w:eastAsia="Arial" w:hAnsi="Arial"/>
                <w:sz w:val="13"/>
                <w:szCs w:val="13"/>
                <w:color w:val="auto"/>
              </w:rPr>
              <w:t>Innisbrook Resort, 36750 U.S. Highway</w:t>
            </w:r>
          </w:p>
        </w:tc>
        <w:tc>
          <w:tcPr>
            <w:tcW w:w="1840" w:type="dxa"/>
            <w:vAlign w:val="bottom"/>
            <w:shd w:val="clear" w:color="auto" w:fill="F3F3F4"/>
          </w:tcPr>
          <w:p>
            <w:pPr>
              <w:ind w:left="220"/>
              <w:spacing w:after="0"/>
              <w:rPr>
                <w:sz w:val="20"/>
                <w:szCs w:val="20"/>
                <w:color w:val="auto"/>
              </w:rPr>
            </w:pPr>
            <w:r>
              <w:rPr>
                <w:rFonts w:ascii="Arial" w:cs="Arial" w:eastAsia="Arial" w:hAnsi="Arial"/>
                <w:sz w:val="13"/>
                <w:szCs w:val="13"/>
                <w:color w:val="auto"/>
              </w:rPr>
              <w:t>Close of business on</w:t>
            </w:r>
          </w:p>
        </w:tc>
        <w:tc>
          <w:tcPr>
            <w:tcW w:w="3900" w:type="dxa"/>
            <w:vAlign w:val="bottom"/>
            <w:shd w:val="clear" w:color="auto" w:fill="F3F3F4"/>
          </w:tcPr>
          <w:p>
            <w:pPr>
              <w:ind w:left="80"/>
              <w:spacing w:after="0"/>
              <w:rPr>
                <w:sz w:val="20"/>
                <w:szCs w:val="20"/>
                <w:color w:val="auto"/>
              </w:rPr>
            </w:pPr>
            <w:r>
              <w:rPr>
                <w:rFonts w:ascii="Arial" w:cs="Arial" w:eastAsia="Arial" w:hAnsi="Arial"/>
                <w:sz w:val="13"/>
                <w:szCs w:val="13"/>
                <w:color w:val="auto"/>
              </w:rPr>
              <w:t>Shareholders of record as of the record date are entitled to</w:t>
            </w:r>
          </w:p>
        </w:tc>
      </w:tr>
      <w:tr>
        <w:trPr>
          <w:trHeight w:val="151"/>
        </w:trPr>
        <w:tc>
          <w:tcPr>
            <w:tcW w:w="2680" w:type="dxa"/>
            <w:vAlign w:val="bottom"/>
            <w:shd w:val="clear" w:color="auto" w:fill="F3F3F4"/>
          </w:tcPr>
          <w:p>
            <w:pPr>
              <w:ind w:left="100"/>
              <w:spacing w:after="0"/>
              <w:rPr>
                <w:sz w:val="20"/>
                <w:szCs w:val="20"/>
                <w:color w:val="auto"/>
              </w:rPr>
            </w:pPr>
            <w:r>
              <w:rPr>
                <w:rFonts w:ascii="Arial" w:cs="Arial" w:eastAsia="Arial" w:hAnsi="Arial"/>
                <w:sz w:val="13"/>
                <w:szCs w:val="13"/>
                <w:color w:val="auto"/>
              </w:rPr>
              <w:t>Eastern Standard Time</w:t>
            </w:r>
          </w:p>
        </w:tc>
        <w:tc>
          <w:tcPr>
            <w:tcW w:w="2820" w:type="dxa"/>
            <w:vAlign w:val="bottom"/>
            <w:shd w:val="clear" w:color="auto" w:fill="F3F3F4"/>
          </w:tcPr>
          <w:p>
            <w:pPr>
              <w:ind w:left="220"/>
              <w:spacing w:after="0"/>
              <w:rPr>
                <w:sz w:val="20"/>
                <w:szCs w:val="20"/>
                <w:color w:val="auto"/>
              </w:rPr>
            </w:pPr>
            <w:r>
              <w:rPr>
                <w:rFonts w:ascii="Arial" w:cs="Arial" w:eastAsia="Arial" w:hAnsi="Arial"/>
                <w:sz w:val="13"/>
                <w:szCs w:val="13"/>
                <w:color w:val="auto"/>
              </w:rPr>
              <w:t>North, Palm Harbor, Florida 34684</w:t>
            </w:r>
          </w:p>
        </w:tc>
        <w:tc>
          <w:tcPr>
            <w:tcW w:w="1840" w:type="dxa"/>
            <w:vAlign w:val="bottom"/>
            <w:shd w:val="clear" w:color="auto" w:fill="F3F3F4"/>
          </w:tcPr>
          <w:p>
            <w:pPr>
              <w:ind w:left="220"/>
              <w:spacing w:after="0"/>
              <w:rPr>
                <w:sz w:val="20"/>
                <w:szCs w:val="20"/>
                <w:color w:val="auto"/>
              </w:rPr>
            </w:pPr>
            <w:r>
              <w:rPr>
                <w:rFonts w:ascii="Arial" w:cs="Arial" w:eastAsia="Arial" w:hAnsi="Arial"/>
                <w:sz w:val="13"/>
                <w:szCs w:val="13"/>
                <w:color w:val="auto"/>
              </w:rPr>
              <w:t>November 27, 2024</w:t>
            </w:r>
          </w:p>
        </w:tc>
        <w:tc>
          <w:tcPr>
            <w:tcW w:w="3900" w:type="dxa"/>
            <w:vAlign w:val="bottom"/>
            <w:shd w:val="clear" w:color="auto" w:fill="F3F3F4"/>
          </w:tcPr>
          <w:p>
            <w:pPr>
              <w:ind w:left="80"/>
              <w:spacing w:after="0"/>
              <w:rPr>
                <w:sz w:val="20"/>
                <w:szCs w:val="20"/>
                <w:color w:val="auto"/>
              </w:rPr>
            </w:pPr>
            <w:r>
              <w:rPr>
                <w:rFonts w:ascii="Arial" w:cs="Arial" w:eastAsia="Arial" w:hAnsi="Arial"/>
                <w:sz w:val="13"/>
                <w:szCs w:val="13"/>
                <w:color w:val="auto"/>
              </w:rPr>
              <w:t>vote. Each share of common stock is entitled to one vote on</w:t>
            </w:r>
          </w:p>
        </w:tc>
      </w:tr>
      <w:tr>
        <w:trPr>
          <w:trHeight w:val="151"/>
        </w:trPr>
        <w:tc>
          <w:tcPr>
            <w:tcW w:w="2680" w:type="dxa"/>
            <w:vAlign w:val="bottom"/>
            <w:shd w:val="clear" w:color="auto" w:fill="F3F3F4"/>
          </w:tcPr>
          <w:p>
            <w:pPr>
              <w:spacing w:after="0"/>
              <w:rPr>
                <w:sz w:val="13"/>
                <w:szCs w:val="13"/>
                <w:color w:val="auto"/>
              </w:rPr>
            </w:pPr>
          </w:p>
        </w:tc>
        <w:tc>
          <w:tcPr>
            <w:tcW w:w="2820" w:type="dxa"/>
            <w:vAlign w:val="bottom"/>
            <w:shd w:val="clear" w:color="auto" w:fill="F3F3F4"/>
          </w:tcPr>
          <w:p>
            <w:pPr>
              <w:spacing w:after="0"/>
              <w:rPr>
                <w:sz w:val="13"/>
                <w:szCs w:val="13"/>
                <w:color w:val="auto"/>
              </w:rPr>
            </w:pPr>
          </w:p>
        </w:tc>
        <w:tc>
          <w:tcPr>
            <w:tcW w:w="1840" w:type="dxa"/>
            <w:vAlign w:val="bottom"/>
            <w:shd w:val="clear" w:color="auto" w:fill="F3F3F4"/>
          </w:tcPr>
          <w:p>
            <w:pPr>
              <w:spacing w:after="0"/>
              <w:rPr>
                <w:sz w:val="13"/>
                <w:szCs w:val="13"/>
                <w:color w:val="auto"/>
              </w:rPr>
            </w:pPr>
          </w:p>
        </w:tc>
        <w:tc>
          <w:tcPr>
            <w:tcW w:w="3900" w:type="dxa"/>
            <w:vAlign w:val="bottom"/>
            <w:shd w:val="clear" w:color="auto" w:fill="F3F3F4"/>
          </w:tcPr>
          <w:p>
            <w:pPr>
              <w:ind w:left="80"/>
              <w:spacing w:after="0"/>
              <w:rPr>
                <w:sz w:val="20"/>
                <w:szCs w:val="20"/>
                <w:color w:val="auto"/>
              </w:rPr>
            </w:pPr>
            <w:r>
              <w:rPr>
                <w:rFonts w:ascii="Arial" w:cs="Arial" w:eastAsia="Arial" w:hAnsi="Arial"/>
                <w:sz w:val="13"/>
                <w:szCs w:val="13"/>
                <w:color w:val="auto"/>
              </w:rPr>
              <w:t>each of the director nominees and one vote on all other</w:t>
            </w:r>
          </w:p>
        </w:tc>
      </w:tr>
      <w:tr>
        <w:trPr>
          <w:trHeight w:val="176"/>
        </w:trPr>
        <w:tc>
          <w:tcPr>
            <w:tcW w:w="2680" w:type="dxa"/>
            <w:vAlign w:val="bottom"/>
            <w:shd w:val="clear" w:color="auto" w:fill="F3F3F4"/>
          </w:tcPr>
          <w:p>
            <w:pPr>
              <w:spacing w:after="0"/>
              <w:rPr>
                <w:sz w:val="15"/>
                <w:szCs w:val="15"/>
                <w:color w:val="auto"/>
              </w:rPr>
            </w:pPr>
          </w:p>
        </w:tc>
        <w:tc>
          <w:tcPr>
            <w:tcW w:w="2820" w:type="dxa"/>
            <w:vAlign w:val="bottom"/>
            <w:shd w:val="clear" w:color="auto" w:fill="F3F3F4"/>
          </w:tcPr>
          <w:p>
            <w:pPr>
              <w:spacing w:after="0"/>
              <w:rPr>
                <w:sz w:val="15"/>
                <w:szCs w:val="15"/>
                <w:color w:val="auto"/>
              </w:rPr>
            </w:pPr>
          </w:p>
        </w:tc>
        <w:tc>
          <w:tcPr>
            <w:tcW w:w="1840" w:type="dxa"/>
            <w:vAlign w:val="bottom"/>
            <w:shd w:val="clear" w:color="auto" w:fill="F3F3F4"/>
          </w:tcPr>
          <w:p>
            <w:pPr>
              <w:spacing w:after="0"/>
              <w:rPr>
                <w:sz w:val="15"/>
                <w:szCs w:val="15"/>
                <w:color w:val="auto"/>
              </w:rPr>
            </w:pPr>
          </w:p>
        </w:tc>
        <w:tc>
          <w:tcPr>
            <w:tcW w:w="3900" w:type="dxa"/>
            <w:vAlign w:val="bottom"/>
            <w:shd w:val="clear" w:color="auto" w:fill="F3F3F4"/>
          </w:tcPr>
          <w:p>
            <w:pPr>
              <w:ind w:left="80"/>
              <w:spacing w:after="0"/>
              <w:rPr>
                <w:sz w:val="20"/>
                <w:szCs w:val="20"/>
                <w:color w:val="auto"/>
              </w:rPr>
            </w:pPr>
            <w:r>
              <w:rPr>
                <w:rFonts w:ascii="Arial" w:cs="Arial" w:eastAsia="Arial" w:hAnsi="Arial"/>
                <w:sz w:val="13"/>
                <w:szCs w:val="13"/>
                <w:color w:val="auto"/>
              </w:rPr>
              <w:t>matters to be considered at the Meeting.</w:t>
            </w:r>
          </w:p>
        </w:tc>
      </w:tr>
      <w:tr>
        <w:trPr>
          <w:trHeight w:val="72"/>
        </w:trPr>
        <w:tc>
          <w:tcPr>
            <w:tcW w:w="2680" w:type="dxa"/>
            <w:vAlign w:val="bottom"/>
            <w:tcBorders>
              <w:bottom w:val="single" w:sz="8" w:color="auto"/>
            </w:tcBorders>
            <w:shd w:val="clear" w:color="auto" w:fill="F3F3F4"/>
          </w:tcPr>
          <w:p>
            <w:pPr>
              <w:spacing w:after="0"/>
              <w:rPr>
                <w:sz w:val="6"/>
                <w:szCs w:val="6"/>
                <w:color w:val="auto"/>
              </w:rPr>
            </w:pPr>
          </w:p>
        </w:tc>
        <w:tc>
          <w:tcPr>
            <w:tcW w:w="2820" w:type="dxa"/>
            <w:vAlign w:val="bottom"/>
            <w:tcBorders>
              <w:bottom w:val="single" w:sz="8" w:color="auto"/>
            </w:tcBorders>
            <w:shd w:val="clear" w:color="auto" w:fill="F3F3F4"/>
          </w:tcPr>
          <w:p>
            <w:pPr>
              <w:spacing w:after="0"/>
              <w:rPr>
                <w:sz w:val="6"/>
                <w:szCs w:val="6"/>
                <w:color w:val="auto"/>
              </w:rPr>
            </w:pPr>
          </w:p>
        </w:tc>
        <w:tc>
          <w:tcPr>
            <w:tcW w:w="1840" w:type="dxa"/>
            <w:vAlign w:val="bottom"/>
            <w:tcBorders>
              <w:bottom w:val="single" w:sz="8" w:color="auto"/>
            </w:tcBorders>
            <w:shd w:val="clear" w:color="auto" w:fill="F3F3F4"/>
          </w:tcPr>
          <w:p>
            <w:pPr>
              <w:spacing w:after="0"/>
              <w:rPr>
                <w:sz w:val="6"/>
                <w:szCs w:val="6"/>
                <w:color w:val="auto"/>
              </w:rPr>
            </w:pPr>
          </w:p>
        </w:tc>
        <w:tc>
          <w:tcPr>
            <w:tcW w:w="3900" w:type="dxa"/>
            <w:vAlign w:val="bottom"/>
            <w:tcBorders>
              <w:bottom w:val="single" w:sz="8" w:color="auto"/>
            </w:tcBorders>
            <w:shd w:val="clear" w:color="auto" w:fill="F3F3F4"/>
          </w:tcPr>
          <w:p>
            <w:pPr>
              <w:spacing w:after="0"/>
              <w:rPr>
                <w:sz w:val="6"/>
                <w:szCs w:val="6"/>
                <w:color w:val="auto"/>
              </w:rPr>
            </w:pPr>
          </w:p>
        </w:tc>
      </w:tr>
      <w:tr>
        <w:trPr>
          <w:trHeight w:val="400"/>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How to Vote</w:t>
            </w:r>
          </w:p>
        </w:tc>
        <w:tc>
          <w:tcPr>
            <w:tcW w:w="2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450"/>
        </w:trPr>
        <w:tc>
          <w:tcPr>
            <w:tcW w:w="2680" w:type="dxa"/>
            <w:vAlign w:val="bottom"/>
          </w:tcPr>
          <w:p>
            <w:pPr>
              <w:ind w:left="920"/>
              <w:spacing w:after="0"/>
              <w:rPr>
                <w:sz w:val="20"/>
                <w:szCs w:val="20"/>
                <w:color w:val="auto"/>
              </w:rPr>
            </w:pPr>
            <w:r>
              <w:rPr>
                <w:rFonts w:ascii="Arial" w:cs="Arial" w:eastAsia="Arial" w:hAnsi="Arial"/>
                <w:sz w:val="13"/>
                <w:szCs w:val="13"/>
                <w:b w:val="1"/>
                <w:bCs w:val="1"/>
                <w:color w:val="auto"/>
              </w:rPr>
              <w:t>Via the Internet</w:t>
            </w:r>
          </w:p>
        </w:tc>
        <w:tc>
          <w:tcPr>
            <w:tcW w:w="2820" w:type="dxa"/>
            <w:vAlign w:val="bottom"/>
          </w:tcPr>
          <w:p>
            <w:pPr>
              <w:ind w:left="1100"/>
              <w:spacing w:after="0"/>
              <w:rPr>
                <w:sz w:val="20"/>
                <w:szCs w:val="20"/>
                <w:color w:val="auto"/>
              </w:rPr>
            </w:pPr>
            <w:r>
              <w:rPr>
                <w:rFonts w:ascii="Arial" w:cs="Arial" w:eastAsia="Arial" w:hAnsi="Arial"/>
                <w:sz w:val="13"/>
                <w:szCs w:val="13"/>
                <w:b w:val="1"/>
                <w:bCs w:val="1"/>
                <w:color w:val="auto"/>
              </w:rPr>
              <w:t>By Telephone</w:t>
            </w:r>
          </w:p>
        </w:tc>
        <w:tc>
          <w:tcPr>
            <w:tcW w:w="1840" w:type="dxa"/>
            <w:vAlign w:val="bottom"/>
          </w:tcPr>
          <w:p>
            <w:pPr>
              <w:ind w:left="1300"/>
              <w:spacing w:after="0"/>
              <w:rPr>
                <w:sz w:val="20"/>
                <w:szCs w:val="20"/>
                <w:color w:val="auto"/>
              </w:rPr>
            </w:pPr>
            <w:r>
              <w:rPr>
                <w:rFonts w:ascii="Arial" w:cs="Arial" w:eastAsia="Arial" w:hAnsi="Arial"/>
                <w:sz w:val="13"/>
                <w:szCs w:val="13"/>
                <w:b w:val="1"/>
                <w:bCs w:val="1"/>
                <w:color w:val="auto"/>
              </w:rPr>
              <w:t>By Mail</w:t>
            </w:r>
          </w:p>
        </w:tc>
        <w:tc>
          <w:tcPr>
            <w:tcW w:w="3900" w:type="dxa"/>
            <w:vAlign w:val="bottom"/>
          </w:tcPr>
          <w:p>
            <w:pPr>
              <w:ind w:left="2040"/>
              <w:spacing w:after="0"/>
              <w:rPr>
                <w:sz w:val="20"/>
                <w:szCs w:val="20"/>
                <w:color w:val="auto"/>
              </w:rPr>
            </w:pPr>
            <w:r>
              <w:rPr>
                <w:rFonts w:ascii="Arial" w:cs="Arial" w:eastAsia="Arial" w:hAnsi="Arial"/>
                <w:sz w:val="13"/>
                <w:szCs w:val="13"/>
                <w:b w:val="1"/>
                <w:bCs w:val="1"/>
                <w:color w:val="auto"/>
              </w:rPr>
              <w:t>At the Meeting</w:t>
            </w:r>
          </w:p>
        </w:tc>
      </w:tr>
      <w:tr>
        <w:trPr>
          <w:trHeight w:val="76"/>
        </w:trPr>
        <w:tc>
          <w:tcPr>
            <w:tcW w:w="2680" w:type="dxa"/>
            <w:vAlign w:val="bottom"/>
            <w:tcBorders>
              <w:bottom w:val="single" w:sz="8" w:color="auto"/>
            </w:tcBorders>
          </w:tcPr>
          <w:p>
            <w:pPr>
              <w:spacing w:after="0"/>
              <w:rPr>
                <w:sz w:val="6"/>
                <w:szCs w:val="6"/>
                <w:color w:val="auto"/>
              </w:rPr>
            </w:pPr>
          </w:p>
        </w:tc>
        <w:tc>
          <w:tcPr>
            <w:tcW w:w="28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r>
      <w:tr>
        <w:trPr>
          <w:trHeight w:val="1015"/>
        </w:trPr>
        <w:tc>
          <w:tcPr>
            <w:tcW w:w="2680" w:type="dxa"/>
            <w:vAlign w:val="bottom"/>
            <w:shd w:val="clear" w:color="auto" w:fill="F3F3F4"/>
          </w:tcPr>
          <w:p>
            <w:pPr>
              <w:spacing w:after="0"/>
              <w:rPr>
                <w:sz w:val="24"/>
                <w:szCs w:val="24"/>
                <w:color w:val="auto"/>
              </w:rPr>
            </w:pPr>
          </w:p>
        </w:tc>
        <w:tc>
          <w:tcPr>
            <w:tcW w:w="2820" w:type="dxa"/>
            <w:vAlign w:val="bottom"/>
            <w:shd w:val="clear" w:color="auto" w:fill="F3F3F4"/>
          </w:tcPr>
          <w:p>
            <w:pPr>
              <w:spacing w:after="0"/>
              <w:rPr>
                <w:sz w:val="24"/>
                <w:szCs w:val="24"/>
                <w:color w:val="auto"/>
              </w:rPr>
            </w:pPr>
          </w:p>
        </w:tc>
        <w:tc>
          <w:tcPr>
            <w:tcW w:w="1840" w:type="dxa"/>
            <w:vAlign w:val="bottom"/>
            <w:shd w:val="clear" w:color="auto" w:fill="F3F3F4"/>
          </w:tcPr>
          <w:p>
            <w:pPr>
              <w:spacing w:after="0"/>
              <w:rPr>
                <w:sz w:val="24"/>
                <w:szCs w:val="24"/>
                <w:color w:val="auto"/>
              </w:rPr>
            </w:pPr>
          </w:p>
        </w:tc>
        <w:tc>
          <w:tcPr>
            <w:tcW w:w="3900" w:type="dxa"/>
            <w:vAlign w:val="bottom"/>
            <w:shd w:val="clear" w:color="auto" w:fill="F3F3F4"/>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-656590</wp:posOffset>
            </wp:positionV>
            <wp:extent cx="2885440" cy="929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85440" cy="92964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-440055</wp:posOffset>
            </wp:positionV>
            <wp:extent cx="553085" cy="360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3085" cy="360680"/>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-568325</wp:posOffset>
            </wp:positionV>
            <wp:extent cx="400685" cy="488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068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2"/>
          </w:tcPr>
          <w:p>
            <w:pPr>
              <w:jc w:val="center"/>
              <w:ind w:right="580"/>
              <w:spacing w:after="0"/>
              <w:rPr>
                <w:sz w:val="20"/>
                <w:szCs w:val="20"/>
                <w:color w:val="auto"/>
              </w:rPr>
            </w:pPr>
            <w:r>
              <w:rPr>
                <w:rFonts w:ascii="Arial" w:cs="Arial" w:eastAsia="Arial" w:hAnsi="Arial"/>
                <w:sz w:val="13"/>
                <w:szCs w:val="13"/>
                <w:color w:val="auto"/>
              </w:rPr>
              <w:t>Go to</w:t>
            </w:r>
          </w:p>
        </w:tc>
        <w:tc>
          <w:tcPr>
            <w:tcW w:w="620" w:type="dxa"/>
            <w:vAlign w:val="bottom"/>
            <w:shd w:val="clear" w:color="auto" w:fill="F3F3F4"/>
          </w:tcPr>
          <w:p>
            <w:pPr>
              <w:spacing w:after="0"/>
              <w:rPr>
                <w:sz w:val="16"/>
                <w:szCs w:val="16"/>
                <w:color w:val="auto"/>
              </w:rPr>
            </w:pPr>
          </w:p>
        </w:tc>
        <w:tc>
          <w:tcPr>
            <w:tcW w:w="1640" w:type="dxa"/>
            <w:vAlign w:val="bottom"/>
            <w:gridSpan w:val="6"/>
            <w:shd w:val="clear" w:color="auto" w:fill="F3F3F4"/>
          </w:tcPr>
          <w:p>
            <w:pPr>
              <w:jc w:val="center"/>
              <w:ind w:right="120"/>
              <w:spacing w:after="0"/>
              <w:rPr>
                <w:sz w:val="20"/>
                <w:szCs w:val="20"/>
                <w:color w:val="auto"/>
              </w:rPr>
            </w:pPr>
            <w:r>
              <w:rPr>
                <w:rFonts w:ascii="Arial" w:cs="Arial" w:eastAsia="Arial" w:hAnsi="Arial"/>
                <w:sz w:val="13"/>
                <w:szCs w:val="13"/>
                <w:b w:val="1"/>
                <w:bCs w:val="1"/>
                <w:color w:val="auto"/>
              </w:rPr>
              <w:t>1-800-652-VOTE (8563)</w:t>
            </w:r>
          </w:p>
        </w:tc>
        <w:tc>
          <w:tcPr>
            <w:tcW w:w="3440" w:type="dxa"/>
            <w:vAlign w:val="bottom"/>
            <w:gridSpan w:val="3"/>
            <w:shd w:val="clear" w:color="auto" w:fill="F3F3F4"/>
          </w:tcPr>
          <w:p>
            <w:pPr>
              <w:ind w:left="720"/>
              <w:spacing w:after="0"/>
              <w:rPr>
                <w:sz w:val="20"/>
                <w:szCs w:val="20"/>
                <w:color w:val="auto"/>
              </w:rPr>
            </w:pPr>
            <w:r>
              <w:rPr>
                <w:rFonts w:ascii="Arial" w:cs="Arial" w:eastAsia="Arial" w:hAnsi="Arial"/>
                <w:sz w:val="13"/>
                <w:szCs w:val="13"/>
                <w:color w:val="auto"/>
              </w:rPr>
              <w:t>Follow the instructions on your proxy card</w:t>
            </w:r>
          </w:p>
        </w:tc>
        <w:tc>
          <w:tcPr>
            <w:tcW w:w="2540" w:type="dxa"/>
            <w:vAlign w:val="bottom"/>
            <w:shd w:val="clear" w:color="auto" w:fill="F3F3F4"/>
          </w:tcPr>
          <w:p>
            <w:pPr>
              <w:ind w:left="380"/>
              <w:spacing w:after="0"/>
              <w:rPr>
                <w:sz w:val="20"/>
                <w:szCs w:val="20"/>
                <w:color w:val="auto"/>
              </w:rPr>
            </w:pPr>
            <w:r>
              <w:rPr>
                <w:rFonts w:ascii="Arial" w:cs="Arial" w:eastAsia="Arial" w:hAnsi="Arial"/>
                <w:sz w:val="13"/>
                <w:szCs w:val="13"/>
                <w:color w:val="auto"/>
              </w:rPr>
              <w:t>Attend in person and vote by ballot</w:t>
            </w:r>
          </w:p>
        </w:tc>
        <w:tc>
          <w:tcPr>
            <w:tcW w:w="180" w:type="dxa"/>
            <w:vAlign w:val="bottom"/>
            <w:shd w:val="clear" w:color="auto" w:fill="F3F3F4"/>
          </w:tcPr>
          <w:p>
            <w:pPr>
              <w:spacing w:after="0"/>
              <w:rPr>
                <w:sz w:val="16"/>
                <w:szCs w:val="16"/>
                <w:color w:val="auto"/>
              </w:rPr>
            </w:pPr>
          </w:p>
        </w:tc>
      </w:tr>
      <w:tr>
        <w:trPr>
          <w:trHeight w:val="222"/>
        </w:trPr>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3"/>
                <w:szCs w:val="13"/>
                <w:color w:val="auto"/>
              </w:rPr>
              <w:t>www.investorvote.com/ESE</w:t>
            </w:r>
          </w:p>
        </w:tc>
        <w:tc>
          <w:tcPr>
            <w:tcW w:w="580" w:type="dxa"/>
            <w:vAlign w:val="bottom"/>
          </w:tcPr>
          <w:p>
            <w:pPr>
              <w:spacing w:after="0"/>
              <w:rPr>
                <w:sz w:val="19"/>
                <w:szCs w:val="19"/>
                <w:color w:val="auto"/>
              </w:rPr>
            </w:pPr>
          </w:p>
        </w:tc>
        <w:tc>
          <w:tcPr>
            <w:tcW w:w="620" w:type="dxa"/>
            <w:vAlign w:val="bottom"/>
            <w:tcBorders>
              <w:bottom w:val="single" w:sz="8" w:color="F3F3F4"/>
            </w:tcBorders>
            <w:shd w:val="clear" w:color="auto" w:fill="F3F3F4"/>
          </w:tcPr>
          <w:p>
            <w:pPr>
              <w:spacing w:after="0"/>
              <w:rPr>
                <w:sz w:val="19"/>
                <w:szCs w:val="19"/>
                <w:color w:val="auto"/>
              </w:rPr>
            </w:pPr>
          </w:p>
        </w:tc>
        <w:tc>
          <w:tcPr>
            <w:tcW w:w="1640" w:type="dxa"/>
            <w:vAlign w:val="bottom"/>
            <w:tcBorders>
              <w:bottom w:val="single" w:sz="8" w:color="F3F3F4"/>
            </w:tcBorders>
            <w:gridSpan w:val="6"/>
            <w:shd w:val="clear" w:color="auto" w:fill="F3F3F4"/>
          </w:tcPr>
          <w:p>
            <w:pPr>
              <w:jc w:val="center"/>
              <w:ind w:right="80"/>
              <w:spacing w:after="0" w:line="147" w:lineRule="exact"/>
              <w:rPr>
                <w:sz w:val="20"/>
                <w:szCs w:val="20"/>
                <w:color w:val="auto"/>
              </w:rPr>
            </w:pPr>
            <w:r>
              <w:rPr>
                <w:rFonts w:ascii="Arial" w:cs="Arial" w:eastAsia="Arial" w:hAnsi="Arial"/>
                <w:sz w:val="13"/>
                <w:szCs w:val="13"/>
                <w:color w:val="auto"/>
              </w:rPr>
              <w:t>in the U.S. or Canada</w:t>
            </w:r>
          </w:p>
        </w:tc>
        <w:tc>
          <w:tcPr>
            <w:tcW w:w="2460" w:type="dxa"/>
            <w:vAlign w:val="bottom"/>
            <w:tcBorders>
              <w:bottom w:val="single" w:sz="8" w:color="F3F3F4"/>
            </w:tcBorders>
            <w:shd w:val="clear" w:color="auto" w:fill="F3F3F4"/>
          </w:tcPr>
          <w:p>
            <w:pPr>
              <w:spacing w:after="0"/>
              <w:rPr>
                <w:sz w:val="19"/>
                <w:szCs w:val="19"/>
                <w:color w:val="auto"/>
              </w:rPr>
            </w:pPr>
          </w:p>
        </w:tc>
        <w:tc>
          <w:tcPr>
            <w:tcW w:w="440" w:type="dxa"/>
            <w:vAlign w:val="bottom"/>
            <w:tcBorders>
              <w:bottom w:val="single" w:sz="8" w:color="F3F3F4"/>
            </w:tcBorders>
            <w:shd w:val="clear" w:color="auto" w:fill="F3F3F4"/>
          </w:tcPr>
          <w:p>
            <w:pPr>
              <w:spacing w:after="0"/>
              <w:rPr>
                <w:sz w:val="19"/>
                <w:szCs w:val="19"/>
                <w:color w:val="auto"/>
              </w:rPr>
            </w:pPr>
          </w:p>
        </w:tc>
        <w:tc>
          <w:tcPr>
            <w:tcW w:w="540" w:type="dxa"/>
            <w:vAlign w:val="bottom"/>
            <w:tcBorders>
              <w:bottom w:val="single" w:sz="8" w:color="F3F3F4"/>
            </w:tcBorders>
            <w:shd w:val="clear" w:color="auto" w:fill="F3F3F4"/>
          </w:tcPr>
          <w:p>
            <w:pPr>
              <w:spacing w:after="0"/>
              <w:rPr>
                <w:sz w:val="19"/>
                <w:szCs w:val="19"/>
                <w:color w:val="auto"/>
              </w:rPr>
            </w:pPr>
          </w:p>
        </w:tc>
        <w:tc>
          <w:tcPr>
            <w:tcW w:w="2540" w:type="dxa"/>
            <w:vAlign w:val="bottom"/>
            <w:tcBorders>
              <w:bottom w:val="single" w:sz="8" w:color="F3F3F4"/>
            </w:tcBorders>
            <w:shd w:val="clear" w:color="auto" w:fill="F3F3F4"/>
          </w:tcPr>
          <w:p>
            <w:pPr>
              <w:spacing w:after="0"/>
              <w:rPr>
                <w:sz w:val="19"/>
                <w:szCs w:val="19"/>
                <w:color w:val="auto"/>
              </w:rPr>
            </w:pPr>
          </w:p>
        </w:tc>
        <w:tc>
          <w:tcPr>
            <w:tcW w:w="180" w:type="dxa"/>
            <w:vAlign w:val="bottom"/>
            <w:tcBorders>
              <w:bottom w:val="single" w:sz="8" w:color="F3F3F4"/>
            </w:tcBorders>
            <w:shd w:val="clear" w:color="auto" w:fill="F3F3F4"/>
          </w:tcPr>
          <w:p>
            <w:pPr>
              <w:spacing w:after="0"/>
              <w:rPr>
                <w:sz w:val="19"/>
                <w:szCs w:val="19"/>
                <w:color w:val="auto"/>
              </w:rPr>
            </w:pPr>
          </w:p>
        </w:tc>
      </w:tr>
      <w:tr>
        <w:trPr>
          <w:trHeight w:val="647"/>
        </w:trPr>
        <w:tc>
          <w:tcPr>
            <w:tcW w:w="5080" w:type="dxa"/>
            <w:vAlign w:val="bottom"/>
            <w:tcBorders>
              <w:top w:val="single" w:sz="8" w:color="auto"/>
            </w:tcBorders>
            <w:gridSpan w:val="11"/>
          </w:tcPr>
          <w:p>
            <w:pPr>
              <w:spacing w:after="0"/>
              <w:rPr>
                <w:sz w:val="20"/>
                <w:szCs w:val="20"/>
                <w:color w:val="auto"/>
              </w:rPr>
            </w:pPr>
            <w:r>
              <w:rPr>
                <w:rFonts w:ascii="Arial" w:cs="Arial" w:eastAsia="Arial" w:hAnsi="Arial"/>
                <w:sz w:val="20"/>
                <w:szCs w:val="20"/>
                <w:b w:val="1"/>
                <w:bCs w:val="1"/>
                <w:color w:val="auto"/>
              </w:rPr>
              <w:t>PROPOSALS AND BOARD RECOMMENDATIONS</w:t>
            </w:r>
          </w:p>
        </w:tc>
        <w:tc>
          <w:tcPr>
            <w:tcW w:w="24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70"/>
        </w:trPr>
        <w:tc>
          <w:tcPr>
            <w:tcW w:w="220" w:type="dxa"/>
            <w:vAlign w:val="bottom"/>
            <w:tcBorders>
              <w:bottom w:val="single" w:sz="8" w:color="F26128"/>
            </w:tcBorders>
          </w:tcPr>
          <w:p>
            <w:pPr>
              <w:spacing w:after="0"/>
              <w:rPr>
                <w:sz w:val="6"/>
                <w:szCs w:val="6"/>
                <w:color w:val="auto"/>
              </w:rPr>
            </w:pPr>
          </w:p>
        </w:tc>
        <w:tc>
          <w:tcPr>
            <w:tcW w:w="360" w:type="dxa"/>
            <w:vAlign w:val="bottom"/>
            <w:tcBorders>
              <w:bottom w:val="single" w:sz="8" w:color="F26128"/>
            </w:tcBorders>
          </w:tcPr>
          <w:p>
            <w:pPr>
              <w:spacing w:after="0"/>
              <w:rPr>
                <w:sz w:val="6"/>
                <w:szCs w:val="6"/>
                <w:color w:val="auto"/>
              </w:rPr>
            </w:pPr>
          </w:p>
        </w:tc>
        <w:tc>
          <w:tcPr>
            <w:tcW w:w="1660" w:type="dxa"/>
            <w:vAlign w:val="bottom"/>
            <w:tcBorders>
              <w:bottom w:val="single" w:sz="8" w:color="F26128"/>
            </w:tcBorders>
          </w:tcPr>
          <w:p>
            <w:pPr>
              <w:spacing w:after="0"/>
              <w:rPr>
                <w:sz w:val="6"/>
                <w:szCs w:val="6"/>
                <w:color w:val="auto"/>
              </w:rPr>
            </w:pPr>
          </w:p>
        </w:tc>
        <w:tc>
          <w:tcPr>
            <w:tcW w:w="580" w:type="dxa"/>
            <w:vAlign w:val="bottom"/>
            <w:tcBorders>
              <w:bottom w:val="single" w:sz="8" w:color="F26128"/>
            </w:tcBorders>
          </w:tcPr>
          <w:p>
            <w:pPr>
              <w:spacing w:after="0"/>
              <w:rPr>
                <w:sz w:val="6"/>
                <w:szCs w:val="6"/>
                <w:color w:val="auto"/>
              </w:rPr>
            </w:pPr>
          </w:p>
        </w:tc>
        <w:tc>
          <w:tcPr>
            <w:tcW w:w="620" w:type="dxa"/>
            <w:vAlign w:val="bottom"/>
            <w:tcBorders>
              <w:bottom w:val="single" w:sz="8" w:color="F26128"/>
            </w:tcBorders>
          </w:tcPr>
          <w:p>
            <w:pPr>
              <w:spacing w:after="0"/>
              <w:rPr>
                <w:sz w:val="6"/>
                <w:szCs w:val="6"/>
                <w:color w:val="auto"/>
              </w:rPr>
            </w:pPr>
          </w:p>
        </w:tc>
        <w:tc>
          <w:tcPr>
            <w:tcW w:w="500" w:type="dxa"/>
            <w:vAlign w:val="bottom"/>
            <w:tcBorders>
              <w:bottom w:val="single" w:sz="8" w:color="F26128"/>
            </w:tcBorders>
          </w:tcPr>
          <w:p>
            <w:pPr>
              <w:spacing w:after="0"/>
              <w:rPr>
                <w:sz w:val="6"/>
                <w:szCs w:val="6"/>
                <w:color w:val="auto"/>
              </w:rPr>
            </w:pPr>
          </w:p>
        </w:tc>
        <w:tc>
          <w:tcPr>
            <w:tcW w:w="500" w:type="dxa"/>
            <w:vAlign w:val="bottom"/>
            <w:tcBorders>
              <w:bottom w:val="single" w:sz="8" w:color="F26128"/>
            </w:tcBorders>
          </w:tcPr>
          <w:p>
            <w:pPr>
              <w:spacing w:after="0"/>
              <w:rPr>
                <w:sz w:val="6"/>
                <w:szCs w:val="6"/>
                <w:color w:val="auto"/>
              </w:rPr>
            </w:pPr>
          </w:p>
        </w:tc>
        <w:tc>
          <w:tcPr>
            <w:tcW w:w="20" w:type="dxa"/>
            <w:vAlign w:val="bottom"/>
            <w:tcBorders>
              <w:bottom w:val="single" w:sz="8" w:color="F26128"/>
            </w:tcBorders>
          </w:tcPr>
          <w:p>
            <w:pPr>
              <w:spacing w:after="0"/>
              <w:rPr>
                <w:sz w:val="6"/>
                <w:szCs w:val="6"/>
                <w:color w:val="auto"/>
              </w:rPr>
            </w:pPr>
          </w:p>
        </w:tc>
        <w:tc>
          <w:tcPr>
            <w:tcW w:w="80" w:type="dxa"/>
            <w:vAlign w:val="bottom"/>
            <w:tcBorders>
              <w:bottom w:val="single" w:sz="8" w:color="F26128"/>
            </w:tcBorders>
          </w:tcPr>
          <w:p>
            <w:pPr>
              <w:spacing w:after="0"/>
              <w:rPr>
                <w:sz w:val="6"/>
                <w:szCs w:val="6"/>
                <w:color w:val="auto"/>
              </w:rPr>
            </w:pPr>
          </w:p>
        </w:tc>
        <w:tc>
          <w:tcPr>
            <w:tcW w:w="40" w:type="dxa"/>
            <w:vAlign w:val="bottom"/>
            <w:tcBorders>
              <w:bottom w:val="single" w:sz="8" w:color="F26128"/>
            </w:tcBorders>
          </w:tcPr>
          <w:p>
            <w:pPr>
              <w:spacing w:after="0"/>
              <w:rPr>
                <w:sz w:val="6"/>
                <w:szCs w:val="6"/>
                <w:color w:val="auto"/>
              </w:rPr>
            </w:pPr>
          </w:p>
        </w:tc>
        <w:tc>
          <w:tcPr>
            <w:tcW w:w="500" w:type="dxa"/>
            <w:vAlign w:val="bottom"/>
            <w:tcBorders>
              <w:bottom w:val="single" w:sz="8" w:color="F26128"/>
            </w:tcBorders>
          </w:tcPr>
          <w:p>
            <w:pPr>
              <w:spacing w:after="0"/>
              <w:rPr>
                <w:sz w:val="6"/>
                <w:szCs w:val="6"/>
                <w:color w:val="auto"/>
              </w:rPr>
            </w:pPr>
          </w:p>
        </w:tc>
        <w:tc>
          <w:tcPr>
            <w:tcW w:w="2460" w:type="dxa"/>
            <w:vAlign w:val="bottom"/>
            <w:tcBorders>
              <w:bottom w:val="single" w:sz="8" w:color="F26128"/>
            </w:tcBorders>
          </w:tcPr>
          <w:p>
            <w:pPr>
              <w:spacing w:after="0"/>
              <w:rPr>
                <w:sz w:val="6"/>
                <w:szCs w:val="6"/>
                <w:color w:val="auto"/>
              </w:rPr>
            </w:pPr>
          </w:p>
        </w:tc>
        <w:tc>
          <w:tcPr>
            <w:tcW w:w="440" w:type="dxa"/>
            <w:vAlign w:val="bottom"/>
            <w:tcBorders>
              <w:bottom w:val="single" w:sz="8" w:color="F26128"/>
            </w:tcBorders>
          </w:tcPr>
          <w:p>
            <w:pPr>
              <w:spacing w:after="0"/>
              <w:rPr>
                <w:sz w:val="6"/>
                <w:szCs w:val="6"/>
                <w:color w:val="auto"/>
              </w:rPr>
            </w:pPr>
          </w:p>
        </w:tc>
        <w:tc>
          <w:tcPr>
            <w:tcW w:w="540" w:type="dxa"/>
            <w:vAlign w:val="bottom"/>
            <w:tcBorders>
              <w:bottom w:val="single" w:sz="8" w:color="F26128"/>
            </w:tcBorders>
          </w:tcPr>
          <w:p>
            <w:pPr>
              <w:spacing w:after="0"/>
              <w:rPr>
                <w:sz w:val="6"/>
                <w:szCs w:val="6"/>
                <w:color w:val="auto"/>
              </w:rPr>
            </w:pPr>
          </w:p>
        </w:tc>
        <w:tc>
          <w:tcPr>
            <w:tcW w:w="2540" w:type="dxa"/>
            <w:vAlign w:val="bottom"/>
            <w:tcBorders>
              <w:bottom w:val="single" w:sz="8" w:color="F26128"/>
            </w:tcBorders>
          </w:tcPr>
          <w:p>
            <w:pPr>
              <w:spacing w:after="0"/>
              <w:rPr>
                <w:sz w:val="6"/>
                <w:szCs w:val="6"/>
                <w:color w:val="auto"/>
              </w:rPr>
            </w:pPr>
          </w:p>
        </w:tc>
        <w:tc>
          <w:tcPr>
            <w:tcW w:w="180" w:type="dxa"/>
            <w:vAlign w:val="bottom"/>
            <w:tcBorders>
              <w:bottom w:val="single" w:sz="8" w:color="F26128"/>
            </w:tcBorders>
          </w:tcPr>
          <w:p>
            <w:pPr>
              <w:spacing w:after="0"/>
              <w:rPr>
                <w:sz w:val="6"/>
                <w:szCs w:val="6"/>
                <w:color w:val="auto"/>
              </w:rPr>
            </w:pPr>
          </w:p>
        </w:tc>
      </w:tr>
      <w:tr>
        <w:trPr>
          <w:trHeight w:val="483"/>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40" w:type="dxa"/>
            <w:vAlign w:val="bottom"/>
          </w:tcPr>
          <w:p>
            <w:pPr>
              <w:jc w:val="center"/>
              <w:ind w:left="54"/>
              <w:spacing w:after="0"/>
              <w:rPr>
                <w:sz w:val="20"/>
                <w:szCs w:val="20"/>
                <w:color w:val="auto"/>
              </w:rPr>
            </w:pPr>
            <w:r>
              <w:rPr>
                <w:rFonts w:ascii="Arial" w:cs="Arial" w:eastAsia="Arial" w:hAnsi="Arial"/>
                <w:sz w:val="13"/>
                <w:szCs w:val="13"/>
                <w:b w:val="1"/>
                <w:bCs w:val="1"/>
                <w:color w:val="auto"/>
              </w:rPr>
              <w:t>Board’s Voting</w:t>
            </w:r>
          </w:p>
        </w:tc>
        <w:tc>
          <w:tcPr>
            <w:tcW w:w="180" w:type="dxa"/>
            <w:vAlign w:val="bottom"/>
          </w:tcPr>
          <w:p>
            <w:pPr>
              <w:spacing w:after="0"/>
              <w:rPr>
                <w:sz w:val="24"/>
                <w:szCs w:val="24"/>
                <w:color w:val="auto"/>
              </w:rPr>
            </w:pPr>
          </w:p>
        </w:tc>
      </w:tr>
      <w:tr>
        <w:trPr>
          <w:trHeight w:val="148"/>
        </w:trPr>
        <w:tc>
          <w:tcPr>
            <w:tcW w:w="3440" w:type="dxa"/>
            <w:vAlign w:val="bottom"/>
            <w:gridSpan w:val="5"/>
          </w:tcPr>
          <w:p>
            <w:pPr>
              <w:ind w:left="100"/>
              <w:spacing w:after="0" w:line="149" w:lineRule="exact"/>
              <w:rPr>
                <w:sz w:val="20"/>
                <w:szCs w:val="20"/>
                <w:color w:val="auto"/>
              </w:rPr>
            </w:pPr>
            <w:r>
              <w:rPr>
                <w:rFonts w:ascii="Arial" w:cs="Arial" w:eastAsia="Arial" w:hAnsi="Arial"/>
                <w:sz w:val="13"/>
                <w:szCs w:val="13"/>
                <w:b w:val="1"/>
                <w:bCs w:val="1"/>
                <w:color w:val="auto"/>
              </w:rPr>
              <w:t>Proposal</w:t>
            </w:r>
          </w:p>
        </w:tc>
        <w:tc>
          <w:tcPr>
            <w:tcW w:w="500" w:type="dxa"/>
            <w:vAlign w:val="bottom"/>
          </w:tcPr>
          <w:p>
            <w:pPr>
              <w:spacing w:after="0"/>
              <w:rPr>
                <w:sz w:val="12"/>
                <w:szCs w:val="12"/>
                <w:color w:val="auto"/>
              </w:rPr>
            </w:pPr>
          </w:p>
        </w:tc>
        <w:tc>
          <w:tcPr>
            <w:tcW w:w="1140" w:type="dxa"/>
            <w:vAlign w:val="bottom"/>
            <w:gridSpan w:val="5"/>
          </w:tcPr>
          <w:p>
            <w:pPr>
              <w:ind w:left="260"/>
              <w:spacing w:after="0" w:line="149" w:lineRule="exact"/>
              <w:rPr>
                <w:sz w:val="20"/>
                <w:szCs w:val="20"/>
                <w:color w:val="auto"/>
              </w:rPr>
            </w:pPr>
            <w:r>
              <w:rPr>
                <w:rFonts w:ascii="Arial" w:cs="Arial" w:eastAsia="Arial" w:hAnsi="Arial"/>
                <w:sz w:val="13"/>
                <w:szCs w:val="13"/>
                <w:b w:val="1"/>
                <w:bCs w:val="1"/>
                <w:color w:val="auto"/>
              </w:rPr>
              <w:t>See Page</w:t>
            </w:r>
          </w:p>
        </w:tc>
        <w:tc>
          <w:tcPr>
            <w:tcW w:w="3440" w:type="dxa"/>
            <w:vAlign w:val="bottom"/>
            <w:gridSpan w:val="3"/>
          </w:tcPr>
          <w:p>
            <w:pPr>
              <w:ind w:left="420"/>
              <w:spacing w:after="0" w:line="149" w:lineRule="exact"/>
              <w:rPr>
                <w:sz w:val="20"/>
                <w:szCs w:val="20"/>
                <w:color w:val="auto"/>
              </w:rPr>
            </w:pPr>
            <w:r>
              <w:rPr>
                <w:rFonts w:ascii="Arial" w:cs="Arial" w:eastAsia="Arial" w:hAnsi="Arial"/>
                <w:sz w:val="13"/>
                <w:szCs w:val="13"/>
                <w:b w:val="1"/>
                <w:bCs w:val="1"/>
                <w:color w:val="auto"/>
              </w:rPr>
              <w:t>Required Vote (See “Voting” on page 6)</w:t>
            </w:r>
          </w:p>
        </w:tc>
        <w:tc>
          <w:tcPr>
            <w:tcW w:w="2540" w:type="dxa"/>
            <w:vAlign w:val="bottom"/>
          </w:tcPr>
          <w:p>
            <w:pPr>
              <w:jc w:val="center"/>
              <w:ind w:left="54"/>
              <w:spacing w:after="0" w:line="149" w:lineRule="exact"/>
              <w:rPr>
                <w:sz w:val="20"/>
                <w:szCs w:val="20"/>
                <w:color w:val="auto"/>
              </w:rPr>
            </w:pPr>
            <w:r>
              <w:rPr>
                <w:rFonts w:ascii="Arial" w:cs="Arial" w:eastAsia="Arial" w:hAnsi="Arial"/>
                <w:sz w:val="13"/>
                <w:szCs w:val="13"/>
                <w:b w:val="1"/>
                <w:bCs w:val="1"/>
                <w:color w:val="auto"/>
              </w:rPr>
              <w:t>Recommendation</w:t>
            </w:r>
          </w:p>
        </w:tc>
        <w:tc>
          <w:tcPr>
            <w:tcW w:w="180" w:type="dxa"/>
            <w:vAlign w:val="bottom"/>
          </w:tcPr>
          <w:p>
            <w:pPr>
              <w:spacing w:after="0"/>
              <w:rPr>
                <w:sz w:val="12"/>
                <w:szCs w:val="12"/>
                <w:color w:val="auto"/>
              </w:rPr>
            </w:pPr>
          </w:p>
        </w:tc>
      </w:tr>
      <w:tr>
        <w:trPr>
          <w:trHeight w:val="81"/>
        </w:trPr>
        <w:tc>
          <w:tcPr>
            <w:tcW w:w="2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r>
      <w:tr>
        <w:trPr>
          <w:trHeight w:val="220"/>
        </w:trPr>
        <w:tc>
          <w:tcPr>
            <w:tcW w:w="220" w:type="dxa"/>
            <w:vAlign w:val="bottom"/>
            <w:shd w:val="clear" w:color="auto" w:fill="F3F3F4"/>
          </w:tcPr>
          <w:p>
            <w:pPr>
              <w:ind w:left="100"/>
              <w:spacing w:after="0"/>
              <w:rPr>
                <w:sz w:val="20"/>
                <w:szCs w:val="20"/>
                <w:color w:val="auto"/>
              </w:rPr>
            </w:pPr>
            <w:r>
              <w:rPr>
                <w:rFonts w:ascii="Arial" w:cs="Arial" w:eastAsia="Arial" w:hAnsi="Arial"/>
                <w:sz w:val="13"/>
                <w:szCs w:val="13"/>
                <w:b w:val="1"/>
                <w:bCs w:val="1"/>
                <w:color w:val="auto"/>
                <w:w w:val="91"/>
              </w:rPr>
              <w:t>1.</w:t>
            </w:r>
          </w:p>
        </w:tc>
        <w:tc>
          <w:tcPr>
            <w:tcW w:w="3220" w:type="dxa"/>
            <w:vAlign w:val="bottom"/>
            <w:gridSpan w:val="4"/>
            <w:shd w:val="clear" w:color="auto" w:fill="F3F3F4"/>
          </w:tcPr>
          <w:p>
            <w:pPr>
              <w:ind w:left="20"/>
              <w:spacing w:after="0"/>
              <w:rPr>
                <w:sz w:val="20"/>
                <w:szCs w:val="20"/>
                <w:color w:val="auto"/>
              </w:rPr>
            </w:pPr>
            <w:r>
              <w:rPr>
                <w:rFonts w:ascii="Arial" w:cs="Arial" w:eastAsia="Arial" w:hAnsi="Arial"/>
                <w:sz w:val="13"/>
                <w:szCs w:val="13"/>
                <w:b w:val="1"/>
                <w:bCs w:val="1"/>
                <w:color w:val="auto"/>
              </w:rPr>
              <w:t>Election of Directors</w:t>
            </w:r>
          </w:p>
        </w:tc>
        <w:tc>
          <w:tcPr>
            <w:tcW w:w="500" w:type="dxa"/>
            <w:vAlign w:val="bottom"/>
            <w:shd w:val="clear" w:color="auto" w:fill="F3F3F4"/>
          </w:tcPr>
          <w:p>
            <w:pPr>
              <w:spacing w:after="0"/>
              <w:rPr>
                <w:sz w:val="19"/>
                <w:szCs w:val="19"/>
                <w:color w:val="auto"/>
              </w:rPr>
            </w:pPr>
          </w:p>
        </w:tc>
        <w:tc>
          <w:tcPr>
            <w:tcW w:w="640" w:type="dxa"/>
            <w:vAlign w:val="bottom"/>
            <w:gridSpan w:val="4"/>
            <w:shd w:val="clear" w:color="auto" w:fill="F3F3F4"/>
          </w:tcPr>
          <w:p>
            <w:pPr>
              <w:jc w:val="center"/>
              <w:ind w:left="413"/>
              <w:spacing w:after="0"/>
              <w:rPr>
                <w:sz w:val="20"/>
                <w:szCs w:val="20"/>
                <w:color w:val="auto"/>
              </w:rPr>
            </w:pPr>
            <w:r>
              <w:rPr>
                <w:rFonts w:ascii="Arial" w:cs="Arial" w:eastAsia="Arial" w:hAnsi="Arial"/>
                <w:sz w:val="13"/>
                <w:szCs w:val="13"/>
                <w:color w:val="auto"/>
              </w:rPr>
              <w:t>8</w:t>
            </w:r>
          </w:p>
        </w:tc>
        <w:tc>
          <w:tcPr>
            <w:tcW w:w="500" w:type="dxa"/>
            <w:vAlign w:val="bottom"/>
            <w:shd w:val="clear" w:color="auto" w:fill="F3F3F4"/>
          </w:tcPr>
          <w:p>
            <w:pPr>
              <w:spacing w:after="0"/>
              <w:rPr>
                <w:sz w:val="19"/>
                <w:szCs w:val="19"/>
                <w:color w:val="auto"/>
              </w:rPr>
            </w:pPr>
          </w:p>
        </w:tc>
        <w:tc>
          <w:tcPr>
            <w:tcW w:w="3440" w:type="dxa"/>
            <w:vAlign w:val="bottom"/>
            <w:gridSpan w:val="3"/>
            <w:shd w:val="clear" w:color="auto" w:fill="F3F3F4"/>
          </w:tcPr>
          <w:p>
            <w:pPr>
              <w:ind w:left="80"/>
              <w:spacing w:after="0"/>
              <w:rPr>
                <w:sz w:val="20"/>
                <w:szCs w:val="20"/>
                <w:color w:val="auto"/>
              </w:rPr>
            </w:pPr>
            <w:r>
              <w:rPr>
                <w:rFonts w:ascii="Arial" w:cs="Arial" w:eastAsia="Arial" w:hAnsi="Arial"/>
                <w:sz w:val="13"/>
                <w:szCs w:val="13"/>
                <w:color w:val="auto"/>
              </w:rPr>
              <w:t>To be elected, a nominee must receive a majority of</w:t>
            </w:r>
          </w:p>
        </w:tc>
        <w:tc>
          <w:tcPr>
            <w:tcW w:w="2540" w:type="dxa"/>
            <w:vAlign w:val="bottom"/>
            <w:shd w:val="clear" w:color="auto" w:fill="F3F3F4"/>
          </w:tcPr>
          <w:p>
            <w:pPr>
              <w:jc w:val="center"/>
              <w:ind w:left="34"/>
              <w:spacing w:after="0"/>
              <w:rPr>
                <w:sz w:val="20"/>
                <w:szCs w:val="20"/>
                <w:color w:val="auto"/>
              </w:rPr>
            </w:pPr>
            <w:r>
              <w:rPr>
                <w:rFonts w:ascii="Arial" w:cs="Arial" w:eastAsia="Arial" w:hAnsi="Arial"/>
                <w:sz w:val="13"/>
                <w:szCs w:val="13"/>
                <w:b w:val="1"/>
                <w:bCs w:val="1"/>
                <w:color w:val="auto"/>
              </w:rPr>
              <w:t>FOR</w:t>
            </w:r>
          </w:p>
        </w:tc>
        <w:tc>
          <w:tcPr>
            <w:tcW w:w="180" w:type="dxa"/>
            <w:vAlign w:val="bottom"/>
            <w:shd w:val="clear" w:color="auto" w:fill="F3F3F4"/>
          </w:tcPr>
          <w:p>
            <w:pPr>
              <w:spacing w:after="0"/>
              <w:rPr>
                <w:sz w:val="19"/>
                <w:szCs w:val="19"/>
                <w:color w:val="auto"/>
              </w:rPr>
            </w:pPr>
          </w:p>
        </w:tc>
      </w:tr>
      <w:tr>
        <w:trPr>
          <w:trHeight w:val="169"/>
        </w:trPr>
        <w:tc>
          <w:tcPr>
            <w:tcW w:w="220" w:type="dxa"/>
            <w:vAlign w:val="bottom"/>
            <w:tcBorders>
              <w:top w:val="single" w:sz="8" w:color="F3F3F4"/>
            </w:tcBorders>
            <w:shd w:val="clear" w:color="auto" w:fill="F3F3F4"/>
          </w:tcPr>
          <w:p>
            <w:pPr>
              <w:spacing w:after="0"/>
              <w:rPr>
                <w:sz w:val="14"/>
                <w:szCs w:val="14"/>
                <w:color w:val="auto"/>
              </w:rPr>
            </w:pPr>
          </w:p>
        </w:tc>
        <w:tc>
          <w:tcPr>
            <w:tcW w:w="360" w:type="dxa"/>
            <w:vAlign w:val="bottom"/>
            <w:tcBorders>
              <w:top w:val="single" w:sz="8" w:color="F3F3F4"/>
            </w:tcBorders>
            <w:shd w:val="clear" w:color="auto" w:fill="F3F3F4"/>
          </w:tcPr>
          <w:p>
            <w:pPr>
              <w:spacing w:after="0"/>
              <w:rPr>
                <w:sz w:val="14"/>
                <w:szCs w:val="14"/>
                <w:color w:val="auto"/>
              </w:rPr>
            </w:pPr>
          </w:p>
        </w:tc>
        <w:tc>
          <w:tcPr>
            <w:tcW w:w="1660" w:type="dxa"/>
            <w:vAlign w:val="bottom"/>
            <w:tcBorders>
              <w:top w:val="single" w:sz="8" w:color="F3F3F4"/>
            </w:tcBorders>
            <w:shd w:val="clear" w:color="auto" w:fill="F3F3F4"/>
          </w:tcPr>
          <w:p>
            <w:pPr>
              <w:spacing w:after="0"/>
              <w:rPr>
                <w:sz w:val="14"/>
                <w:szCs w:val="14"/>
                <w:color w:val="auto"/>
              </w:rPr>
            </w:pPr>
          </w:p>
        </w:tc>
        <w:tc>
          <w:tcPr>
            <w:tcW w:w="580" w:type="dxa"/>
            <w:vAlign w:val="bottom"/>
            <w:tcBorders>
              <w:top w:val="single" w:sz="8" w:color="F3F3F4"/>
            </w:tcBorders>
            <w:shd w:val="clear" w:color="auto" w:fill="F3F3F4"/>
          </w:tcPr>
          <w:p>
            <w:pPr>
              <w:spacing w:after="0"/>
              <w:rPr>
                <w:sz w:val="14"/>
                <w:szCs w:val="14"/>
                <w:color w:val="auto"/>
              </w:rPr>
            </w:pPr>
          </w:p>
        </w:tc>
        <w:tc>
          <w:tcPr>
            <w:tcW w:w="620" w:type="dxa"/>
            <w:vAlign w:val="bottom"/>
            <w:tcBorders>
              <w:top w:val="single" w:sz="8" w:color="F3F3F4"/>
            </w:tcBorders>
            <w:shd w:val="clear" w:color="auto" w:fill="F3F3F4"/>
          </w:tcPr>
          <w:p>
            <w:pPr>
              <w:spacing w:after="0"/>
              <w:rPr>
                <w:sz w:val="14"/>
                <w:szCs w:val="14"/>
                <w:color w:val="auto"/>
              </w:rPr>
            </w:pPr>
          </w:p>
        </w:tc>
        <w:tc>
          <w:tcPr>
            <w:tcW w:w="500" w:type="dxa"/>
            <w:vAlign w:val="bottom"/>
            <w:tcBorders>
              <w:top w:val="single" w:sz="8" w:color="F3F3F4"/>
            </w:tcBorders>
            <w:shd w:val="clear" w:color="auto" w:fill="F3F3F4"/>
          </w:tcPr>
          <w:p>
            <w:pPr>
              <w:spacing w:after="0"/>
              <w:rPr>
                <w:sz w:val="14"/>
                <w:szCs w:val="14"/>
                <w:color w:val="auto"/>
              </w:rPr>
            </w:pPr>
          </w:p>
        </w:tc>
        <w:tc>
          <w:tcPr>
            <w:tcW w:w="500" w:type="dxa"/>
            <w:vAlign w:val="bottom"/>
            <w:tcBorders>
              <w:top w:val="single" w:sz="8" w:color="F3F3F4"/>
            </w:tcBorders>
            <w:shd w:val="clear" w:color="auto" w:fill="F3F3F4"/>
          </w:tcPr>
          <w:p>
            <w:pPr>
              <w:spacing w:after="0"/>
              <w:rPr>
                <w:sz w:val="14"/>
                <w:szCs w:val="14"/>
                <w:color w:val="auto"/>
              </w:rPr>
            </w:pPr>
          </w:p>
        </w:tc>
        <w:tc>
          <w:tcPr>
            <w:tcW w:w="20" w:type="dxa"/>
            <w:vAlign w:val="bottom"/>
            <w:tcBorders>
              <w:top w:val="single" w:sz="8" w:color="F3F3F4"/>
            </w:tcBorders>
            <w:shd w:val="clear" w:color="auto" w:fill="F3F3F4"/>
          </w:tcPr>
          <w:p>
            <w:pPr>
              <w:spacing w:after="0"/>
              <w:rPr>
                <w:sz w:val="14"/>
                <w:szCs w:val="14"/>
                <w:color w:val="auto"/>
              </w:rPr>
            </w:pPr>
          </w:p>
        </w:tc>
        <w:tc>
          <w:tcPr>
            <w:tcW w:w="80" w:type="dxa"/>
            <w:vAlign w:val="bottom"/>
            <w:tcBorders>
              <w:top w:val="single" w:sz="8" w:color="auto"/>
            </w:tcBorders>
            <w:shd w:val="clear" w:color="auto" w:fill="F3F3F4"/>
          </w:tcPr>
          <w:p>
            <w:pPr>
              <w:spacing w:after="0"/>
              <w:rPr>
                <w:sz w:val="14"/>
                <w:szCs w:val="14"/>
                <w:color w:val="auto"/>
              </w:rPr>
            </w:pPr>
          </w:p>
        </w:tc>
        <w:tc>
          <w:tcPr>
            <w:tcW w:w="40" w:type="dxa"/>
            <w:vAlign w:val="bottom"/>
            <w:tcBorders>
              <w:top w:val="single" w:sz="8" w:color="F3F3F4"/>
            </w:tcBorders>
            <w:shd w:val="clear" w:color="auto" w:fill="F3F3F4"/>
          </w:tcPr>
          <w:p>
            <w:pPr>
              <w:spacing w:after="0"/>
              <w:rPr>
                <w:sz w:val="14"/>
                <w:szCs w:val="14"/>
                <w:color w:val="auto"/>
              </w:rPr>
            </w:pPr>
          </w:p>
        </w:tc>
        <w:tc>
          <w:tcPr>
            <w:tcW w:w="500" w:type="dxa"/>
            <w:vAlign w:val="bottom"/>
            <w:tcBorders>
              <w:top w:val="single" w:sz="8" w:color="F3F3F4"/>
            </w:tcBorders>
            <w:shd w:val="clear" w:color="auto" w:fill="F3F3F4"/>
          </w:tcPr>
          <w:p>
            <w:pPr>
              <w:spacing w:after="0"/>
              <w:rPr>
                <w:sz w:val="14"/>
                <w:szCs w:val="14"/>
                <w:color w:val="auto"/>
              </w:rPr>
            </w:pPr>
          </w:p>
        </w:tc>
        <w:tc>
          <w:tcPr>
            <w:tcW w:w="3440" w:type="dxa"/>
            <w:vAlign w:val="bottom"/>
            <w:tcBorders>
              <w:top w:val="single" w:sz="8" w:color="F3F3F4"/>
            </w:tcBorders>
            <w:gridSpan w:val="3"/>
            <w:shd w:val="clear" w:color="auto" w:fill="F3F3F4"/>
          </w:tcPr>
          <w:p>
            <w:pPr>
              <w:ind w:left="80"/>
              <w:spacing w:after="0"/>
              <w:rPr>
                <w:sz w:val="20"/>
                <w:szCs w:val="20"/>
                <w:color w:val="auto"/>
              </w:rPr>
            </w:pPr>
            <w:r>
              <w:rPr>
                <w:rFonts w:ascii="Arial" w:cs="Arial" w:eastAsia="Arial" w:hAnsi="Arial"/>
                <w:sz w:val="13"/>
                <w:szCs w:val="13"/>
                <w:color w:val="auto"/>
              </w:rPr>
              <w:t>the votes cast</w:t>
            </w:r>
          </w:p>
        </w:tc>
        <w:tc>
          <w:tcPr>
            <w:tcW w:w="2540" w:type="dxa"/>
            <w:vAlign w:val="bottom"/>
            <w:tcBorders>
              <w:top w:val="single" w:sz="8" w:color="F3F3F4"/>
            </w:tcBorders>
            <w:shd w:val="clear" w:color="auto" w:fill="F3F3F4"/>
          </w:tcPr>
          <w:p>
            <w:pPr>
              <w:jc w:val="center"/>
              <w:ind w:left="34"/>
              <w:spacing w:after="0"/>
              <w:rPr>
                <w:sz w:val="20"/>
                <w:szCs w:val="20"/>
                <w:color w:val="auto"/>
              </w:rPr>
            </w:pPr>
            <w:r>
              <w:rPr>
                <w:rFonts w:ascii="Arial" w:cs="Arial" w:eastAsia="Arial" w:hAnsi="Arial"/>
                <w:sz w:val="13"/>
                <w:szCs w:val="13"/>
                <w:b w:val="1"/>
                <w:bCs w:val="1"/>
                <w:color w:val="auto"/>
              </w:rPr>
              <w:t>each director nominee</w:t>
            </w:r>
          </w:p>
        </w:tc>
        <w:tc>
          <w:tcPr>
            <w:tcW w:w="180" w:type="dxa"/>
            <w:vAlign w:val="bottom"/>
            <w:tcBorders>
              <w:top w:val="single" w:sz="8" w:color="F3F3F4"/>
            </w:tcBorders>
            <w:shd w:val="clear" w:color="auto" w:fill="F3F3F4"/>
          </w:tcPr>
          <w:p>
            <w:pPr>
              <w:spacing w:after="0"/>
              <w:rPr>
                <w:sz w:val="14"/>
                <w:szCs w:val="14"/>
                <w:color w:val="auto"/>
              </w:rPr>
            </w:pPr>
          </w:p>
        </w:tc>
      </w:tr>
      <w:tr>
        <w:trPr>
          <w:trHeight w:val="64"/>
        </w:trPr>
        <w:tc>
          <w:tcPr>
            <w:tcW w:w="220" w:type="dxa"/>
            <w:vAlign w:val="bottom"/>
            <w:tcBorders>
              <w:bottom w:val="single" w:sz="8" w:color="808080"/>
            </w:tcBorders>
            <w:shd w:val="clear" w:color="auto" w:fill="F3F3F4"/>
          </w:tcPr>
          <w:p>
            <w:pPr>
              <w:spacing w:after="0"/>
              <w:rPr>
                <w:sz w:val="5"/>
                <w:szCs w:val="5"/>
                <w:color w:val="auto"/>
              </w:rPr>
            </w:pPr>
          </w:p>
        </w:tc>
        <w:tc>
          <w:tcPr>
            <w:tcW w:w="360" w:type="dxa"/>
            <w:vAlign w:val="bottom"/>
            <w:tcBorders>
              <w:bottom w:val="single" w:sz="8" w:color="808080"/>
            </w:tcBorders>
            <w:shd w:val="clear" w:color="auto" w:fill="F3F3F4"/>
          </w:tcPr>
          <w:p>
            <w:pPr>
              <w:spacing w:after="0"/>
              <w:rPr>
                <w:sz w:val="5"/>
                <w:szCs w:val="5"/>
                <w:color w:val="auto"/>
              </w:rPr>
            </w:pPr>
          </w:p>
        </w:tc>
        <w:tc>
          <w:tcPr>
            <w:tcW w:w="1660" w:type="dxa"/>
            <w:vAlign w:val="bottom"/>
            <w:tcBorders>
              <w:bottom w:val="single" w:sz="8" w:color="808080"/>
            </w:tcBorders>
            <w:shd w:val="clear" w:color="auto" w:fill="F3F3F4"/>
          </w:tcPr>
          <w:p>
            <w:pPr>
              <w:spacing w:after="0"/>
              <w:rPr>
                <w:sz w:val="5"/>
                <w:szCs w:val="5"/>
                <w:color w:val="auto"/>
              </w:rPr>
            </w:pPr>
          </w:p>
        </w:tc>
        <w:tc>
          <w:tcPr>
            <w:tcW w:w="1200" w:type="dxa"/>
            <w:vAlign w:val="bottom"/>
            <w:tcBorders>
              <w:bottom w:val="single" w:sz="8" w:color="808080"/>
            </w:tcBorders>
            <w:gridSpan w:val="2"/>
            <w:shd w:val="clear" w:color="auto" w:fill="F3F3F4"/>
          </w:tcPr>
          <w:p>
            <w:pPr>
              <w:spacing w:after="0"/>
              <w:rPr>
                <w:sz w:val="5"/>
                <w:szCs w:val="5"/>
                <w:color w:val="auto"/>
              </w:rPr>
            </w:pPr>
          </w:p>
        </w:tc>
        <w:tc>
          <w:tcPr>
            <w:tcW w:w="500" w:type="dxa"/>
            <w:vAlign w:val="bottom"/>
            <w:tcBorders>
              <w:bottom w:val="single" w:sz="8" w:color="808080"/>
            </w:tcBorders>
            <w:shd w:val="clear" w:color="auto" w:fill="F3F3F4"/>
          </w:tcPr>
          <w:p>
            <w:pPr>
              <w:spacing w:after="0"/>
              <w:rPr>
                <w:sz w:val="5"/>
                <w:szCs w:val="5"/>
                <w:color w:val="auto"/>
              </w:rPr>
            </w:pPr>
          </w:p>
        </w:tc>
        <w:tc>
          <w:tcPr>
            <w:tcW w:w="500" w:type="dxa"/>
            <w:vAlign w:val="bottom"/>
            <w:tcBorders>
              <w:bottom w:val="single" w:sz="8" w:color="808080"/>
            </w:tcBorders>
            <w:shd w:val="clear" w:color="auto" w:fill="F3F3F4"/>
          </w:tcPr>
          <w:p>
            <w:pPr>
              <w:spacing w:after="0"/>
              <w:rPr>
                <w:sz w:val="5"/>
                <w:szCs w:val="5"/>
                <w:color w:val="auto"/>
              </w:rPr>
            </w:pPr>
          </w:p>
        </w:tc>
        <w:tc>
          <w:tcPr>
            <w:tcW w:w="20" w:type="dxa"/>
            <w:vAlign w:val="bottom"/>
            <w:tcBorders>
              <w:bottom w:val="single" w:sz="8" w:color="808080"/>
            </w:tcBorders>
            <w:shd w:val="clear" w:color="auto" w:fill="F3F3F4"/>
          </w:tcPr>
          <w:p>
            <w:pPr>
              <w:spacing w:after="0"/>
              <w:rPr>
                <w:sz w:val="5"/>
                <w:szCs w:val="5"/>
                <w:color w:val="auto"/>
              </w:rPr>
            </w:pPr>
          </w:p>
        </w:tc>
        <w:tc>
          <w:tcPr>
            <w:tcW w:w="80" w:type="dxa"/>
            <w:vAlign w:val="bottom"/>
            <w:tcBorders>
              <w:bottom w:val="single" w:sz="8" w:color="808080"/>
            </w:tcBorders>
            <w:shd w:val="clear" w:color="auto" w:fill="F3F3F4"/>
          </w:tcPr>
          <w:p>
            <w:pPr>
              <w:spacing w:after="0"/>
              <w:rPr>
                <w:sz w:val="5"/>
                <w:szCs w:val="5"/>
                <w:color w:val="auto"/>
              </w:rPr>
            </w:pPr>
          </w:p>
        </w:tc>
        <w:tc>
          <w:tcPr>
            <w:tcW w:w="40" w:type="dxa"/>
            <w:vAlign w:val="bottom"/>
            <w:tcBorders>
              <w:bottom w:val="single" w:sz="8" w:color="808080"/>
            </w:tcBorders>
            <w:shd w:val="clear" w:color="auto" w:fill="F3F3F4"/>
          </w:tcPr>
          <w:p>
            <w:pPr>
              <w:spacing w:after="0"/>
              <w:rPr>
                <w:sz w:val="5"/>
                <w:szCs w:val="5"/>
                <w:color w:val="auto"/>
              </w:rPr>
            </w:pPr>
          </w:p>
        </w:tc>
        <w:tc>
          <w:tcPr>
            <w:tcW w:w="500" w:type="dxa"/>
            <w:vAlign w:val="bottom"/>
            <w:tcBorders>
              <w:bottom w:val="single" w:sz="8" w:color="808080"/>
            </w:tcBorders>
            <w:shd w:val="clear" w:color="auto" w:fill="F3F3F4"/>
          </w:tcPr>
          <w:p>
            <w:pPr>
              <w:spacing w:after="0"/>
              <w:rPr>
                <w:sz w:val="5"/>
                <w:szCs w:val="5"/>
                <w:color w:val="auto"/>
              </w:rPr>
            </w:pPr>
          </w:p>
        </w:tc>
        <w:tc>
          <w:tcPr>
            <w:tcW w:w="2460" w:type="dxa"/>
            <w:vAlign w:val="bottom"/>
            <w:tcBorders>
              <w:bottom w:val="single" w:sz="8" w:color="808080"/>
            </w:tcBorders>
            <w:shd w:val="clear" w:color="auto" w:fill="F3F3F4"/>
          </w:tcPr>
          <w:p>
            <w:pPr>
              <w:spacing w:after="0"/>
              <w:rPr>
                <w:sz w:val="5"/>
                <w:szCs w:val="5"/>
                <w:color w:val="auto"/>
              </w:rPr>
            </w:pPr>
          </w:p>
        </w:tc>
        <w:tc>
          <w:tcPr>
            <w:tcW w:w="440" w:type="dxa"/>
            <w:vAlign w:val="bottom"/>
            <w:tcBorders>
              <w:bottom w:val="single" w:sz="8" w:color="808080"/>
            </w:tcBorders>
            <w:shd w:val="clear" w:color="auto" w:fill="F3F3F4"/>
          </w:tcPr>
          <w:p>
            <w:pPr>
              <w:spacing w:after="0"/>
              <w:rPr>
                <w:sz w:val="5"/>
                <w:szCs w:val="5"/>
                <w:color w:val="auto"/>
              </w:rPr>
            </w:pPr>
          </w:p>
        </w:tc>
        <w:tc>
          <w:tcPr>
            <w:tcW w:w="540" w:type="dxa"/>
            <w:vAlign w:val="bottom"/>
            <w:tcBorders>
              <w:bottom w:val="single" w:sz="8" w:color="808080"/>
            </w:tcBorders>
            <w:shd w:val="clear" w:color="auto" w:fill="F3F3F4"/>
          </w:tcPr>
          <w:p>
            <w:pPr>
              <w:spacing w:after="0"/>
              <w:rPr>
                <w:sz w:val="5"/>
                <w:szCs w:val="5"/>
                <w:color w:val="auto"/>
              </w:rPr>
            </w:pPr>
          </w:p>
        </w:tc>
        <w:tc>
          <w:tcPr>
            <w:tcW w:w="2540" w:type="dxa"/>
            <w:vAlign w:val="bottom"/>
            <w:tcBorders>
              <w:bottom w:val="single" w:sz="8" w:color="808080"/>
            </w:tcBorders>
            <w:shd w:val="clear" w:color="auto" w:fill="F3F3F4"/>
          </w:tcPr>
          <w:p>
            <w:pPr>
              <w:spacing w:after="0"/>
              <w:rPr>
                <w:sz w:val="5"/>
                <w:szCs w:val="5"/>
                <w:color w:val="auto"/>
              </w:rPr>
            </w:pPr>
          </w:p>
        </w:tc>
        <w:tc>
          <w:tcPr>
            <w:tcW w:w="180" w:type="dxa"/>
            <w:vAlign w:val="bottom"/>
            <w:tcBorders>
              <w:bottom w:val="single" w:sz="8" w:color="808080"/>
            </w:tcBorders>
            <w:shd w:val="clear" w:color="auto" w:fill="F3F3F4"/>
          </w:tcPr>
          <w:p>
            <w:pPr>
              <w:spacing w:after="0"/>
              <w:rPr>
                <w:sz w:val="5"/>
                <w:szCs w:val="5"/>
                <w:color w:val="auto"/>
              </w:rPr>
            </w:pPr>
          </w:p>
        </w:tc>
      </w:tr>
      <w:tr>
        <w:trPr>
          <w:trHeight w:val="220"/>
        </w:trPr>
        <w:tc>
          <w:tcPr>
            <w:tcW w:w="220" w:type="dxa"/>
            <w:vAlign w:val="bottom"/>
            <w:shd w:val="clear" w:color="auto" w:fill="F3F3F4"/>
          </w:tcPr>
          <w:p>
            <w:pPr>
              <w:ind w:left="100"/>
              <w:spacing w:after="0"/>
              <w:rPr>
                <w:sz w:val="20"/>
                <w:szCs w:val="20"/>
                <w:color w:val="auto"/>
              </w:rPr>
            </w:pPr>
            <w:r>
              <w:rPr>
                <w:rFonts w:ascii="Arial" w:cs="Arial" w:eastAsia="Arial" w:hAnsi="Arial"/>
                <w:sz w:val="13"/>
                <w:szCs w:val="13"/>
                <w:b w:val="1"/>
                <w:bCs w:val="1"/>
                <w:color w:val="auto"/>
                <w:w w:val="91"/>
              </w:rPr>
              <w:t>2.</w:t>
            </w:r>
          </w:p>
        </w:tc>
        <w:tc>
          <w:tcPr>
            <w:tcW w:w="3220" w:type="dxa"/>
            <w:vAlign w:val="bottom"/>
            <w:gridSpan w:val="4"/>
            <w:shd w:val="clear" w:color="auto" w:fill="F3F3F4"/>
          </w:tcPr>
          <w:p>
            <w:pPr>
              <w:ind w:left="20"/>
              <w:spacing w:after="0"/>
              <w:rPr>
                <w:sz w:val="20"/>
                <w:szCs w:val="20"/>
                <w:color w:val="auto"/>
              </w:rPr>
            </w:pPr>
            <w:r>
              <w:rPr>
                <w:rFonts w:ascii="Arial" w:cs="Arial" w:eastAsia="Arial" w:hAnsi="Arial"/>
                <w:sz w:val="13"/>
                <w:szCs w:val="13"/>
                <w:b w:val="1"/>
                <w:bCs w:val="1"/>
                <w:color w:val="auto"/>
              </w:rPr>
              <w:t>Say on Pay – Advisory Vote to Approve Executive</w:t>
            </w:r>
          </w:p>
        </w:tc>
        <w:tc>
          <w:tcPr>
            <w:tcW w:w="500" w:type="dxa"/>
            <w:vAlign w:val="bottom"/>
            <w:shd w:val="clear" w:color="auto" w:fill="F3F3F4"/>
          </w:tcPr>
          <w:p>
            <w:pPr>
              <w:spacing w:after="0"/>
              <w:rPr>
                <w:sz w:val="19"/>
                <w:szCs w:val="19"/>
                <w:color w:val="auto"/>
              </w:rPr>
            </w:pPr>
          </w:p>
        </w:tc>
        <w:tc>
          <w:tcPr>
            <w:tcW w:w="1140" w:type="dxa"/>
            <w:vAlign w:val="bottom"/>
            <w:gridSpan w:val="5"/>
            <w:shd w:val="clear" w:color="auto" w:fill="F3F3F4"/>
          </w:tcPr>
          <w:p>
            <w:pPr>
              <w:jc w:val="center"/>
              <w:spacing w:after="0"/>
              <w:rPr>
                <w:sz w:val="20"/>
                <w:szCs w:val="20"/>
                <w:color w:val="auto"/>
              </w:rPr>
            </w:pPr>
            <w:r>
              <w:rPr>
                <w:rFonts w:ascii="Arial" w:cs="Arial" w:eastAsia="Arial" w:hAnsi="Arial"/>
                <w:sz w:val="13"/>
                <w:szCs w:val="13"/>
                <w:color w:val="auto"/>
                <w:w w:val="96"/>
              </w:rPr>
              <w:t>23</w:t>
            </w:r>
          </w:p>
        </w:tc>
        <w:tc>
          <w:tcPr>
            <w:tcW w:w="3440" w:type="dxa"/>
            <w:vAlign w:val="bottom"/>
            <w:gridSpan w:val="3"/>
            <w:shd w:val="clear" w:color="auto" w:fill="F3F3F4"/>
          </w:tcPr>
          <w:p>
            <w:pPr>
              <w:ind w:left="80"/>
              <w:spacing w:after="0"/>
              <w:rPr>
                <w:sz w:val="20"/>
                <w:szCs w:val="20"/>
                <w:color w:val="auto"/>
              </w:rPr>
            </w:pPr>
            <w:r>
              <w:rPr>
                <w:rFonts w:ascii="Arial" w:cs="Arial" w:eastAsia="Arial" w:hAnsi="Arial"/>
                <w:sz w:val="13"/>
                <w:szCs w:val="13"/>
                <w:color w:val="auto"/>
              </w:rPr>
              <w:t>To be approved, this proposal must receive a majority</w:t>
            </w:r>
          </w:p>
        </w:tc>
        <w:tc>
          <w:tcPr>
            <w:tcW w:w="2540" w:type="dxa"/>
            <w:vAlign w:val="bottom"/>
            <w:shd w:val="clear" w:color="auto" w:fill="F3F3F4"/>
          </w:tcPr>
          <w:p>
            <w:pPr>
              <w:jc w:val="center"/>
              <w:ind w:left="34"/>
              <w:spacing w:after="0"/>
              <w:rPr>
                <w:sz w:val="20"/>
                <w:szCs w:val="20"/>
                <w:color w:val="auto"/>
              </w:rPr>
            </w:pPr>
            <w:r>
              <w:rPr>
                <w:rFonts w:ascii="Arial" w:cs="Arial" w:eastAsia="Arial" w:hAnsi="Arial"/>
                <w:sz w:val="13"/>
                <w:szCs w:val="13"/>
                <w:b w:val="1"/>
                <w:bCs w:val="1"/>
                <w:color w:val="auto"/>
              </w:rPr>
              <w:t>FOR</w:t>
            </w:r>
          </w:p>
        </w:tc>
        <w:tc>
          <w:tcPr>
            <w:tcW w:w="180" w:type="dxa"/>
            <w:vAlign w:val="bottom"/>
            <w:shd w:val="clear" w:color="auto" w:fill="F3F3F4"/>
          </w:tcPr>
          <w:p>
            <w:pPr>
              <w:spacing w:after="0"/>
              <w:rPr>
                <w:sz w:val="19"/>
                <w:szCs w:val="19"/>
                <w:color w:val="auto"/>
              </w:rPr>
            </w:pPr>
          </w:p>
        </w:tc>
      </w:tr>
      <w:tr>
        <w:trPr>
          <w:trHeight w:val="169"/>
        </w:trPr>
        <w:tc>
          <w:tcPr>
            <w:tcW w:w="3440" w:type="dxa"/>
            <w:vAlign w:val="bottom"/>
            <w:tcBorders>
              <w:top w:val="single" w:sz="8" w:color="F3F3F4"/>
            </w:tcBorders>
            <w:gridSpan w:val="5"/>
            <w:shd w:val="clear" w:color="auto" w:fill="F3F3F4"/>
          </w:tcPr>
          <w:p>
            <w:pPr>
              <w:ind w:left="100"/>
              <w:spacing w:after="0"/>
              <w:rPr>
                <w:sz w:val="20"/>
                <w:szCs w:val="20"/>
                <w:color w:val="auto"/>
              </w:rPr>
            </w:pPr>
            <w:r>
              <w:rPr>
                <w:rFonts w:ascii="Arial" w:cs="Arial" w:eastAsia="Arial" w:hAnsi="Arial"/>
                <w:sz w:val="13"/>
                <w:szCs w:val="13"/>
                <w:b w:val="1"/>
                <w:bCs w:val="1"/>
                <w:color w:val="auto"/>
              </w:rPr>
              <w:t>Compensation</w:t>
            </w:r>
          </w:p>
        </w:tc>
        <w:tc>
          <w:tcPr>
            <w:tcW w:w="500" w:type="dxa"/>
            <w:vAlign w:val="bottom"/>
            <w:tcBorders>
              <w:top w:val="single" w:sz="8" w:color="F3F3F4"/>
            </w:tcBorders>
            <w:shd w:val="clear" w:color="auto" w:fill="F3F3F4"/>
          </w:tcPr>
          <w:p>
            <w:pPr>
              <w:spacing w:after="0"/>
              <w:rPr>
                <w:sz w:val="14"/>
                <w:szCs w:val="14"/>
                <w:color w:val="auto"/>
              </w:rPr>
            </w:pPr>
          </w:p>
        </w:tc>
        <w:tc>
          <w:tcPr>
            <w:tcW w:w="500" w:type="dxa"/>
            <w:vAlign w:val="bottom"/>
            <w:tcBorders>
              <w:top w:val="single" w:sz="8" w:color="F3F3F4"/>
            </w:tcBorders>
            <w:shd w:val="clear" w:color="auto" w:fill="F3F3F4"/>
          </w:tcPr>
          <w:p>
            <w:pPr>
              <w:spacing w:after="0"/>
              <w:rPr>
                <w:sz w:val="14"/>
                <w:szCs w:val="14"/>
                <w:color w:val="auto"/>
              </w:rPr>
            </w:pPr>
          </w:p>
        </w:tc>
        <w:tc>
          <w:tcPr>
            <w:tcW w:w="20" w:type="dxa"/>
            <w:vAlign w:val="bottom"/>
            <w:tcBorders>
              <w:top w:val="single" w:sz="8" w:color="auto"/>
            </w:tcBorders>
            <w:shd w:val="clear" w:color="auto" w:fill="F3F3F4"/>
          </w:tcPr>
          <w:p>
            <w:pPr>
              <w:spacing w:after="0"/>
              <w:rPr>
                <w:sz w:val="14"/>
                <w:szCs w:val="14"/>
                <w:color w:val="auto"/>
              </w:rPr>
            </w:pPr>
          </w:p>
        </w:tc>
        <w:tc>
          <w:tcPr>
            <w:tcW w:w="80" w:type="dxa"/>
            <w:vAlign w:val="bottom"/>
            <w:tcBorders>
              <w:top w:val="single" w:sz="8" w:color="auto"/>
            </w:tcBorders>
            <w:shd w:val="clear" w:color="auto" w:fill="F3F3F4"/>
          </w:tcPr>
          <w:p>
            <w:pPr>
              <w:spacing w:after="0"/>
              <w:rPr>
                <w:sz w:val="14"/>
                <w:szCs w:val="14"/>
                <w:color w:val="auto"/>
              </w:rPr>
            </w:pPr>
          </w:p>
        </w:tc>
        <w:tc>
          <w:tcPr>
            <w:tcW w:w="40" w:type="dxa"/>
            <w:vAlign w:val="bottom"/>
            <w:tcBorders>
              <w:top w:val="single" w:sz="8" w:color="auto"/>
            </w:tcBorders>
            <w:shd w:val="clear" w:color="auto" w:fill="F3F3F4"/>
          </w:tcPr>
          <w:p>
            <w:pPr>
              <w:spacing w:after="0"/>
              <w:rPr>
                <w:sz w:val="14"/>
                <w:szCs w:val="14"/>
                <w:color w:val="auto"/>
              </w:rPr>
            </w:pPr>
          </w:p>
        </w:tc>
        <w:tc>
          <w:tcPr>
            <w:tcW w:w="500" w:type="dxa"/>
            <w:vAlign w:val="bottom"/>
            <w:tcBorders>
              <w:top w:val="single" w:sz="8" w:color="F3F3F4"/>
            </w:tcBorders>
            <w:shd w:val="clear" w:color="auto" w:fill="F3F3F4"/>
          </w:tcPr>
          <w:p>
            <w:pPr>
              <w:spacing w:after="0"/>
              <w:rPr>
                <w:sz w:val="14"/>
                <w:szCs w:val="14"/>
                <w:color w:val="auto"/>
              </w:rPr>
            </w:pPr>
          </w:p>
        </w:tc>
        <w:tc>
          <w:tcPr>
            <w:tcW w:w="3440" w:type="dxa"/>
            <w:vAlign w:val="bottom"/>
            <w:tcBorders>
              <w:top w:val="single" w:sz="8" w:color="F3F3F4"/>
            </w:tcBorders>
            <w:gridSpan w:val="3"/>
            <w:shd w:val="clear" w:color="auto" w:fill="F3F3F4"/>
          </w:tcPr>
          <w:p>
            <w:pPr>
              <w:ind w:left="80"/>
              <w:spacing w:after="0"/>
              <w:rPr>
                <w:sz w:val="20"/>
                <w:szCs w:val="20"/>
                <w:color w:val="auto"/>
              </w:rPr>
            </w:pPr>
            <w:r>
              <w:rPr>
                <w:rFonts w:ascii="Arial" w:cs="Arial" w:eastAsia="Arial" w:hAnsi="Arial"/>
                <w:sz w:val="13"/>
                <w:szCs w:val="13"/>
                <w:color w:val="auto"/>
              </w:rPr>
              <w:t>of the votes cast</w:t>
            </w:r>
          </w:p>
        </w:tc>
        <w:tc>
          <w:tcPr>
            <w:tcW w:w="2540" w:type="dxa"/>
            <w:vAlign w:val="bottom"/>
            <w:tcBorders>
              <w:top w:val="single" w:sz="8" w:color="F3F3F4"/>
            </w:tcBorders>
            <w:shd w:val="clear" w:color="auto" w:fill="F3F3F4"/>
          </w:tcPr>
          <w:p>
            <w:pPr>
              <w:spacing w:after="0"/>
              <w:rPr>
                <w:sz w:val="14"/>
                <w:szCs w:val="14"/>
                <w:color w:val="auto"/>
              </w:rPr>
            </w:pPr>
          </w:p>
        </w:tc>
        <w:tc>
          <w:tcPr>
            <w:tcW w:w="180" w:type="dxa"/>
            <w:vAlign w:val="bottom"/>
            <w:tcBorders>
              <w:top w:val="single" w:sz="8" w:color="F3F3F4"/>
            </w:tcBorders>
            <w:shd w:val="clear" w:color="auto" w:fill="F3F3F4"/>
          </w:tcPr>
          <w:p>
            <w:pPr>
              <w:spacing w:after="0"/>
              <w:rPr>
                <w:sz w:val="14"/>
                <w:szCs w:val="14"/>
                <w:color w:val="auto"/>
              </w:rPr>
            </w:pPr>
          </w:p>
        </w:tc>
      </w:tr>
      <w:tr>
        <w:trPr>
          <w:trHeight w:val="64"/>
        </w:trPr>
        <w:tc>
          <w:tcPr>
            <w:tcW w:w="220" w:type="dxa"/>
            <w:vAlign w:val="bottom"/>
            <w:tcBorders>
              <w:bottom w:val="single" w:sz="8" w:color="808080"/>
            </w:tcBorders>
            <w:shd w:val="clear" w:color="auto" w:fill="F3F3F4"/>
          </w:tcPr>
          <w:p>
            <w:pPr>
              <w:spacing w:after="0"/>
              <w:rPr>
                <w:sz w:val="5"/>
                <w:szCs w:val="5"/>
                <w:color w:val="auto"/>
              </w:rPr>
            </w:pPr>
          </w:p>
        </w:tc>
        <w:tc>
          <w:tcPr>
            <w:tcW w:w="360" w:type="dxa"/>
            <w:vAlign w:val="bottom"/>
            <w:tcBorders>
              <w:bottom w:val="single" w:sz="8" w:color="808080"/>
            </w:tcBorders>
            <w:shd w:val="clear" w:color="auto" w:fill="F3F3F4"/>
          </w:tcPr>
          <w:p>
            <w:pPr>
              <w:spacing w:after="0"/>
              <w:rPr>
                <w:sz w:val="5"/>
                <w:szCs w:val="5"/>
                <w:color w:val="auto"/>
              </w:rPr>
            </w:pPr>
          </w:p>
        </w:tc>
        <w:tc>
          <w:tcPr>
            <w:tcW w:w="1660" w:type="dxa"/>
            <w:vAlign w:val="bottom"/>
            <w:tcBorders>
              <w:bottom w:val="single" w:sz="8" w:color="808080"/>
            </w:tcBorders>
            <w:shd w:val="clear" w:color="auto" w:fill="F3F3F4"/>
          </w:tcPr>
          <w:p>
            <w:pPr>
              <w:spacing w:after="0"/>
              <w:rPr>
                <w:sz w:val="5"/>
                <w:szCs w:val="5"/>
                <w:color w:val="auto"/>
              </w:rPr>
            </w:pPr>
          </w:p>
        </w:tc>
        <w:tc>
          <w:tcPr>
            <w:tcW w:w="1700" w:type="dxa"/>
            <w:vAlign w:val="bottom"/>
            <w:tcBorders>
              <w:bottom w:val="single" w:sz="8" w:color="808080"/>
            </w:tcBorders>
            <w:gridSpan w:val="3"/>
            <w:shd w:val="clear" w:color="auto" w:fill="F3F3F4"/>
          </w:tcPr>
          <w:p>
            <w:pPr>
              <w:spacing w:after="0"/>
              <w:rPr>
                <w:sz w:val="5"/>
                <w:szCs w:val="5"/>
                <w:color w:val="auto"/>
              </w:rPr>
            </w:pPr>
          </w:p>
        </w:tc>
        <w:tc>
          <w:tcPr>
            <w:tcW w:w="500" w:type="dxa"/>
            <w:vAlign w:val="bottom"/>
            <w:tcBorders>
              <w:bottom w:val="single" w:sz="8" w:color="808080"/>
            </w:tcBorders>
            <w:shd w:val="clear" w:color="auto" w:fill="F3F3F4"/>
          </w:tcPr>
          <w:p>
            <w:pPr>
              <w:spacing w:after="0"/>
              <w:rPr>
                <w:sz w:val="5"/>
                <w:szCs w:val="5"/>
                <w:color w:val="auto"/>
              </w:rPr>
            </w:pPr>
          </w:p>
        </w:tc>
        <w:tc>
          <w:tcPr>
            <w:tcW w:w="20" w:type="dxa"/>
            <w:vAlign w:val="bottom"/>
            <w:tcBorders>
              <w:bottom w:val="single" w:sz="8" w:color="808080"/>
            </w:tcBorders>
            <w:shd w:val="clear" w:color="auto" w:fill="F3F3F4"/>
          </w:tcPr>
          <w:p>
            <w:pPr>
              <w:spacing w:after="0"/>
              <w:rPr>
                <w:sz w:val="5"/>
                <w:szCs w:val="5"/>
                <w:color w:val="auto"/>
              </w:rPr>
            </w:pPr>
          </w:p>
        </w:tc>
        <w:tc>
          <w:tcPr>
            <w:tcW w:w="80" w:type="dxa"/>
            <w:vAlign w:val="bottom"/>
            <w:tcBorders>
              <w:bottom w:val="single" w:sz="8" w:color="808080"/>
            </w:tcBorders>
            <w:shd w:val="clear" w:color="auto" w:fill="F3F3F4"/>
          </w:tcPr>
          <w:p>
            <w:pPr>
              <w:spacing w:after="0"/>
              <w:rPr>
                <w:sz w:val="5"/>
                <w:szCs w:val="5"/>
                <w:color w:val="auto"/>
              </w:rPr>
            </w:pPr>
          </w:p>
        </w:tc>
        <w:tc>
          <w:tcPr>
            <w:tcW w:w="40" w:type="dxa"/>
            <w:vAlign w:val="bottom"/>
            <w:tcBorders>
              <w:bottom w:val="single" w:sz="8" w:color="808080"/>
            </w:tcBorders>
            <w:shd w:val="clear" w:color="auto" w:fill="F3F3F4"/>
          </w:tcPr>
          <w:p>
            <w:pPr>
              <w:spacing w:after="0"/>
              <w:rPr>
                <w:sz w:val="5"/>
                <w:szCs w:val="5"/>
                <w:color w:val="auto"/>
              </w:rPr>
            </w:pPr>
          </w:p>
        </w:tc>
        <w:tc>
          <w:tcPr>
            <w:tcW w:w="500" w:type="dxa"/>
            <w:vAlign w:val="bottom"/>
            <w:tcBorders>
              <w:bottom w:val="single" w:sz="8" w:color="808080"/>
            </w:tcBorders>
            <w:shd w:val="clear" w:color="auto" w:fill="F3F3F4"/>
          </w:tcPr>
          <w:p>
            <w:pPr>
              <w:spacing w:after="0"/>
              <w:rPr>
                <w:sz w:val="5"/>
                <w:szCs w:val="5"/>
                <w:color w:val="auto"/>
              </w:rPr>
            </w:pPr>
          </w:p>
        </w:tc>
        <w:tc>
          <w:tcPr>
            <w:tcW w:w="2460" w:type="dxa"/>
            <w:vAlign w:val="bottom"/>
            <w:tcBorders>
              <w:bottom w:val="single" w:sz="8" w:color="808080"/>
            </w:tcBorders>
            <w:shd w:val="clear" w:color="auto" w:fill="F3F3F4"/>
          </w:tcPr>
          <w:p>
            <w:pPr>
              <w:spacing w:after="0"/>
              <w:rPr>
                <w:sz w:val="5"/>
                <w:szCs w:val="5"/>
                <w:color w:val="auto"/>
              </w:rPr>
            </w:pPr>
          </w:p>
        </w:tc>
        <w:tc>
          <w:tcPr>
            <w:tcW w:w="440" w:type="dxa"/>
            <w:vAlign w:val="bottom"/>
            <w:tcBorders>
              <w:bottom w:val="single" w:sz="8" w:color="808080"/>
            </w:tcBorders>
            <w:shd w:val="clear" w:color="auto" w:fill="F3F3F4"/>
          </w:tcPr>
          <w:p>
            <w:pPr>
              <w:spacing w:after="0"/>
              <w:rPr>
                <w:sz w:val="5"/>
                <w:szCs w:val="5"/>
                <w:color w:val="auto"/>
              </w:rPr>
            </w:pPr>
          </w:p>
        </w:tc>
        <w:tc>
          <w:tcPr>
            <w:tcW w:w="540" w:type="dxa"/>
            <w:vAlign w:val="bottom"/>
            <w:tcBorders>
              <w:bottom w:val="single" w:sz="8" w:color="808080"/>
            </w:tcBorders>
            <w:shd w:val="clear" w:color="auto" w:fill="F3F3F4"/>
          </w:tcPr>
          <w:p>
            <w:pPr>
              <w:spacing w:after="0"/>
              <w:rPr>
                <w:sz w:val="5"/>
                <w:szCs w:val="5"/>
                <w:color w:val="auto"/>
              </w:rPr>
            </w:pPr>
          </w:p>
        </w:tc>
        <w:tc>
          <w:tcPr>
            <w:tcW w:w="2540" w:type="dxa"/>
            <w:vAlign w:val="bottom"/>
            <w:tcBorders>
              <w:bottom w:val="single" w:sz="8" w:color="808080"/>
            </w:tcBorders>
            <w:shd w:val="clear" w:color="auto" w:fill="F3F3F4"/>
          </w:tcPr>
          <w:p>
            <w:pPr>
              <w:spacing w:after="0"/>
              <w:rPr>
                <w:sz w:val="5"/>
                <w:szCs w:val="5"/>
                <w:color w:val="auto"/>
              </w:rPr>
            </w:pPr>
          </w:p>
        </w:tc>
        <w:tc>
          <w:tcPr>
            <w:tcW w:w="180" w:type="dxa"/>
            <w:vAlign w:val="bottom"/>
            <w:tcBorders>
              <w:bottom w:val="single" w:sz="8" w:color="808080"/>
            </w:tcBorders>
            <w:shd w:val="clear" w:color="auto" w:fill="F3F3F4"/>
          </w:tcPr>
          <w:p>
            <w:pPr>
              <w:spacing w:after="0"/>
              <w:rPr>
                <w:sz w:val="5"/>
                <w:szCs w:val="5"/>
                <w:color w:val="auto"/>
              </w:rPr>
            </w:pPr>
          </w:p>
        </w:tc>
      </w:tr>
      <w:tr>
        <w:trPr>
          <w:trHeight w:val="220"/>
        </w:trPr>
        <w:tc>
          <w:tcPr>
            <w:tcW w:w="220" w:type="dxa"/>
            <w:vAlign w:val="bottom"/>
            <w:shd w:val="clear" w:color="auto" w:fill="F3F3F4"/>
          </w:tcPr>
          <w:p>
            <w:pPr>
              <w:ind w:left="100"/>
              <w:spacing w:after="0"/>
              <w:rPr>
                <w:sz w:val="20"/>
                <w:szCs w:val="20"/>
                <w:color w:val="auto"/>
              </w:rPr>
            </w:pPr>
            <w:r>
              <w:rPr>
                <w:rFonts w:ascii="Arial" w:cs="Arial" w:eastAsia="Arial" w:hAnsi="Arial"/>
                <w:sz w:val="13"/>
                <w:szCs w:val="13"/>
                <w:b w:val="1"/>
                <w:bCs w:val="1"/>
                <w:color w:val="auto"/>
                <w:w w:val="91"/>
              </w:rPr>
              <w:t>3.</w:t>
            </w:r>
          </w:p>
        </w:tc>
        <w:tc>
          <w:tcPr>
            <w:tcW w:w="3720" w:type="dxa"/>
            <w:vAlign w:val="bottom"/>
            <w:gridSpan w:val="5"/>
            <w:shd w:val="clear" w:color="auto" w:fill="F3F3F4"/>
          </w:tcPr>
          <w:p>
            <w:pPr>
              <w:ind w:left="20"/>
              <w:spacing w:after="0"/>
              <w:rPr>
                <w:sz w:val="20"/>
                <w:szCs w:val="20"/>
                <w:color w:val="auto"/>
              </w:rPr>
            </w:pPr>
            <w:r>
              <w:rPr>
                <w:rFonts w:ascii="Arial" w:cs="Arial" w:eastAsia="Arial" w:hAnsi="Arial"/>
                <w:sz w:val="13"/>
                <w:szCs w:val="13"/>
                <w:b w:val="1"/>
                <w:bCs w:val="1"/>
                <w:color w:val="auto"/>
              </w:rPr>
              <w:t>Ratification of Appointment of Independent Registered</w:t>
            </w:r>
          </w:p>
        </w:tc>
        <w:tc>
          <w:tcPr>
            <w:tcW w:w="1140" w:type="dxa"/>
            <w:vAlign w:val="bottom"/>
            <w:gridSpan w:val="5"/>
            <w:shd w:val="clear" w:color="auto" w:fill="F3F3F4"/>
          </w:tcPr>
          <w:p>
            <w:pPr>
              <w:jc w:val="center"/>
              <w:spacing w:after="0"/>
              <w:rPr>
                <w:sz w:val="20"/>
                <w:szCs w:val="20"/>
                <w:color w:val="auto"/>
              </w:rPr>
            </w:pPr>
            <w:r>
              <w:rPr>
                <w:rFonts w:ascii="Arial" w:cs="Arial" w:eastAsia="Arial" w:hAnsi="Arial"/>
                <w:sz w:val="13"/>
                <w:szCs w:val="13"/>
                <w:color w:val="auto"/>
                <w:w w:val="96"/>
              </w:rPr>
              <w:t>48</w:t>
            </w:r>
          </w:p>
        </w:tc>
        <w:tc>
          <w:tcPr>
            <w:tcW w:w="3440" w:type="dxa"/>
            <w:vAlign w:val="bottom"/>
            <w:gridSpan w:val="3"/>
            <w:shd w:val="clear" w:color="auto" w:fill="F3F3F4"/>
          </w:tcPr>
          <w:p>
            <w:pPr>
              <w:ind w:left="80"/>
              <w:spacing w:after="0"/>
              <w:rPr>
                <w:sz w:val="20"/>
                <w:szCs w:val="20"/>
                <w:color w:val="auto"/>
              </w:rPr>
            </w:pPr>
            <w:r>
              <w:rPr>
                <w:rFonts w:ascii="Arial" w:cs="Arial" w:eastAsia="Arial" w:hAnsi="Arial"/>
                <w:sz w:val="13"/>
                <w:szCs w:val="13"/>
                <w:color w:val="auto"/>
              </w:rPr>
              <w:t>To be approved, this proposal must receive a majority</w:t>
            </w:r>
          </w:p>
        </w:tc>
        <w:tc>
          <w:tcPr>
            <w:tcW w:w="2540" w:type="dxa"/>
            <w:vAlign w:val="bottom"/>
            <w:shd w:val="clear" w:color="auto" w:fill="F3F3F4"/>
          </w:tcPr>
          <w:p>
            <w:pPr>
              <w:jc w:val="center"/>
              <w:ind w:left="34"/>
              <w:spacing w:after="0"/>
              <w:rPr>
                <w:sz w:val="20"/>
                <w:szCs w:val="20"/>
                <w:color w:val="auto"/>
              </w:rPr>
            </w:pPr>
            <w:r>
              <w:rPr>
                <w:rFonts w:ascii="Arial" w:cs="Arial" w:eastAsia="Arial" w:hAnsi="Arial"/>
                <w:sz w:val="13"/>
                <w:szCs w:val="13"/>
                <w:b w:val="1"/>
                <w:bCs w:val="1"/>
                <w:color w:val="auto"/>
              </w:rPr>
              <w:t>FOR</w:t>
            </w:r>
          </w:p>
        </w:tc>
        <w:tc>
          <w:tcPr>
            <w:tcW w:w="180" w:type="dxa"/>
            <w:vAlign w:val="bottom"/>
            <w:shd w:val="clear" w:color="auto" w:fill="F3F3F4"/>
          </w:tcPr>
          <w:p>
            <w:pPr>
              <w:spacing w:after="0"/>
              <w:rPr>
                <w:sz w:val="19"/>
                <w:szCs w:val="19"/>
                <w:color w:val="auto"/>
              </w:rPr>
            </w:pPr>
          </w:p>
        </w:tc>
      </w:tr>
      <w:tr>
        <w:trPr>
          <w:trHeight w:val="169"/>
        </w:trPr>
        <w:tc>
          <w:tcPr>
            <w:tcW w:w="3440" w:type="dxa"/>
            <w:vAlign w:val="bottom"/>
            <w:tcBorders>
              <w:top w:val="single" w:sz="8" w:color="F3F3F4"/>
            </w:tcBorders>
            <w:gridSpan w:val="5"/>
            <w:shd w:val="clear" w:color="auto" w:fill="F3F3F4"/>
          </w:tcPr>
          <w:p>
            <w:pPr>
              <w:ind w:left="100"/>
              <w:spacing w:after="0"/>
              <w:rPr>
                <w:sz w:val="20"/>
                <w:szCs w:val="20"/>
                <w:color w:val="auto"/>
              </w:rPr>
            </w:pPr>
            <w:r>
              <w:rPr>
                <w:rFonts w:ascii="Arial" w:cs="Arial" w:eastAsia="Arial" w:hAnsi="Arial"/>
                <w:sz w:val="13"/>
                <w:szCs w:val="13"/>
                <w:b w:val="1"/>
                <w:bCs w:val="1"/>
                <w:color w:val="auto"/>
              </w:rPr>
              <w:t>Public Accounting Firm</w:t>
            </w:r>
          </w:p>
        </w:tc>
        <w:tc>
          <w:tcPr>
            <w:tcW w:w="500" w:type="dxa"/>
            <w:vAlign w:val="bottom"/>
            <w:tcBorders>
              <w:top w:val="single" w:sz="8" w:color="F3F3F4"/>
            </w:tcBorders>
            <w:shd w:val="clear" w:color="auto" w:fill="F3F3F4"/>
          </w:tcPr>
          <w:p>
            <w:pPr>
              <w:spacing w:after="0"/>
              <w:rPr>
                <w:sz w:val="14"/>
                <w:szCs w:val="14"/>
                <w:color w:val="auto"/>
              </w:rPr>
            </w:pPr>
          </w:p>
        </w:tc>
        <w:tc>
          <w:tcPr>
            <w:tcW w:w="500" w:type="dxa"/>
            <w:vAlign w:val="bottom"/>
            <w:tcBorders>
              <w:top w:val="single" w:sz="8" w:color="F3F3F4"/>
            </w:tcBorders>
            <w:shd w:val="clear" w:color="auto" w:fill="F3F3F4"/>
          </w:tcPr>
          <w:p>
            <w:pPr>
              <w:spacing w:after="0"/>
              <w:rPr>
                <w:sz w:val="14"/>
                <w:szCs w:val="14"/>
                <w:color w:val="auto"/>
              </w:rPr>
            </w:pPr>
          </w:p>
        </w:tc>
        <w:tc>
          <w:tcPr>
            <w:tcW w:w="20" w:type="dxa"/>
            <w:vAlign w:val="bottom"/>
            <w:tcBorders>
              <w:top w:val="single" w:sz="8" w:color="auto"/>
            </w:tcBorders>
            <w:shd w:val="clear" w:color="auto" w:fill="F3F3F4"/>
          </w:tcPr>
          <w:p>
            <w:pPr>
              <w:spacing w:after="0"/>
              <w:rPr>
                <w:sz w:val="14"/>
                <w:szCs w:val="14"/>
                <w:color w:val="auto"/>
              </w:rPr>
            </w:pPr>
          </w:p>
        </w:tc>
        <w:tc>
          <w:tcPr>
            <w:tcW w:w="80" w:type="dxa"/>
            <w:vAlign w:val="bottom"/>
            <w:tcBorders>
              <w:top w:val="single" w:sz="8" w:color="auto"/>
            </w:tcBorders>
            <w:shd w:val="clear" w:color="auto" w:fill="F3F3F4"/>
          </w:tcPr>
          <w:p>
            <w:pPr>
              <w:spacing w:after="0"/>
              <w:rPr>
                <w:sz w:val="14"/>
                <w:szCs w:val="14"/>
                <w:color w:val="auto"/>
              </w:rPr>
            </w:pPr>
          </w:p>
        </w:tc>
        <w:tc>
          <w:tcPr>
            <w:tcW w:w="40" w:type="dxa"/>
            <w:vAlign w:val="bottom"/>
            <w:tcBorders>
              <w:top w:val="single" w:sz="8" w:color="auto"/>
            </w:tcBorders>
            <w:shd w:val="clear" w:color="auto" w:fill="F3F3F4"/>
          </w:tcPr>
          <w:p>
            <w:pPr>
              <w:spacing w:after="0"/>
              <w:rPr>
                <w:sz w:val="14"/>
                <w:szCs w:val="14"/>
                <w:color w:val="auto"/>
              </w:rPr>
            </w:pPr>
          </w:p>
        </w:tc>
        <w:tc>
          <w:tcPr>
            <w:tcW w:w="500" w:type="dxa"/>
            <w:vAlign w:val="bottom"/>
            <w:tcBorders>
              <w:top w:val="single" w:sz="8" w:color="F3F3F4"/>
            </w:tcBorders>
            <w:shd w:val="clear" w:color="auto" w:fill="F3F3F4"/>
          </w:tcPr>
          <w:p>
            <w:pPr>
              <w:spacing w:after="0"/>
              <w:rPr>
                <w:sz w:val="14"/>
                <w:szCs w:val="14"/>
                <w:color w:val="auto"/>
              </w:rPr>
            </w:pPr>
          </w:p>
        </w:tc>
        <w:tc>
          <w:tcPr>
            <w:tcW w:w="3440" w:type="dxa"/>
            <w:vAlign w:val="bottom"/>
            <w:tcBorders>
              <w:top w:val="single" w:sz="8" w:color="F3F3F4"/>
            </w:tcBorders>
            <w:gridSpan w:val="3"/>
            <w:shd w:val="clear" w:color="auto" w:fill="F3F3F4"/>
          </w:tcPr>
          <w:p>
            <w:pPr>
              <w:ind w:left="80"/>
              <w:spacing w:after="0"/>
              <w:rPr>
                <w:sz w:val="20"/>
                <w:szCs w:val="20"/>
                <w:color w:val="auto"/>
              </w:rPr>
            </w:pPr>
            <w:r>
              <w:rPr>
                <w:rFonts w:ascii="Arial" w:cs="Arial" w:eastAsia="Arial" w:hAnsi="Arial"/>
                <w:sz w:val="13"/>
                <w:szCs w:val="13"/>
                <w:color w:val="auto"/>
              </w:rPr>
              <w:t>of the votes cast</w:t>
            </w:r>
          </w:p>
        </w:tc>
        <w:tc>
          <w:tcPr>
            <w:tcW w:w="2540" w:type="dxa"/>
            <w:vAlign w:val="bottom"/>
            <w:tcBorders>
              <w:top w:val="single" w:sz="8" w:color="F3F3F4"/>
            </w:tcBorders>
            <w:shd w:val="clear" w:color="auto" w:fill="F3F3F4"/>
          </w:tcPr>
          <w:p>
            <w:pPr>
              <w:spacing w:after="0"/>
              <w:rPr>
                <w:sz w:val="14"/>
                <w:szCs w:val="14"/>
                <w:color w:val="auto"/>
              </w:rPr>
            </w:pPr>
          </w:p>
        </w:tc>
        <w:tc>
          <w:tcPr>
            <w:tcW w:w="180" w:type="dxa"/>
            <w:vAlign w:val="bottom"/>
            <w:tcBorders>
              <w:top w:val="single" w:sz="8" w:color="F3F3F4"/>
            </w:tcBorders>
            <w:shd w:val="clear" w:color="auto" w:fill="F3F3F4"/>
          </w:tcPr>
          <w:p>
            <w:pPr>
              <w:spacing w:after="0"/>
              <w:rPr>
                <w:sz w:val="14"/>
                <w:szCs w:val="14"/>
                <w:color w:val="auto"/>
              </w:rPr>
            </w:pPr>
          </w:p>
        </w:tc>
      </w:tr>
      <w:tr>
        <w:trPr>
          <w:trHeight w:val="64"/>
        </w:trPr>
        <w:tc>
          <w:tcPr>
            <w:tcW w:w="580" w:type="dxa"/>
            <w:vAlign w:val="bottom"/>
            <w:tcBorders>
              <w:bottom w:val="single" w:sz="8" w:color="808080"/>
            </w:tcBorders>
            <w:gridSpan w:val="2"/>
            <w:shd w:val="clear" w:color="auto" w:fill="F3F3F4"/>
          </w:tcPr>
          <w:p>
            <w:pPr>
              <w:spacing w:after="0"/>
              <w:rPr>
                <w:sz w:val="5"/>
                <w:szCs w:val="5"/>
                <w:color w:val="auto"/>
              </w:rPr>
            </w:pPr>
          </w:p>
        </w:tc>
        <w:tc>
          <w:tcPr>
            <w:tcW w:w="1660" w:type="dxa"/>
            <w:vAlign w:val="bottom"/>
            <w:tcBorders>
              <w:bottom w:val="single" w:sz="8" w:color="808080"/>
            </w:tcBorders>
            <w:shd w:val="clear" w:color="auto" w:fill="F3F3F4"/>
          </w:tcPr>
          <w:p>
            <w:pPr>
              <w:spacing w:after="0"/>
              <w:rPr>
                <w:sz w:val="5"/>
                <w:szCs w:val="5"/>
                <w:color w:val="auto"/>
              </w:rPr>
            </w:pPr>
          </w:p>
        </w:tc>
        <w:tc>
          <w:tcPr>
            <w:tcW w:w="1700" w:type="dxa"/>
            <w:vAlign w:val="bottom"/>
            <w:tcBorders>
              <w:bottom w:val="single" w:sz="8" w:color="808080"/>
            </w:tcBorders>
            <w:gridSpan w:val="3"/>
            <w:shd w:val="clear" w:color="auto" w:fill="F3F3F4"/>
          </w:tcPr>
          <w:p>
            <w:pPr>
              <w:spacing w:after="0"/>
              <w:rPr>
                <w:sz w:val="5"/>
                <w:szCs w:val="5"/>
                <w:color w:val="auto"/>
              </w:rPr>
            </w:pPr>
          </w:p>
        </w:tc>
        <w:tc>
          <w:tcPr>
            <w:tcW w:w="500" w:type="dxa"/>
            <w:vAlign w:val="bottom"/>
            <w:tcBorders>
              <w:bottom w:val="single" w:sz="8" w:color="808080"/>
            </w:tcBorders>
            <w:shd w:val="clear" w:color="auto" w:fill="F3F3F4"/>
          </w:tcPr>
          <w:p>
            <w:pPr>
              <w:spacing w:after="0"/>
              <w:rPr>
                <w:sz w:val="5"/>
                <w:szCs w:val="5"/>
                <w:color w:val="auto"/>
              </w:rPr>
            </w:pPr>
          </w:p>
        </w:tc>
        <w:tc>
          <w:tcPr>
            <w:tcW w:w="20" w:type="dxa"/>
            <w:vAlign w:val="bottom"/>
            <w:tcBorders>
              <w:bottom w:val="single" w:sz="8" w:color="808080"/>
            </w:tcBorders>
            <w:shd w:val="clear" w:color="auto" w:fill="F3F3F4"/>
          </w:tcPr>
          <w:p>
            <w:pPr>
              <w:spacing w:after="0"/>
              <w:rPr>
                <w:sz w:val="5"/>
                <w:szCs w:val="5"/>
                <w:color w:val="auto"/>
              </w:rPr>
            </w:pPr>
          </w:p>
        </w:tc>
        <w:tc>
          <w:tcPr>
            <w:tcW w:w="80" w:type="dxa"/>
            <w:vAlign w:val="bottom"/>
            <w:tcBorders>
              <w:bottom w:val="single" w:sz="8" w:color="808080"/>
            </w:tcBorders>
            <w:shd w:val="clear" w:color="auto" w:fill="F3F3F4"/>
          </w:tcPr>
          <w:p>
            <w:pPr>
              <w:spacing w:after="0"/>
              <w:rPr>
                <w:sz w:val="5"/>
                <w:szCs w:val="5"/>
                <w:color w:val="auto"/>
              </w:rPr>
            </w:pPr>
          </w:p>
        </w:tc>
        <w:tc>
          <w:tcPr>
            <w:tcW w:w="40" w:type="dxa"/>
            <w:vAlign w:val="bottom"/>
            <w:tcBorders>
              <w:bottom w:val="single" w:sz="8" w:color="808080"/>
            </w:tcBorders>
            <w:shd w:val="clear" w:color="auto" w:fill="F3F3F4"/>
          </w:tcPr>
          <w:p>
            <w:pPr>
              <w:spacing w:after="0"/>
              <w:rPr>
                <w:sz w:val="5"/>
                <w:szCs w:val="5"/>
                <w:color w:val="auto"/>
              </w:rPr>
            </w:pPr>
          </w:p>
        </w:tc>
        <w:tc>
          <w:tcPr>
            <w:tcW w:w="500" w:type="dxa"/>
            <w:vAlign w:val="bottom"/>
            <w:tcBorders>
              <w:bottom w:val="single" w:sz="8" w:color="808080"/>
            </w:tcBorders>
            <w:shd w:val="clear" w:color="auto" w:fill="F3F3F4"/>
          </w:tcPr>
          <w:p>
            <w:pPr>
              <w:spacing w:after="0"/>
              <w:rPr>
                <w:sz w:val="5"/>
                <w:szCs w:val="5"/>
                <w:color w:val="auto"/>
              </w:rPr>
            </w:pPr>
          </w:p>
        </w:tc>
        <w:tc>
          <w:tcPr>
            <w:tcW w:w="2460" w:type="dxa"/>
            <w:vAlign w:val="bottom"/>
            <w:tcBorders>
              <w:bottom w:val="single" w:sz="8" w:color="808080"/>
            </w:tcBorders>
            <w:shd w:val="clear" w:color="auto" w:fill="F3F3F4"/>
          </w:tcPr>
          <w:p>
            <w:pPr>
              <w:spacing w:after="0"/>
              <w:rPr>
                <w:sz w:val="5"/>
                <w:szCs w:val="5"/>
                <w:color w:val="auto"/>
              </w:rPr>
            </w:pPr>
          </w:p>
        </w:tc>
        <w:tc>
          <w:tcPr>
            <w:tcW w:w="440" w:type="dxa"/>
            <w:vAlign w:val="bottom"/>
            <w:tcBorders>
              <w:bottom w:val="single" w:sz="8" w:color="808080"/>
            </w:tcBorders>
            <w:shd w:val="clear" w:color="auto" w:fill="F3F3F4"/>
          </w:tcPr>
          <w:p>
            <w:pPr>
              <w:spacing w:after="0"/>
              <w:rPr>
                <w:sz w:val="5"/>
                <w:szCs w:val="5"/>
                <w:color w:val="auto"/>
              </w:rPr>
            </w:pPr>
          </w:p>
        </w:tc>
        <w:tc>
          <w:tcPr>
            <w:tcW w:w="540" w:type="dxa"/>
            <w:vAlign w:val="bottom"/>
            <w:tcBorders>
              <w:bottom w:val="single" w:sz="8" w:color="808080"/>
            </w:tcBorders>
            <w:shd w:val="clear" w:color="auto" w:fill="F3F3F4"/>
          </w:tcPr>
          <w:p>
            <w:pPr>
              <w:spacing w:after="0"/>
              <w:rPr>
                <w:sz w:val="5"/>
                <w:szCs w:val="5"/>
                <w:color w:val="auto"/>
              </w:rPr>
            </w:pPr>
          </w:p>
        </w:tc>
        <w:tc>
          <w:tcPr>
            <w:tcW w:w="2540" w:type="dxa"/>
            <w:vAlign w:val="bottom"/>
            <w:tcBorders>
              <w:bottom w:val="single" w:sz="8" w:color="808080"/>
            </w:tcBorders>
            <w:shd w:val="clear" w:color="auto" w:fill="F3F3F4"/>
          </w:tcPr>
          <w:p>
            <w:pPr>
              <w:spacing w:after="0"/>
              <w:rPr>
                <w:sz w:val="5"/>
                <w:szCs w:val="5"/>
                <w:color w:val="auto"/>
              </w:rPr>
            </w:pPr>
          </w:p>
        </w:tc>
        <w:tc>
          <w:tcPr>
            <w:tcW w:w="180" w:type="dxa"/>
            <w:vAlign w:val="bottom"/>
            <w:tcBorders>
              <w:bottom w:val="single" w:sz="8" w:color="808080"/>
            </w:tcBorders>
            <w:shd w:val="clear" w:color="auto" w:fill="F3F3F4"/>
          </w:tcPr>
          <w:p>
            <w:pPr>
              <w:spacing w:after="0"/>
              <w:rPr>
                <w:sz w:val="5"/>
                <w:szCs w:val="5"/>
                <w:color w:val="auto"/>
              </w:rPr>
            </w:pPr>
          </w:p>
        </w:tc>
      </w:tr>
      <w:tr>
        <w:trPr>
          <w:trHeight w:val="402"/>
        </w:trPr>
        <w:tc>
          <w:tcPr>
            <w:tcW w:w="580" w:type="dxa"/>
            <w:vAlign w:val="bottom"/>
            <w:tcBorders>
              <w:bottom w:val="single" w:sz="8" w:color="D1D2D4"/>
            </w:tcBorders>
            <w:gridSpan w:val="2"/>
          </w:tcPr>
          <w:p>
            <w:pPr>
              <w:spacing w:after="0"/>
              <w:rPr>
                <w:sz w:val="24"/>
                <w:szCs w:val="24"/>
                <w:color w:val="auto"/>
              </w:rPr>
            </w:pPr>
          </w:p>
        </w:tc>
        <w:tc>
          <w:tcPr>
            <w:tcW w:w="1660" w:type="dxa"/>
            <w:vAlign w:val="bottom"/>
            <w:tcBorders>
              <w:bottom w:val="single" w:sz="8" w:color="D1D2D4"/>
            </w:tcBorders>
          </w:tcPr>
          <w:p>
            <w:pPr>
              <w:spacing w:after="0"/>
              <w:rPr>
                <w:sz w:val="24"/>
                <w:szCs w:val="24"/>
                <w:color w:val="auto"/>
              </w:rPr>
            </w:pPr>
          </w:p>
        </w:tc>
        <w:tc>
          <w:tcPr>
            <w:tcW w:w="2200" w:type="dxa"/>
            <w:vAlign w:val="bottom"/>
            <w:tcBorders>
              <w:bottom w:val="single" w:sz="8" w:color="D1D2D4"/>
            </w:tcBorders>
            <w:gridSpan w:val="4"/>
          </w:tcPr>
          <w:p>
            <w:pPr>
              <w:spacing w:after="0"/>
              <w:rPr>
                <w:sz w:val="24"/>
                <w:szCs w:val="24"/>
                <w:color w:val="auto"/>
              </w:rPr>
            </w:pPr>
          </w:p>
        </w:tc>
        <w:tc>
          <w:tcPr>
            <w:tcW w:w="20" w:type="dxa"/>
            <w:vAlign w:val="bottom"/>
            <w:tcBorders>
              <w:bottom w:val="single" w:sz="8" w:color="D1D2D4"/>
            </w:tcBorders>
          </w:tcPr>
          <w:p>
            <w:pPr>
              <w:spacing w:after="0"/>
              <w:rPr>
                <w:sz w:val="24"/>
                <w:szCs w:val="24"/>
                <w:color w:val="auto"/>
              </w:rPr>
            </w:pPr>
          </w:p>
        </w:tc>
        <w:tc>
          <w:tcPr>
            <w:tcW w:w="80" w:type="dxa"/>
            <w:vAlign w:val="bottom"/>
            <w:tcBorders>
              <w:bottom w:val="single" w:sz="8" w:color="D1D2D4"/>
            </w:tcBorders>
          </w:tcPr>
          <w:p>
            <w:pPr>
              <w:spacing w:after="0"/>
              <w:rPr>
                <w:sz w:val="24"/>
                <w:szCs w:val="24"/>
                <w:color w:val="auto"/>
              </w:rPr>
            </w:pPr>
          </w:p>
        </w:tc>
        <w:tc>
          <w:tcPr>
            <w:tcW w:w="40" w:type="dxa"/>
            <w:vAlign w:val="bottom"/>
            <w:tcBorders>
              <w:bottom w:val="single" w:sz="8" w:color="D1D2D4"/>
            </w:tcBorders>
          </w:tcPr>
          <w:p>
            <w:pPr>
              <w:spacing w:after="0"/>
              <w:rPr>
                <w:sz w:val="24"/>
                <w:szCs w:val="24"/>
                <w:color w:val="auto"/>
              </w:rPr>
            </w:pPr>
          </w:p>
        </w:tc>
        <w:tc>
          <w:tcPr>
            <w:tcW w:w="500" w:type="dxa"/>
            <w:vAlign w:val="bottom"/>
            <w:tcBorders>
              <w:bottom w:val="single" w:sz="8" w:color="D1D2D4"/>
            </w:tcBorders>
          </w:tcPr>
          <w:p>
            <w:pPr>
              <w:spacing w:after="0"/>
              <w:rPr>
                <w:sz w:val="24"/>
                <w:szCs w:val="24"/>
                <w:color w:val="auto"/>
              </w:rPr>
            </w:pPr>
          </w:p>
        </w:tc>
        <w:tc>
          <w:tcPr>
            <w:tcW w:w="2460" w:type="dxa"/>
            <w:vAlign w:val="bottom"/>
            <w:tcBorders>
              <w:bottom w:val="single" w:sz="8" w:color="D1D2D4"/>
            </w:tcBorders>
          </w:tcPr>
          <w:p>
            <w:pPr>
              <w:spacing w:after="0"/>
              <w:rPr>
                <w:sz w:val="24"/>
                <w:szCs w:val="24"/>
                <w:color w:val="auto"/>
              </w:rPr>
            </w:pPr>
          </w:p>
        </w:tc>
        <w:tc>
          <w:tcPr>
            <w:tcW w:w="440" w:type="dxa"/>
            <w:vAlign w:val="bottom"/>
            <w:tcBorders>
              <w:bottom w:val="single" w:sz="8" w:color="D1D2D4"/>
            </w:tcBorders>
          </w:tcPr>
          <w:p>
            <w:pPr>
              <w:spacing w:after="0"/>
              <w:rPr>
                <w:sz w:val="24"/>
                <w:szCs w:val="24"/>
                <w:color w:val="auto"/>
              </w:rPr>
            </w:pPr>
          </w:p>
        </w:tc>
        <w:tc>
          <w:tcPr>
            <w:tcW w:w="540" w:type="dxa"/>
            <w:vAlign w:val="bottom"/>
            <w:tcBorders>
              <w:bottom w:val="single" w:sz="8" w:color="D1D2D4"/>
            </w:tcBorders>
          </w:tcPr>
          <w:p>
            <w:pPr>
              <w:spacing w:after="0"/>
              <w:rPr>
                <w:sz w:val="24"/>
                <w:szCs w:val="24"/>
                <w:color w:val="auto"/>
              </w:rPr>
            </w:pPr>
          </w:p>
        </w:tc>
        <w:tc>
          <w:tcPr>
            <w:tcW w:w="2540" w:type="dxa"/>
            <w:vAlign w:val="bottom"/>
            <w:tcBorders>
              <w:bottom w:val="single" w:sz="8" w:color="D1D2D4"/>
            </w:tcBorders>
          </w:tcPr>
          <w:p>
            <w:pPr>
              <w:spacing w:after="0"/>
              <w:rPr>
                <w:sz w:val="24"/>
                <w:szCs w:val="24"/>
                <w:color w:val="auto"/>
              </w:rPr>
            </w:pPr>
          </w:p>
        </w:tc>
        <w:tc>
          <w:tcPr>
            <w:tcW w:w="180" w:type="dxa"/>
            <w:vAlign w:val="bottom"/>
            <w:tcBorders>
              <w:bottom w:val="single" w:sz="8" w:color="D1D2D4"/>
            </w:tcBorders>
          </w:tcPr>
          <w:p>
            <w:pPr>
              <w:spacing w:after="0"/>
              <w:rPr>
                <w:sz w:val="24"/>
                <w:szCs w:val="24"/>
                <w:color w:val="auto"/>
              </w:rPr>
            </w:pPr>
          </w:p>
        </w:tc>
      </w:tr>
      <w:tr>
        <w:trPr>
          <w:trHeight w:val="290"/>
        </w:trPr>
        <w:tc>
          <w:tcPr>
            <w:tcW w:w="5080" w:type="dxa"/>
            <w:vAlign w:val="bottom"/>
            <w:tcBorders>
              <w:bottom w:val="single" w:sz="8" w:color="auto"/>
            </w:tcBorders>
            <w:gridSpan w:val="11"/>
          </w:tcPr>
          <w:p>
            <w:pPr>
              <w:spacing w:after="0"/>
              <w:rPr>
                <w:sz w:val="20"/>
                <w:szCs w:val="20"/>
                <w:color w:val="auto"/>
              </w:rPr>
            </w:pPr>
            <w:r>
              <w:rPr>
                <w:rFonts w:ascii="Arial" w:cs="Arial" w:eastAsia="Arial" w:hAnsi="Arial"/>
                <w:sz w:val="12"/>
                <w:szCs w:val="12"/>
                <w:color w:val="auto"/>
                <w:w w:val="97"/>
              </w:rPr>
              <w:t xml:space="preserve">NOTICE OF 2025 ANNUAL MEETING &amp; PROXY STATEMENT  </w:t>
            </w:r>
            <w:r>
              <w:rPr>
                <w:rFonts w:ascii="Arial" w:cs="Arial" w:eastAsia="Arial" w:hAnsi="Arial"/>
                <w:sz w:val="13"/>
                <w:szCs w:val="13"/>
                <w:color w:val="auto"/>
                <w:w w:val="97"/>
              </w:rPr>
              <w:t>●</w:t>
            </w:r>
            <w:r>
              <w:rPr>
                <w:rFonts w:ascii="Arial" w:cs="Arial" w:eastAsia="Arial" w:hAnsi="Arial"/>
                <w:sz w:val="12"/>
                <w:szCs w:val="12"/>
                <w:color w:val="auto"/>
                <w:w w:val="97"/>
              </w:rPr>
              <w:t xml:space="preserve">  ESCO TECHNOLOGIES INC.</w:t>
            </w:r>
          </w:p>
        </w:tc>
        <w:tc>
          <w:tcPr>
            <w:tcW w:w="2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ind w:left="160"/>
              <w:spacing w:after="0"/>
              <w:rPr>
                <w:sz w:val="20"/>
                <w:szCs w:val="20"/>
                <w:color w:val="auto"/>
              </w:rPr>
            </w:pPr>
            <w:r>
              <w:rPr>
                <w:rFonts w:ascii="Arial" w:cs="Arial" w:eastAsia="Arial" w:hAnsi="Arial"/>
                <w:sz w:val="12"/>
                <w:szCs w:val="12"/>
                <w:color w:val="auto"/>
              </w:rPr>
              <w:t>PROXY STATEMENT SUMMARY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r>
    </w:tbl>
    <w:p>
      <w:pPr>
        <w:sectPr>
          <w:pgSz w:w="11900" w:h="16838" w:orient="portrait"/>
          <w:cols w:equalWidth="0" w:num="1">
            <w:col w:w="11240"/>
          </w:cols>
          <w:pgMar w:left="320" w:top="831" w:right="339" w:bottom="1440"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15"/>
          <w:szCs w:val="15"/>
          <w:color w:val="auto"/>
        </w:rPr>
        <w:t>Management is not aware of any other matters that will be presented at the Meeting. However, if any other proposal is properly presented for a vote at the Meeting, other than the election of directors and the other proposals described in this Proxy Statement, the proxy holders will vote on it in their own discretion.</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77470</wp:posOffset>
            </wp:positionV>
            <wp:extent cx="713295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587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summary information about our director nominees, each of whom is a current director of the Company: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3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60" w:type="dxa"/>
            <w:vAlign w:val="bottom"/>
          </w:tcPr>
          <w:p>
            <w:pPr>
              <w:ind w:left="200"/>
              <w:spacing w:after="0"/>
              <w:rPr>
                <w:sz w:val="20"/>
                <w:szCs w:val="20"/>
                <w:color w:val="auto"/>
              </w:rPr>
            </w:pPr>
            <w:r>
              <w:rPr>
                <w:rFonts w:ascii="Arial" w:cs="Arial" w:eastAsia="Arial" w:hAnsi="Arial"/>
                <w:sz w:val="13"/>
                <w:szCs w:val="13"/>
                <w:b w:val="1"/>
                <w:bCs w:val="1"/>
                <w:color w:val="auto"/>
              </w:rPr>
              <w:t>Board</w:t>
            </w:r>
          </w:p>
        </w:tc>
        <w:tc>
          <w:tcPr>
            <w:tcW w:w="3260" w:type="dxa"/>
            <w:vAlign w:val="bottom"/>
          </w:tcPr>
          <w:p>
            <w:pPr>
              <w:spacing w:after="0"/>
              <w:rPr>
                <w:sz w:val="13"/>
                <w:szCs w:val="13"/>
                <w:color w:val="auto"/>
              </w:rPr>
            </w:pPr>
          </w:p>
        </w:tc>
      </w:tr>
      <w:tr>
        <w:trPr>
          <w:trHeight w:val="186"/>
        </w:trPr>
        <w:tc>
          <w:tcPr>
            <w:tcW w:w="2380" w:type="dxa"/>
            <w:vAlign w:val="bottom"/>
          </w:tcPr>
          <w:p>
            <w:pPr>
              <w:ind w:left="100"/>
              <w:spacing w:after="0"/>
              <w:rPr>
                <w:sz w:val="20"/>
                <w:szCs w:val="20"/>
                <w:color w:val="auto"/>
              </w:rPr>
            </w:pPr>
            <w:r>
              <w:rPr>
                <w:rFonts w:ascii="Arial" w:cs="Arial" w:eastAsia="Arial" w:hAnsi="Arial"/>
                <w:sz w:val="13"/>
                <w:szCs w:val="13"/>
                <w:b w:val="1"/>
                <w:bCs w:val="1"/>
                <w:color w:val="auto"/>
              </w:rPr>
              <w:t>Nominee</w:t>
            </w:r>
          </w:p>
        </w:tc>
        <w:tc>
          <w:tcPr>
            <w:tcW w:w="2920" w:type="dxa"/>
            <w:vAlign w:val="bottom"/>
          </w:tcPr>
          <w:p>
            <w:pPr>
              <w:ind w:left="80"/>
              <w:spacing w:after="0"/>
              <w:rPr>
                <w:sz w:val="20"/>
                <w:szCs w:val="20"/>
                <w:color w:val="auto"/>
              </w:rPr>
            </w:pPr>
            <w:r>
              <w:rPr>
                <w:rFonts w:ascii="Arial" w:cs="Arial" w:eastAsia="Arial" w:hAnsi="Arial"/>
                <w:sz w:val="13"/>
                <w:szCs w:val="13"/>
                <w:b w:val="1"/>
                <w:bCs w:val="1"/>
                <w:color w:val="auto"/>
              </w:rPr>
              <w:t>Primary Occupation</w:t>
            </w:r>
          </w:p>
        </w:tc>
        <w:tc>
          <w:tcPr>
            <w:tcW w:w="1120" w:type="dxa"/>
            <w:vAlign w:val="bottom"/>
          </w:tcPr>
          <w:p>
            <w:pPr>
              <w:ind w:left="100"/>
              <w:spacing w:after="0"/>
              <w:rPr>
                <w:sz w:val="20"/>
                <w:szCs w:val="20"/>
                <w:color w:val="auto"/>
              </w:rPr>
            </w:pPr>
            <w:r>
              <w:rPr>
                <w:rFonts w:ascii="Arial" w:cs="Arial" w:eastAsia="Arial" w:hAnsi="Arial"/>
                <w:sz w:val="13"/>
                <w:szCs w:val="13"/>
                <w:b w:val="1"/>
                <w:bCs w:val="1"/>
                <w:color w:val="auto"/>
              </w:rPr>
              <w:t>Independent</w:t>
            </w:r>
          </w:p>
        </w:tc>
        <w:tc>
          <w:tcPr>
            <w:tcW w:w="1560" w:type="dxa"/>
            <w:vAlign w:val="bottom"/>
          </w:tcPr>
          <w:p>
            <w:pPr>
              <w:ind w:left="200"/>
              <w:spacing w:after="0"/>
              <w:rPr>
                <w:sz w:val="20"/>
                <w:szCs w:val="20"/>
                <w:color w:val="auto"/>
              </w:rPr>
            </w:pPr>
            <w:r>
              <w:rPr>
                <w:rFonts w:ascii="Arial" w:cs="Arial" w:eastAsia="Arial" w:hAnsi="Arial"/>
                <w:sz w:val="13"/>
                <w:szCs w:val="13"/>
                <w:b w:val="1"/>
                <w:bCs w:val="1"/>
                <w:color w:val="auto"/>
              </w:rPr>
              <w:t>Committees</w:t>
            </w:r>
          </w:p>
        </w:tc>
        <w:tc>
          <w:tcPr>
            <w:tcW w:w="3260" w:type="dxa"/>
            <w:vAlign w:val="bottom"/>
          </w:tcPr>
          <w:p>
            <w:pPr>
              <w:ind w:left="440"/>
              <w:spacing w:after="0"/>
              <w:rPr>
                <w:sz w:val="20"/>
                <w:szCs w:val="20"/>
                <w:color w:val="auto"/>
              </w:rPr>
            </w:pPr>
            <w:r>
              <w:rPr>
                <w:rFonts w:ascii="Arial" w:cs="Arial" w:eastAsia="Arial" w:hAnsi="Arial"/>
                <w:sz w:val="13"/>
                <w:szCs w:val="13"/>
                <w:b w:val="1"/>
                <w:bCs w:val="1"/>
                <w:color w:val="auto"/>
              </w:rPr>
              <w:t>Key Attributes/Qualifications</w:t>
            </w:r>
          </w:p>
        </w:tc>
      </w:tr>
      <w:tr>
        <w:trPr>
          <w:trHeight w:val="38"/>
        </w:trPr>
        <w:tc>
          <w:tcPr>
            <w:tcW w:w="238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r>
      <w:tr>
        <w:trPr>
          <w:trHeight w:val="200"/>
        </w:trPr>
        <w:tc>
          <w:tcPr>
            <w:tcW w:w="2380" w:type="dxa"/>
            <w:vAlign w:val="bottom"/>
            <w:shd w:val="clear" w:color="auto" w:fill="F3F3F4"/>
          </w:tcPr>
          <w:p>
            <w:pPr>
              <w:ind w:left="100"/>
              <w:spacing w:after="0"/>
              <w:rPr>
                <w:sz w:val="20"/>
                <w:szCs w:val="20"/>
                <w:color w:val="auto"/>
              </w:rPr>
            </w:pPr>
            <w:r>
              <w:rPr>
                <w:rFonts w:ascii="Arial" w:cs="Arial" w:eastAsia="Arial" w:hAnsi="Arial"/>
                <w:sz w:val="13"/>
                <w:szCs w:val="13"/>
                <w:b w:val="1"/>
                <w:bCs w:val="1"/>
                <w:color w:val="auto"/>
              </w:rPr>
              <w:t>David A. Campbell</w:t>
            </w:r>
          </w:p>
        </w:tc>
        <w:tc>
          <w:tcPr>
            <w:tcW w:w="2920" w:type="dxa"/>
            <w:vAlign w:val="bottom"/>
            <w:shd w:val="clear" w:color="auto" w:fill="F3F3F4"/>
          </w:tcPr>
          <w:p>
            <w:pPr>
              <w:ind w:left="80"/>
              <w:spacing w:after="0"/>
              <w:rPr>
                <w:sz w:val="20"/>
                <w:szCs w:val="20"/>
                <w:color w:val="auto"/>
              </w:rPr>
            </w:pPr>
            <w:r>
              <w:rPr>
                <w:rFonts w:ascii="Arial" w:cs="Arial" w:eastAsia="Arial" w:hAnsi="Arial"/>
                <w:sz w:val="13"/>
                <w:szCs w:val="13"/>
                <w:color w:val="auto"/>
              </w:rPr>
              <w:t>President and Chief Executive Officer and</w:t>
            </w:r>
          </w:p>
        </w:tc>
        <w:tc>
          <w:tcPr>
            <w:tcW w:w="11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Yes</w:t>
            </w:r>
          </w:p>
        </w:tc>
        <w:tc>
          <w:tcPr>
            <w:tcW w:w="1560" w:type="dxa"/>
            <w:vAlign w:val="bottom"/>
            <w:shd w:val="clear" w:color="auto" w:fill="F3F3F4"/>
          </w:tcPr>
          <w:p>
            <w:pPr>
              <w:ind w:left="200"/>
              <w:spacing w:after="0"/>
              <w:rPr>
                <w:sz w:val="20"/>
                <w:szCs w:val="20"/>
                <w:color w:val="auto"/>
              </w:rPr>
            </w:pPr>
            <w:r>
              <w:rPr>
                <w:rFonts w:ascii="Arial" w:cs="Arial" w:eastAsia="Arial" w:hAnsi="Arial"/>
                <w:sz w:val="13"/>
                <w:szCs w:val="13"/>
                <w:color w:val="auto"/>
              </w:rPr>
              <w:t>Audit</w:t>
            </w:r>
          </w:p>
        </w:tc>
        <w:tc>
          <w:tcPr>
            <w:tcW w:w="3260" w:type="dxa"/>
            <w:vAlign w:val="bottom"/>
            <w:shd w:val="clear" w:color="auto" w:fill="F3F3F4"/>
          </w:tcPr>
          <w:p>
            <w:pPr>
              <w:ind w:left="440"/>
              <w:spacing w:after="0"/>
              <w:rPr>
                <w:sz w:val="20"/>
                <w:szCs w:val="20"/>
                <w:color w:val="auto"/>
              </w:rPr>
            </w:pPr>
            <w:r>
              <w:rPr>
                <w:rFonts w:ascii="Arial" w:cs="Arial" w:eastAsia="Arial" w:hAnsi="Arial"/>
                <w:sz w:val="13"/>
                <w:szCs w:val="13"/>
                <w:color w:val="auto"/>
              </w:rPr>
              <w:t>Extensive strategic, operational and</w:t>
            </w:r>
          </w:p>
        </w:tc>
      </w:tr>
      <w:tr>
        <w:trPr>
          <w:trHeight w:val="151"/>
        </w:trPr>
        <w:tc>
          <w:tcPr>
            <w:tcW w:w="2380" w:type="dxa"/>
            <w:vAlign w:val="bottom"/>
            <w:shd w:val="clear" w:color="auto" w:fill="F3F3F4"/>
          </w:tcPr>
          <w:p>
            <w:pPr>
              <w:spacing w:after="0"/>
              <w:rPr>
                <w:sz w:val="13"/>
                <w:szCs w:val="13"/>
                <w:color w:val="auto"/>
              </w:rPr>
            </w:pPr>
          </w:p>
        </w:tc>
        <w:tc>
          <w:tcPr>
            <w:tcW w:w="2920" w:type="dxa"/>
            <w:vAlign w:val="bottom"/>
            <w:shd w:val="clear" w:color="auto" w:fill="F3F3F4"/>
          </w:tcPr>
          <w:p>
            <w:pPr>
              <w:ind w:left="80"/>
              <w:spacing w:after="0"/>
              <w:rPr>
                <w:sz w:val="20"/>
                <w:szCs w:val="20"/>
                <w:color w:val="auto"/>
              </w:rPr>
            </w:pPr>
            <w:r>
              <w:rPr>
                <w:rFonts w:ascii="Arial" w:cs="Arial" w:eastAsia="Arial" w:hAnsi="Arial"/>
                <w:sz w:val="13"/>
                <w:szCs w:val="13"/>
                <w:color w:val="auto"/>
              </w:rPr>
              <w:t>Chairman of the Board of Evergy, Inc., a</w:t>
            </w:r>
          </w:p>
        </w:tc>
        <w:tc>
          <w:tcPr>
            <w:tcW w:w="1120" w:type="dxa"/>
            <w:vAlign w:val="bottom"/>
            <w:shd w:val="clear" w:color="auto" w:fill="F3F3F4"/>
          </w:tcPr>
          <w:p>
            <w:pPr>
              <w:spacing w:after="0"/>
              <w:rPr>
                <w:sz w:val="13"/>
                <w:szCs w:val="13"/>
                <w:color w:val="auto"/>
              </w:rPr>
            </w:pPr>
          </w:p>
        </w:tc>
        <w:tc>
          <w:tcPr>
            <w:tcW w:w="1560" w:type="dxa"/>
            <w:vAlign w:val="bottom"/>
            <w:shd w:val="clear" w:color="auto" w:fill="F3F3F4"/>
          </w:tcPr>
          <w:p>
            <w:pPr>
              <w:spacing w:after="0"/>
              <w:rPr>
                <w:sz w:val="13"/>
                <w:szCs w:val="13"/>
                <w:color w:val="auto"/>
              </w:rPr>
            </w:pPr>
          </w:p>
        </w:tc>
        <w:tc>
          <w:tcPr>
            <w:tcW w:w="3260" w:type="dxa"/>
            <w:vAlign w:val="bottom"/>
            <w:shd w:val="clear" w:color="auto" w:fill="F3F3F4"/>
          </w:tcPr>
          <w:p>
            <w:pPr>
              <w:ind w:left="440"/>
              <w:spacing w:after="0"/>
              <w:rPr>
                <w:sz w:val="20"/>
                <w:szCs w:val="20"/>
                <w:color w:val="auto"/>
              </w:rPr>
            </w:pPr>
            <w:r>
              <w:rPr>
                <w:rFonts w:ascii="Arial" w:cs="Arial" w:eastAsia="Arial" w:hAnsi="Arial"/>
                <w:sz w:val="13"/>
                <w:szCs w:val="13"/>
                <w:color w:val="auto"/>
              </w:rPr>
              <w:t>executive experience in the energy field</w:t>
            </w:r>
          </w:p>
        </w:tc>
      </w:tr>
      <w:tr>
        <w:trPr>
          <w:trHeight w:val="151"/>
        </w:trPr>
        <w:tc>
          <w:tcPr>
            <w:tcW w:w="2380" w:type="dxa"/>
            <w:vAlign w:val="bottom"/>
            <w:shd w:val="clear" w:color="auto" w:fill="F3F3F4"/>
          </w:tcPr>
          <w:p>
            <w:pPr>
              <w:spacing w:after="0"/>
              <w:rPr>
                <w:sz w:val="13"/>
                <w:szCs w:val="13"/>
                <w:color w:val="auto"/>
              </w:rPr>
            </w:pPr>
          </w:p>
        </w:tc>
        <w:tc>
          <w:tcPr>
            <w:tcW w:w="2920" w:type="dxa"/>
            <w:vAlign w:val="bottom"/>
            <w:shd w:val="clear" w:color="auto" w:fill="F3F3F4"/>
          </w:tcPr>
          <w:p>
            <w:pPr>
              <w:ind w:left="80"/>
              <w:spacing w:after="0"/>
              <w:rPr>
                <w:sz w:val="20"/>
                <w:szCs w:val="20"/>
                <w:color w:val="auto"/>
              </w:rPr>
            </w:pPr>
            <w:r>
              <w:rPr>
                <w:rFonts w:ascii="Arial" w:cs="Arial" w:eastAsia="Arial" w:hAnsi="Arial"/>
                <w:sz w:val="13"/>
                <w:szCs w:val="13"/>
                <w:color w:val="auto"/>
              </w:rPr>
              <w:t>public utility holding company based in</w:t>
            </w:r>
          </w:p>
        </w:tc>
        <w:tc>
          <w:tcPr>
            <w:tcW w:w="1120" w:type="dxa"/>
            <w:vAlign w:val="bottom"/>
            <w:shd w:val="clear" w:color="auto" w:fill="F3F3F4"/>
          </w:tcPr>
          <w:p>
            <w:pPr>
              <w:spacing w:after="0"/>
              <w:rPr>
                <w:sz w:val="13"/>
                <w:szCs w:val="13"/>
                <w:color w:val="auto"/>
              </w:rPr>
            </w:pPr>
          </w:p>
        </w:tc>
        <w:tc>
          <w:tcPr>
            <w:tcW w:w="1560" w:type="dxa"/>
            <w:vAlign w:val="bottom"/>
            <w:shd w:val="clear" w:color="auto" w:fill="F3F3F4"/>
          </w:tcPr>
          <w:p>
            <w:pPr>
              <w:spacing w:after="0"/>
              <w:rPr>
                <w:sz w:val="13"/>
                <w:szCs w:val="13"/>
                <w:color w:val="auto"/>
              </w:rPr>
            </w:pPr>
          </w:p>
        </w:tc>
        <w:tc>
          <w:tcPr>
            <w:tcW w:w="3260" w:type="dxa"/>
            <w:vAlign w:val="bottom"/>
            <w:shd w:val="clear" w:color="auto" w:fill="F3F3F4"/>
          </w:tcPr>
          <w:p>
            <w:pPr>
              <w:spacing w:after="0"/>
              <w:rPr>
                <w:sz w:val="13"/>
                <w:szCs w:val="13"/>
                <w:color w:val="auto"/>
              </w:rPr>
            </w:pPr>
          </w:p>
        </w:tc>
      </w:tr>
      <w:tr>
        <w:trPr>
          <w:trHeight w:val="227"/>
        </w:trPr>
        <w:tc>
          <w:tcPr>
            <w:tcW w:w="2380" w:type="dxa"/>
            <w:vAlign w:val="bottom"/>
            <w:tcBorders>
              <w:bottom w:val="single" w:sz="8" w:color="F3F3F4"/>
            </w:tcBorders>
            <w:shd w:val="clear" w:color="auto" w:fill="F3F3F4"/>
          </w:tcPr>
          <w:p>
            <w:pPr>
              <w:spacing w:after="0"/>
              <w:rPr>
                <w:sz w:val="19"/>
                <w:szCs w:val="19"/>
                <w:color w:val="auto"/>
              </w:rPr>
            </w:pPr>
          </w:p>
        </w:tc>
        <w:tc>
          <w:tcPr>
            <w:tcW w:w="2920" w:type="dxa"/>
            <w:vAlign w:val="bottom"/>
            <w:tcBorders>
              <w:bottom w:val="single" w:sz="8" w:color="F3F3F4"/>
            </w:tcBorders>
            <w:shd w:val="clear" w:color="auto" w:fill="F3F3F4"/>
          </w:tcPr>
          <w:p>
            <w:pPr>
              <w:ind w:left="80"/>
              <w:spacing w:after="0"/>
              <w:rPr>
                <w:sz w:val="20"/>
                <w:szCs w:val="20"/>
                <w:color w:val="auto"/>
              </w:rPr>
            </w:pPr>
            <w:r>
              <w:rPr>
                <w:rFonts w:ascii="Arial" w:cs="Arial" w:eastAsia="Arial" w:hAnsi="Arial"/>
                <w:sz w:val="13"/>
                <w:szCs w:val="13"/>
                <w:color w:val="auto"/>
              </w:rPr>
              <w:t>Kansas City</w:t>
            </w:r>
          </w:p>
        </w:tc>
        <w:tc>
          <w:tcPr>
            <w:tcW w:w="1120" w:type="dxa"/>
            <w:vAlign w:val="bottom"/>
            <w:tcBorders>
              <w:bottom w:val="single" w:sz="8" w:color="F3F3F4"/>
            </w:tcBorders>
            <w:shd w:val="clear" w:color="auto" w:fill="F3F3F4"/>
          </w:tcPr>
          <w:p>
            <w:pPr>
              <w:spacing w:after="0"/>
              <w:rPr>
                <w:sz w:val="19"/>
                <w:szCs w:val="19"/>
                <w:color w:val="auto"/>
              </w:rPr>
            </w:pPr>
          </w:p>
        </w:tc>
        <w:tc>
          <w:tcPr>
            <w:tcW w:w="1560" w:type="dxa"/>
            <w:vAlign w:val="bottom"/>
            <w:tcBorders>
              <w:bottom w:val="single" w:sz="8" w:color="F3F3F4"/>
            </w:tcBorders>
            <w:shd w:val="clear" w:color="auto" w:fill="F3F3F4"/>
          </w:tcPr>
          <w:p>
            <w:pPr>
              <w:spacing w:after="0"/>
              <w:rPr>
                <w:sz w:val="19"/>
                <w:szCs w:val="19"/>
                <w:color w:val="auto"/>
              </w:rPr>
            </w:pPr>
          </w:p>
        </w:tc>
        <w:tc>
          <w:tcPr>
            <w:tcW w:w="3260" w:type="dxa"/>
            <w:vAlign w:val="bottom"/>
            <w:tcBorders>
              <w:bottom w:val="single" w:sz="8" w:color="F3F3F4"/>
            </w:tcBorders>
            <w:shd w:val="clear" w:color="auto" w:fill="F3F3F4"/>
          </w:tcPr>
          <w:p>
            <w:pPr>
              <w:spacing w:after="0"/>
              <w:rPr>
                <w:sz w:val="19"/>
                <w:szCs w:val="19"/>
                <w:color w:val="auto"/>
              </w:rPr>
            </w:pPr>
          </w:p>
        </w:tc>
      </w:tr>
      <w:tr>
        <w:trPr>
          <w:trHeight w:val="200"/>
        </w:trPr>
        <w:tc>
          <w:tcPr>
            <w:tcW w:w="2380" w:type="dxa"/>
            <w:vAlign w:val="bottom"/>
            <w:tcBorders>
              <w:top w:val="single" w:sz="8" w:color="808080"/>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Penelope M. Conner</w:t>
            </w:r>
          </w:p>
        </w:tc>
        <w:tc>
          <w:tcPr>
            <w:tcW w:w="2920" w:type="dxa"/>
            <w:vAlign w:val="bottom"/>
            <w:tcBorders>
              <w:top w:val="single" w:sz="8" w:color="808080"/>
            </w:tcBorders>
            <w:shd w:val="clear" w:color="auto" w:fill="F3F3F4"/>
          </w:tcPr>
          <w:p>
            <w:pPr>
              <w:ind w:left="80"/>
              <w:spacing w:after="0"/>
              <w:rPr>
                <w:sz w:val="20"/>
                <w:szCs w:val="20"/>
                <w:color w:val="auto"/>
              </w:rPr>
            </w:pPr>
            <w:r>
              <w:rPr>
                <w:rFonts w:ascii="Arial" w:cs="Arial" w:eastAsia="Arial" w:hAnsi="Arial"/>
                <w:sz w:val="13"/>
                <w:szCs w:val="13"/>
                <w:color w:val="auto"/>
              </w:rPr>
              <w:t>Executive Vice President, Customer</w:t>
            </w:r>
          </w:p>
        </w:tc>
        <w:tc>
          <w:tcPr>
            <w:tcW w:w="1120" w:type="dxa"/>
            <w:vAlign w:val="bottom"/>
            <w:tcBorders>
              <w:top w:val="single" w:sz="8" w:color="808080"/>
            </w:tcBorders>
            <w:shd w:val="clear" w:color="auto" w:fill="F3F3F4"/>
          </w:tcPr>
          <w:p>
            <w:pPr>
              <w:ind w:left="100"/>
              <w:spacing w:after="0"/>
              <w:rPr>
                <w:sz w:val="20"/>
                <w:szCs w:val="20"/>
                <w:color w:val="auto"/>
              </w:rPr>
            </w:pPr>
            <w:r>
              <w:rPr>
                <w:rFonts w:ascii="Arial" w:cs="Arial" w:eastAsia="Arial" w:hAnsi="Arial"/>
                <w:sz w:val="13"/>
                <w:szCs w:val="13"/>
                <w:color w:val="auto"/>
              </w:rPr>
              <w:t>Yes</w:t>
            </w:r>
          </w:p>
        </w:tc>
        <w:tc>
          <w:tcPr>
            <w:tcW w:w="1560" w:type="dxa"/>
            <w:vAlign w:val="bottom"/>
            <w:tcBorders>
              <w:top w:val="single" w:sz="8" w:color="808080"/>
            </w:tcBorders>
            <w:shd w:val="clear" w:color="auto" w:fill="F3F3F4"/>
          </w:tcPr>
          <w:p>
            <w:pPr>
              <w:ind w:left="200"/>
              <w:spacing w:after="0"/>
              <w:rPr>
                <w:sz w:val="20"/>
                <w:szCs w:val="20"/>
                <w:color w:val="auto"/>
              </w:rPr>
            </w:pPr>
            <w:r>
              <w:rPr>
                <w:rFonts w:ascii="Arial" w:cs="Arial" w:eastAsia="Arial" w:hAnsi="Arial"/>
                <w:sz w:val="13"/>
                <w:szCs w:val="13"/>
                <w:color w:val="auto"/>
              </w:rPr>
              <w:t>Governance</w:t>
            </w:r>
          </w:p>
        </w:tc>
        <w:tc>
          <w:tcPr>
            <w:tcW w:w="3260" w:type="dxa"/>
            <w:vAlign w:val="bottom"/>
            <w:tcBorders>
              <w:top w:val="single" w:sz="8" w:color="808080"/>
            </w:tcBorders>
            <w:shd w:val="clear" w:color="auto" w:fill="F3F3F4"/>
          </w:tcPr>
          <w:p>
            <w:pPr>
              <w:ind w:left="440"/>
              <w:spacing w:after="0"/>
              <w:rPr>
                <w:sz w:val="20"/>
                <w:szCs w:val="20"/>
                <w:color w:val="auto"/>
              </w:rPr>
            </w:pPr>
            <w:r>
              <w:rPr>
                <w:rFonts w:ascii="Arial" w:cs="Arial" w:eastAsia="Arial" w:hAnsi="Arial"/>
                <w:sz w:val="13"/>
                <w:szCs w:val="13"/>
                <w:color w:val="auto"/>
              </w:rPr>
              <w:t>Nearly four decades of operational, financial</w:t>
            </w:r>
          </w:p>
        </w:tc>
      </w:tr>
      <w:tr>
        <w:trPr>
          <w:trHeight w:val="151"/>
        </w:trPr>
        <w:tc>
          <w:tcPr>
            <w:tcW w:w="2380" w:type="dxa"/>
            <w:vAlign w:val="bottom"/>
            <w:shd w:val="clear" w:color="auto" w:fill="F3F3F4"/>
          </w:tcPr>
          <w:p>
            <w:pPr>
              <w:spacing w:after="0"/>
              <w:rPr>
                <w:sz w:val="13"/>
                <w:szCs w:val="13"/>
                <w:color w:val="auto"/>
              </w:rPr>
            </w:pPr>
          </w:p>
        </w:tc>
        <w:tc>
          <w:tcPr>
            <w:tcW w:w="2920" w:type="dxa"/>
            <w:vAlign w:val="bottom"/>
            <w:shd w:val="clear" w:color="auto" w:fill="F3F3F4"/>
          </w:tcPr>
          <w:p>
            <w:pPr>
              <w:ind w:left="80"/>
              <w:spacing w:after="0"/>
              <w:rPr>
                <w:sz w:val="20"/>
                <w:szCs w:val="20"/>
                <w:color w:val="auto"/>
              </w:rPr>
            </w:pPr>
            <w:r>
              <w:rPr>
                <w:rFonts w:ascii="Arial" w:cs="Arial" w:eastAsia="Arial" w:hAnsi="Arial"/>
                <w:sz w:val="13"/>
                <w:szCs w:val="13"/>
                <w:color w:val="auto"/>
              </w:rPr>
              <w:t>Experience and Energy Strategy of</w:t>
            </w:r>
          </w:p>
        </w:tc>
        <w:tc>
          <w:tcPr>
            <w:tcW w:w="1120" w:type="dxa"/>
            <w:vAlign w:val="bottom"/>
            <w:shd w:val="clear" w:color="auto" w:fill="F3F3F4"/>
          </w:tcPr>
          <w:p>
            <w:pPr>
              <w:spacing w:after="0"/>
              <w:rPr>
                <w:sz w:val="13"/>
                <w:szCs w:val="13"/>
                <w:color w:val="auto"/>
              </w:rPr>
            </w:pPr>
          </w:p>
        </w:tc>
        <w:tc>
          <w:tcPr>
            <w:tcW w:w="1560" w:type="dxa"/>
            <w:vAlign w:val="bottom"/>
            <w:shd w:val="clear" w:color="auto" w:fill="F3F3F4"/>
          </w:tcPr>
          <w:p>
            <w:pPr>
              <w:spacing w:after="0"/>
              <w:rPr>
                <w:sz w:val="13"/>
                <w:szCs w:val="13"/>
                <w:color w:val="auto"/>
              </w:rPr>
            </w:pPr>
          </w:p>
        </w:tc>
        <w:tc>
          <w:tcPr>
            <w:tcW w:w="3260" w:type="dxa"/>
            <w:vAlign w:val="bottom"/>
            <w:shd w:val="clear" w:color="auto" w:fill="F3F3F4"/>
          </w:tcPr>
          <w:p>
            <w:pPr>
              <w:ind w:left="440"/>
              <w:spacing w:after="0"/>
              <w:rPr>
                <w:sz w:val="20"/>
                <w:szCs w:val="20"/>
                <w:color w:val="auto"/>
              </w:rPr>
            </w:pPr>
            <w:r>
              <w:rPr>
                <w:rFonts w:ascii="Arial" w:cs="Arial" w:eastAsia="Arial" w:hAnsi="Arial"/>
                <w:sz w:val="13"/>
                <w:szCs w:val="13"/>
                <w:color w:val="auto"/>
              </w:rPr>
              <w:t>and leadership experience in the electric and</w:t>
            </w:r>
          </w:p>
        </w:tc>
      </w:tr>
      <w:tr>
        <w:trPr>
          <w:trHeight w:val="151"/>
        </w:trPr>
        <w:tc>
          <w:tcPr>
            <w:tcW w:w="2380" w:type="dxa"/>
            <w:vAlign w:val="bottom"/>
            <w:shd w:val="clear" w:color="auto" w:fill="F3F3F4"/>
          </w:tcPr>
          <w:p>
            <w:pPr>
              <w:spacing w:after="0"/>
              <w:rPr>
                <w:sz w:val="13"/>
                <w:szCs w:val="13"/>
                <w:color w:val="auto"/>
              </w:rPr>
            </w:pPr>
          </w:p>
        </w:tc>
        <w:tc>
          <w:tcPr>
            <w:tcW w:w="2920" w:type="dxa"/>
            <w:vAlign w:val="bottom"/>
            <w:shd w:val="clear" w:color="auto" w:fill="F3F3F4"/>
          </w:tcPr>
          <w:p>
            <w:pPr>
              <w:ind w:left="80"/>
              <w:spacing w:after="0"/>
              <w:rPr>
                <w:sz w:val="20"/>
                <w:szCs w:val="20"/>
                <w:color w:val="auto"/>
              </w:rPr>
            </w:pPr>
            <w:r>
              <w:rPr>
                <w:rFonts w:ascii="Arial" w:cs="Arial" w:eastAsia="Arial" w:hAnsi="Arial"/>
                <w:sz w:val="13"/>
                <w:szCs w:val="13"/>
                <w:color w:val="auto"/>
              </w:rPr>
              <w:t>Eversource Energy, a public utility holding</w:t>
            </w:r>
          </w:p>
        </w:tc>
        <w:tc>
          <w:tcPr>
            <w:tcW w:w="1120" w:type="dxa"/>
            <w:vAlign w:val="bottom"/>
            <w:shd w:val="clear" w:color="auto" w:fill="F3F3F4"/>
          </w:tcPr>
          <w:p>
            <w:pPr>
              <w:spacing w:after="0"/>
              <w:rPr>
                <w:sz w:val="13"/>
                <w:szCs w:val="13"/>
                <w:color w:val="auto"/>
              </w:rPr>
            </w:pPr>
          </w:p>
        </w:tc>
        <w:tc>
          <w:tcPr>
            <w:tcW w:w="1560" w:type="dxa"/>
            <w:vAlign w:val="bottom"/>
            <w:shd w:val="clear" w:color="auto" w:fill="F3F3F4"/>
          </w:tcPr>
          <w:p>
            <w:pPr>
              <w:spacing w:after="0"/>
              <w:rPr>
                <w:sz w:val="13"/>
                <w:szCs w:val="13"/>
                <w:color w:val="auto"/>
              </w:rPr>
            </w:pPr>
          </w:p>
        </w:tc>
        <w:tc>
          <w:tcPr>
            <w:tcW w:w="3260" w:type="dxa"/>
            <w:vAlign w:val="bottom"/>
            <w:shd w:val="clear" w:color="auto" w:fill="F3F3F4"/>
          </w:tcPr>
          <w:p>
            <w:pPr>
              <w:ind w:left="440"/>
              <w:spacing w:after="0"/>
              <w:rPr>
                <w:sz w:val="20"/>
                <w:szCs w:val="20"/>
                <w:color w:val="auto"/>
              </w:rPr>
            </w:pPr>
            <w:r>
              <w:rPr>
                <w:rFonts w:ascii="Arial" w:cs="Arial" w:eastAsia="Arial" w:hAnsi="Arial"/>
                <w:sz w:val="13"/>
                <w:szCs w:val="13"/>
                <w:color w:val="auto"/>
              </w:rPr>
              <w:t>gas utility sector, with demonstrated</w:t>
            </w:r>
          </w:p>
        </w:tc>
      </w:tr>
      <w:tr>
        <w:trPr>
          <w:trHeight w:val="151"/>
        </w:trPr>
        <w:tc>
          <w:tcPr>
            <w:tcW w:w="2380" w:type="dxa"/>
            <w:vAlign w:val="bottom"/>
            <w:shd w:val="clear" w:color="auto" w:fill="F3F3F4"/>
          </w:tcPr>
          <w:p>
            <w:pPr>
              <w:spacing w:after="0"/>
              <w:rPr>
                <w:sz w:val="13"/>
                <w:szCs w:val="13"/>
                <w:color w:val="auto"/>
              </w:rPr>
            </w:pPr>
          </w:p>
        </w:tc>
        <w:tc>
          <w:tcPr>
            <w:tcW w:w="2920" w:type="dxa"/>
            <w:vAlign w:val="bottom"/>
            <w:shd w:val="clear" w:color="auto" w:fill="F3F3F4"/>
          </w:tcPr>
          <w:p>
            <w:pPr>
              <w:ind w:left="80"/>
              <w:spacing w:after="0"/>
              <w:rPr>
                <w:sz w:val="20"/>
                <w:szCs w:val="20"/>
                <w:color w:val="auto"/>
              </w:rPr>
            </w:pPr>
            <w:r>
              <w:rPr>
                <w:rFonts w:ascii="Arial" w:cs="Arial" w:eastAsia="Arial" w:hAnsi="Arial"/>
                <w:sz w:val="13"/>
                <w:szCs w:val="13"/>
                <w:color w:val="auto"/>
              </w:rPr>
              <w:t>company based in New England serving</w:t>
            </w:r>
          </w:p>
        </w:tc>
        <w:tc>
          <w:tcPr>
            <w:tcW w:w="1120" w:type="dxa"/>
            <w:vAlign w:val="bottom"/>
            <w:shd w:val="clear" w:color="auto" w:fill="F3F3F4"/>
          </w:tcPr>
          <w:p>
            <w:pPr>
              <w:spacing w:after="0"/>
              <w:rPr>
                <w:sz w:val="13"/>
                <w:szCs w:val="13"/>
                <w:color w:val="auto"/>
              </w:rPr>
            </w:pPr>
          </w:p>
        </w:tc>
        <w:tc>
          <w:tcPr>
            <w:tcW w:w="1560" w:type="dxa"/>
            <w:vAlign w:val="bottom"/>
            <w:shd w:val="clear" w:color="auto" w:fill="F3F3F4"/>
          </w:tcPr>
          <w:p>
            <w:pPr>
              <w:spacing w:after="0"/>
              <w:rPr>
                <w:sz w:val="13"/>
                <w:szCs w:val="13"/>
                <w:color w:val="auto"/>
              </w:rPr>
            </w:pPr>
          </w:p>
        </w:tc>
        <w:tc>
          <w:tcPr>
            <w:tcW w:w="3260" w:type="dxa"/>
            <w:vAlign w:val="bottom"/>
            <w:shd w:val="clear" w:color="auto" w:fill="F3F3F4"/>
          </w:tcPr>
          <w:p>
            <w:pPr>
              <w:ind w:left="440"/>
              <w:spacing w:after="0"/>
              <w:rPr>
                <w:sz w:val="20"/>
                <w:szCs w:val="20"/>
                <w:color w:val="auto"/>
              </w:rPr>
            </w:pPr>
            <w:r>
              <w:rPr>
                <w:rFonts w:ascii="Arial" w:cs="Arial" w:eastAsia="Arial" w:hAnsi="Arial"/>
                <w:sz w:val="13"/>
                <w:szCs w:val="13"/>
                <w:color w:val="auto"/>
              </w:rPr>
              <w:t>performance in high-quality customer service,</w:t>
            </w:r>
          </w:p>
        </w:tc>
      </w:tr>
      <w:tr>
        <w:trPr>
          <w:trHeight w:val="151"/>
        </w:trPr>
        <w:tc>
          <w:tcPr>
            <w:tcW w:w="2380" w:type="dxa"/>
            <w:vAlign w:val="bottom"/>
            <w:shd w:val="clear" w:color="auto" w:fill="F3F3F4"/>
          </w:tcPr>
          <w:p>
            <w:pPr>
              <w:spacing w:after="0"/>
              <w:rPr>
                <w:sz w:val="13"/>
                <w:szCs w:val="13"/>
                <w:color w:val="auto"/>
              </w:rPr>
            </w:pPr>
          </w:p>
        </w:tc>
        <w:tc>
          <w:tcPr>
            <w:tcW w:w="2920" w:type="dxa"/>
            <w:vAlign w:val="bottom"/>
            <w:shd w:val="clear" w:color="auto" w:fill="F3F3F4"/>
          </w:tcPr>
          <w:p>
            <w:pPr>
              <w:ind w:left="80"/>
              <w:spacing w:after="0"/>
              <w:rPr>
                <w:sz w:val="20"/>
                <w:szCs w:val="20"/>
                <w:color w:val="auto"/>
              </w:rPr>
            </w:pPr>
            <w:r>
              <w:rPr>
                <w:rFonts w:ascii="Arial" w:cs="Arial" w:eastAsia="Arial" w:hAnsi="Arial"/>
                <w:sz w:val="13"/>
                <w:szCs w:val="13"/>
                <w:color w:val="auto"/>
              </w:rPr>
              <w:t>Connecticut, Massachusetts and New</w:t>
            </w:r>
          </w:p>
        </w:tc>
        <w:tc>
          <w:tcPr>
            <w:tcW w:w="1120" w:type="dxa"/>
            <w:vAlign w:val="bottom"/>
            <w:shd w:val="clear" w:color="auto" w:fill="F3F3F4"/>
          </w:tcPr>
          <w:p>
            <w:pPr>
              <w:spacing w:after="0"/>
              <w:rPr>
                <w:sz w:val="13"/>
                <w:szCs w:val="13"/>
                <w:color w:val="auto"/>
              </w:rPr>
            </w:pPr>
          </w:p>
        </w:tc>
        <w:tc>
          <w:tcPr>
            <w:tcW w:w="1560" w:type="dxa"/>
            <w:vAlign w:val="bottom"/>
            <w:shd w:val="clear" w:color="auto" w:fill="F3F3F4"/>
          </w:tcPr>
          <w:p>
            <w:pPr>
              <w:spacing w:after="0"/>
              <w:rPr>
                <w:sz w:val="13"/>
                <w:szCs w:val="13"/>
                <w:color w:val="auto"/>
              </w:rPr>
            </w:pPr>
          </w:p>
        </w:tc>
        <w:tc>
          <w:tcPr>
            <w:tcW w:w="3260" w:type="dxa"/>
            <w:vAlign w:val="bottom"/>
            <w:shd w:val="clear" w:color="auto" w:fill="F3F3F4"/>
          </w:tcPr>
          <w:p>
            <w:pPr>
              <w:ind w:left="440"/>
              <w:spacing w:after="0"/>
              <w:rPr>
                <w:sz w:val="20"/>
                <w:szCs w:val="20"/>
                <w:color w:val="auto"/>
              </w:rPr>
            </w:pPr>
            <w:r>
              <w:rPr>
                <w:rFonts w:ascii="Arial" w:cs="Arial" w:eastAsia="Arial" w:hAnsi="Arial"/>
                <w:sz w:val="13"/>
                <w:szCs w:val="13"/>
                <w:color w:val="auto"/>
              </w:rPr>
              <w:t>strategy development and capital allocation</w:t>
            </w:r>
          </w:p>
        </w:tc>
      </w:tr>
      <w:tr>
        <w:trPr>
          <w:trHeight w:val="227"/>
        </w:trPr>
        <w:tc>
          <w:tcPr>
            <w:tcW w:w="2380" w:type="dxa"/>
            <w:vAlign w:val="bottom"/>
            <w:tcBorders>
              <w:bottom w:val="single" w:sz="8" w:color="F3F3F4"/>
            </w:tcBorders>
            <w:shd w:val="clear" w:color="auto" w:fill="F3F3F4"/>
          </w:tcPr>
          <w:p>
            <w:pPr>
              <w:spacing w:after="0"/>
              <w:rPr>
                <w:sz w:val="19"/>
                <w:szCs w:val="19"/>
                <w:color w:val="auto"/>
              </w:rPr>
            </w:pPr>
          </w:p>
        </w:tc>
        <w:tc>
          <w:tcPr>
            <w:tcW w:w="2920" w:type="dxa"/>
            <w:vAlign w:val="bottom"/>
            <w:tcBorders>
              <w:bottom w:val="single" w:sz="8" w:color="F3F3F4"/>
            </w:tcBorders>
            <w:shd w:val="clear" w:color="auto" w:fill="F3F3F4"/>
          </w:tcPr>
          <w:p>
            <w:pPr>
              <w:ind w:left="80"/>
              <w:spacing w:after="0"/>
              <w:rPr>
                <w:sz w:val="20"/>
                <w:szCs w:val="20"/>
                <w:color w:val="auto"/>
              </w:rPr>
            </w:pPr>
            <w:r>
              <w:rPr>
                <w:rFonts w:ascii="Arial" w:cs="Arial" w:eastAsia="Arial" w:hAnsi="Arial"/>
                <w:sz w:val="13"/>
                <w:szCs w:val="13"/>
                <w:color w:val="auto"/>
              </w:rPr>
              <w:t>Hampshire</w:t>
            </w:r>
          </w:p>
        </w:tc>
        <w:tc>
          <w:tcPr>
            <w:tcW w:w="1120" w:type="dxa"/>
            <w:vAlign w:val="bottom"/>
            <w:tcBorders>
              <w:bottom w:val="single" w:sz="8" w:color="F3F3F4"/>
            </w:tcBorders>
            <w:shd w:val="clear" w:color="auto" w:fill="F3F3F4"/>
          </w:tcPr>
          <w:p>
            <w:pPr>
              <w:spacing w:after="0"/>
              <w:rPr>
                <w:sz w:val="19"/>
                <w:szCs w:val="19"/>
                <w:color w:val="auto"/>
              </w:rPr>
            </w:pPr>
          </w:p>
        </w:tc>
        <w:tc>
          <w:tcPr>
            <w:tcW w:w="1560" w:type="dxa"/>
            <w:vAlign w:val="bottom"/>
            <w:tcBorders>
              <w:bottom w:val="single" w:sz="8" w:color="F3F3F4"/>
            </w:tcBorders>
            <w:shd w:val="clear" w:color="auto" w:fill="F3F3F4"/>
          </w:tcPr>
          <w:p>
            <w:pPr>
              <w:spacing w:after="0"/>
              <w:rPr>
                <w:sz w:val="19"/>
                <w:szCs w:val="19"/>
                <w:color w:val="auto"/>
              </w:rPr>
            </w:pPr>
          </w:p>
        </w:tc>
        <w:tc>
          <w:tcPr>
            <w:tcW w:w="3260" w:type="dxa"/>
            <w:vAlign w:val="bottom"/>
            <w:tcBorders>
              <w:bottom w:val="single" w:sz="8" w:color="F3F3F4"/>
            </w:tcBorders>
            <w:shd w:val="clear" w:color="auto" w:fill="F3F3F4"/>
          </w:tcPr>
          <w:p>
            <w:pPr>
              <w:spacing w:after="0"/>
              <w:rPr>
                <w:sz w:val="19"/>
                <w:szCs w:val="19"/>
                <w:color w:val="auto"/>
              </w:rPr>
            </w:pPr>
          </w:p>
        </w:tc>
      </w:tr>
      <w:tr>
        <w:trPr>
          <w:trHeight w:val="200"/>
        </w:trPr>
        <w:tc>
          <w:tcPr>
            <w:tcW w:w="2380" w:type="dxa"/>
            <w:vAlign w:val="bottom"/>
            <w:tcBorders>
              <w:top w:val="single" w:sz="8" w:color="808080"/>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Gloria L. Valdez</w:t>
            </w:r>
          </w:p>
        </w:tc>
        <w:tc>
          <w:tcPr>
            <w:tcW w:w="2920" w:type="dxa"/>
            <w:vAlign w:val="bottom"/>
            <w:tcBorders>
              <w:top w:val="single" w:sz="8" w:color="808080"/>
            </w:tcBorders>
            <w:shd w:val="clear" w:color="auto" w:fill="F3F3F4"/>
          </w:tcPr>
          <w:p>
            <w:pPr>
              <w:ind w:left="80"/>
              <w:spacing w:after="0"/>
              <w:rPr>
                <w:sz w:val="20"/>
                <w:szCs w:val="20"/>
                <w:color w:val="auto"/>
              </w:rPr>
            </w:pPr>
            <w:r>
              <w:rPr>
                <w:rFonts w:ascii="Arial" w:cs="Arial" w:eastAsia="Arial" w:hAnsi="Arial"/>
                <w:sz w:val="13"/>
                <w:szCs w:val="13"/>
                <w:color w:val="auto"/>
              </w:rPr>
              <w:t>Retired Deputy Assistant Secretary of the</w:t>
            </w:r>
          </w:p>
        </w:tc>
        <w:tc>
          <w:tcPr>
            <w:tcW w:w="1120" w:type="dxa"/>
            <w:vAlign w:val="bottom"/>
            <w:tcBorders>
              <w:top w:val="single" w:sz="8" w:color="808080"/>
            </w:tcBorders>
            <w:shd w:val="clear" w:color="auto" w:fill="F3F3F4"/>
          </w:tcPr>
          <w:p>
            <w:pPr>
              <w:ind w:left="100"/>
              <w:spacing w:after="0"/>
              <w:rPr>
                <w:sz w:val="20"/>
                <w:szCs w:val="20"/>
                <w:color w:val="auto"/>
              </w:rPr>
            </w:pPr>
            <w:r>
              <w:rPr>
                <w:rFonts w:ascii="Arial" w:cs="Arial" w:eastAsia="Arial" w:hAnsi="Arial"/>
                <w:sz w:val="13"/>
                <w:szCs w:val="13"/>
                <w:color w:val="auto"/>
              </w:rPr>
              <w:t>Yes</w:t>
            </w:r>
          </w:p>
        </w:tc>
        <w:tc>
          <w:tcPr>
            <w:tcW w:w="1560" w:type="dxa"/>
            <w:vAlign w:val="bottom"/>
            <w:tcBorders>
              <w:top w:val="single" w:sz="8" w:color="808080"/>
            </w:tcBorders>
            <w:shd w:val="clear" w:color="auto" w:fill="F3F3F4"/>
          </w:tcPr>
          <w:p>
            <w:pPr>
              <w:ind w:left="200"/>
              <w:spacing w:after="0"/>
              <w:rPr>
                <w:sz w:val="20"/>
                <w:szCs w:val="20"/>
                <w:color w:val="auto"/>
              </w:rPr>
            </w:pPr>
            <w:r>
              <w:rPr>
                <w:rFonts w:ascii="Arial" w:cs="Arial" w:eastAsia="Arial" w:hAnsi="Arial"/>
                <w:sz w:val="13"/>
                <w:szCs w:val="13"/>
                <w:color w:val="auto"/>
              </w:rPr>
              <w:t>Compensation,</w:t>
            </w:r>
          </w:p>
        </w:tc>
        <w:tc>
          <w:tcPr>
            <w:tcW w:w="3260" w:type="dxa"/>
            <w:vAlign w:val="bottom"/>
            <w:tcBorders>
              <w:top w:val="single" w:sz="8" w:color="808080"/>
            </w:tcBorders>
            <w:shd w:val="clear" w:color="auto" w:fill="F3F3F4"/>
          </w:tcPr>
          <w:p>
            <w:pPr>
              <w:ind w:left="440"/>
              <w:spacing w:after="0"/>
              <w:rPr>
                <w:sz w:val="20"/>
                <w:szCs w:val="20"/>
                <w:color w:val="auto"/>
              </w:rPr>
            </w:pPr>
            <w:r>
              <w:rPr>
                <w:rFonts w:ascii="Arial" w:cs="Arial" w:eastAsia="Arial" w:hAnsi="Arial"/>
                <w:sz w:val="13"/>
                <w:szCs w:val="13"/>
                <w:color w:val="auto"/>
              </w:rPr>
              <w:t>Over three decades of strategic and</w:t>
            </w:r>
          </w:p>
        </w:tc>
      </w:tr>
      <w:tr>
        <w:trPr>
          <w:trHeight w:val="151"/>
        </w:trPr>
        <w:tc>
          <w:tcPr>
            <w:tcW w:w="2380" w:type="dxa"/>
            <w:vAlign w:val="bottom"/>
            <w:shd w:val="clear" w:color="auto" w:fill="F3F3F4"/>
          </w:tcPr>
          <w:p>
            <w:pPr>
              <w:spacing w:after="0"/>
              <w:rPr>
                <w:sz w:val="13"/>
                <w:szCs w:val="13"/>
                <w:color w:val="auto"/>
              </w:rPr>
            </w:pPr>
          </w:p>
        </w:tc>
        <w:tc>
          <w:tcPr>
            <w:tcW w:w="2920" w:type="dxa"/>
            <w:vAlign w:val="bottom"/>
            <w:shd w:val="clear" w:color="auto" w:fill="F3F3F4"/>
          </w:tcPr>
          <w:p>
            <w:pPr>
              <w:ind w:left="80"/>
              <w:spacing w:after="0"/>
              <w:rPr>
                <w:sz w:val="20"/>
                <w:szCs w:val="20"/>
                <w:color w:val="auto"/>
              </w:rPr>
            </w:pPr>
            <w:r>
              <w:rPr>
                <w:rFonts w:ascii="Arial" w:cs="Arial" w:eastAsia="Arial" w:hAnsi="Arial"/>
                <w:sz w:val="13"/>
                <w:szCs w:val="13"/>
                <w:color w:val="auto"/>
              </w:rPr>
              <w:t>Navy within the Office of the Assistant</w:t>
            </w:r>
          </w:p>
        </w:tc>
        <w:tc>
          <w:tcPr>
            <w:tcW w:w="1120" w:type="dxa"/>
            <w:vAlign w:val="bottom"/>
            <w:shd w:val="clear" w:color="auto" w:fill="F3F3F4"/>
          </w:tcPr>
          <w:p>
            <w:pPr>
              <w:spacing w:after="0"/>
              <w:rPr>
                <w:sz w:val="13"/>
                <w:szCs w:val="13"/>
                <w:color w:val="auto"/>
              </w:rPr>
            </w:pPr>
          </w:p>
        </w:tc>
        <w:tc>
          <w:tcPr>
            <w:tcW w:w="1560" w:type="dxa"/>
            <w:vAlign w:val="bottom"/>
            <w:shd w:val="clear" w:color="auto" w:fill="F3F3F4"/>
          </w:tcPr>
          <w:p>
            <w:pPr>
              <w:ind w:left="200"/>
              <w:spacing w:after="0"/>
              <w:rPr>
                <w:sz w:val="20"/>
                <w:szCs w:val="20"/>
                <w:color w:val="auto"/>
              </w:rPr>
            </w:pPr>
            <w:r>
              <w:rPr>
                <w:rFonts w:ascii="Arial" w:cs="Arial" w:eastAsia="Arial" w:hAnsi="Arial"/>
                <w:sz w:val="13"/>
                <w:szCs w:val="13"/>
                <w:color w:val="auto"/>
              </w:rPr>
              <w:t>Governance</w:t>
            </w:r>
          </w:p>
        </w:tc>
        <w:tc>
          <w:tcPr>
            <w:tcW w:w="3260" w:type="dxa"/>
            <w:vAlign w:val="bottom"/>
            <w:shd w:val="clear" w:color="auto" w:fill="F3F3F4"/>
          </w:tcPr>
          <w:p>
            <w:pPr>
              <w:ind w:left="440"/>
              <w:spacing w:after="0"/>
              <w:rPr>
                <w:sz w:val="20"/>
                <w:szCs w:val="20"/>
                <w:color w:val="auto"/>
              </w:rPr>
            </w:pPr>
            <w:r>
              <w:rPr>
                <w:rFonts w:ascii="Arial" w:cs="Arial" w:eastAsia="Arial" w:hAnsi="Arial"/>
                <w:sz w:val="13"/>
                <w:szCs w:val="13"/>
                <w:color w:val="auto"/>
              </w:rPr>
              <w:t>operational experience in the defense</w:t>
            </w:r>
          </w:p>
        </w:tc>
      </w:tr>
      <w:tr>
        <w:trPr>
          <w:trHeight w:val="151"/>
        </w:trPr>
        <w:tc>
          <w:tcPr>
            <w:tcW w:w="2380" w:type="dxa"/>
            <w:vAlign w:val="bottom"/>
            <w:shd w:val="clear" w:color="auto" w:fill="F3F3F4"/>
          </w:tcPr>
          <w:p>
            <w:pPr>
              <w:spacing w:after="0"/>
              <w:rPr>
                <w:sz w:val="13"/>
                <w:szCs w:val="13"/>
                <w:color w:val="auto"/>
              </w:rPr>
            </w:pPr>
          </w:p>
        </w:tc>
        <w:tc>
          <w:tcPr>
            <w:tcW w:w="2920" w:type="dxa"/>
            <w:vAlign w:val="bottom"/>
            <w:shd w:val="clear" w:color="auto" w:fill="F3F3F4"/>
          </w:tcPr>
          <w:p>
            <w:pPr>
              <w:ind w:left="80"/>
              <w:spacing w:after="0"/>
              <w:rPr>
                <w:sz w:val="20"/>
                <w:szCs w:val="20"/>
                <w:color w:val="auto"/>
              </w:rPr>
            </w:pPr>
            <w:r>
              <w:rPr>
                <w:rFonts w:ascii="Arial" w:cs="Arial" w:eastAsia="Arial" w:hAnsi="Arial"/>
                <w:sz w:val="13"/>
                <w:szCs w:val="13"/>
                <w:color w:val="auto"/>
              </w:rPr>
              <w:t>Secretary of the Navy (ASN) for Research,</w:t>
            </w:r>
          </w:p>
        </w:tc>
        <w:tc>
          <w:tcPr>
            <w:tcW w:w="1120" w:type="dxa"/>
            <w:vAlign w:val="bottom"/>
            <w:shd w:val="clear" w:color="auto" w:fill="F3F3F4"/>
          </w:tcPr>
          <w:p>
            <w:pPr>
              <w:spacing w:after="0"/>
              <w:rPr>
                <w:sz w:val="13"/>
                <w:szCs w:val="13"/>
                <w:color w:val="auto"/>
              </w:rPr>
            </w:pPr>
          </w:p>
        </w:tc>
        <w:tc>
          <w:tcPr>
            <w:tcW w:w="1560" w:type="dxa"/>
            <w:vAlign w:val="bottom"/>
            <w:shd w:val="clear" w:color="auto" w:fill="F3F3F4"/>
          </w:tcPr>
          <w:p>
            <w:pPr>
              <w:spacing w:after="0"/>
              <w:rPr>
                <w:sz w:val="13"/>
                <w:szCs w:val="13"/>
                <w:color w:val="auto"/>
              </w:rPr>
            </w:pPr>
          </w:p>
        </w:tc>
        <w:tc>
          <w:tcPr>
            <w:tcW w:w="3260" w:type="dxa"/>
            <w:vAlign w:val="bottom"/>
            <w:shd w:val="clear" w:color="auto" w:fill="F3F3F4"/>
          </w:tcPr>
          <w:p>
            <w:pPr>
              <w:ind w:left="440"/>
              <w:spacing w:after="0"/>
              <w:rPr>
                <w:sz w:val="20"/>
                <w:szCs w:val="20"/>
                <w:color w:val="auto"/>
              </w:rPr>
            </w:pPr>
            <w:r>
              <w:rPr>
                <w:rFonts w:ascii="Arial" w:cs="Arial" w:eastAsia="Arial" w:hAnsi="Arial"/>
                <w:sz w:val="13"/>
                <w:szCs w:val="13"/>
                <w:color w:val="auto"/>
              </w:rPr>
              <w:t>markets as well as management and financial</w:t>
            </w:r>
          </w:p>
        </w:tc>
      </w:tr>
      <w:tr>
        <w:trPr>
          <w:trHeight w:val="202"/>
        </w:trPr>
        <w:tc>
          <w:tcPr>
            <w:tcW w:w="2380" w:type="dxa"/>
            <w:vAlign w:val="bottom"/>
            <w:tcBorders>
              <w:bottom w:val="single" w:sz="8" w:color="F3F3F4"/>
            </w:tcBorders>
            <w:shd w:val="clear" w:color="auto" w:fill="F3F3F4"/>
          </w:tcPr>
          <w:p>
            <w:pPr>
              <w:spacing w:after="0"/>
              <w:rPr>
                <w:sz w:val="17"/>
                <w:szCs w:val="17"/>
                <w:color w:val="auto"/>
              </w:rPr>
            </w:pPr>
          </w:p>
        </w:tc>
        <w:tc>
          <w:tcPr>
            <w:tcW w:w="2920" w:type="dxa"/>
            <w:vAlign w:val="bottom"/>
            <w:tcBorders>
              <w:bottom w:val="single" w:sz="8" w:color="F3F3F4"/>
            </w:tcBorders>
            <w:shd w:val="clear" w:color="auto" w:fill="F3F3F4"/>
          </w:tcPr>
          <w:p>
            <w:pPr>
              <w:ind w:left="80"/>
              <w:spacing w:after="0"/>
              <w:rPr>
                <w:sz w:val="20"/>
                <w:szCs w:val="20"/>
                <w:color w:val="auto"/>
              </w:rPr>
            </w:pPr>
            <w:r>
              <w:rPr>
                <w:rFonts w:ascii="Arial" w:cs="Arial" w:eastAsia="Arial" w:hAnsi="Arial"/>
                <w:sz w:val="13"/>
                <w:szCs w:val="13"/>
                <w:color w:val="auto"/>
              </w:rPr>
              <w:t>Development and Acquisition</w:t>
            </w:r>
          </w:p>
        </w:tc>
        <w:tc>
          <w:tcPr>
            <w:tcW w:w="1120" w:type="dxa"/>
            <w:vAlign w:val="bottom"/>
            <w:tcBorders>
              <w:bottom w:val="single" w:sz="8" w:color="F3F3F4"/>
            </w:tcBorders>
            <w:shd w:val="clear" w:color="auto" w:fill="F3F3F4"/>
          </w:tcPr>
          <w:p>
            <w:pPr>
              <w:spacing w:after="0"/>
              <w:rPr>
                <w:sz w:val="17"/>
                <w:szCs w:val="17"/>
                <w:color w:val="auto"/>
              </w:rPr>
            </w:pPr>
          </w:p>
        </w:tc>
        <w:tc>
          <w:tcPr>
            <w:tcW w:w="1560" w:type="dxa"/>
            <w:vAlign w:val="bottom"/>
            <w:tcBorders>
              <w:bottom w:val="single" w:sz="8" w:color="F3F3F4"/>
            </w:tcBorders>
            <w:shd w:val="clear" w:color="auto" w:fill="F3F3F4"/>
          </w:tcPr>
          <w:p>
            <w:pPr>
              <w:spacing w:after="0"/>
              <w:rPr>
                <w:sz w:val="17"/>
                <w:szCs w:val="17"/>
                <w:color w:val="auto"/>
              </w:rPr>
            </w:pPr>
          </w:p>
        </w:tc>
        <w:tc>
          <w:tcPr>
            <w:tcW w:w="3260" w:type="dxa"/>
            <w:vAlign w:val="bottom"/>
            <w:tcBorders>
              <w:bottom w:val="single" w:sz="8" w:color="F3F3F4"/>
            </w:tcBorders>
            <w:shd w:val="clear" w:color="auto" w:fill="F3F3F4"/>
          </w:tcPr>
          <w:p>
            <w:pPr>
              <w:ind w:left="440"/>
              <w:spacing w:after="0"/>
              <w:rPr>
                <w:sz w:val="20"/>
                <w:szCs w:val="20"/>
                <w:color w:val="auto"/>
              </w:rPr>
            </w:pPr>
            <w:r>
              <w:rPr>
                <w:rFonts w:ascii="Arial" w:cs="Arial" w:eastAsia="Arial" w:hAnsi="Arial"/>
                <w:sz w:val="13"/>
                <w:szCs w:val="13"/>
                <w:color w:val="auto"/>
              </w:rPr>
              <w:t>expertise</w:t>
            </w:r>
          </w:p>
        </w:tc>
      </w:tr>
      <w:tr>
        <w:trPr>
          <w:trHeight w:val="20"/>
        </w:trPr>
        <w:tc>
          <w:tcPr>
            <w:tcW w:w="2380" w:type="dxa"/>
            <w:vAlign w:val="bottom"/>
            <w:shd w:val="clear" w:color="auto" w:fill="808080"/>
          </w:tcPr>
          <w:p>
            <w:pPr>
              <w:spacing w:after="0" w:line="20" w:lineRule="exact"/>
              <w:rPr>
                <w:sz w:val="1"/>
                <w:szCs w:val="1"/>
                <w:color w:val="auto"/>
              </w:rPr>
            </w:pPr>
          </w:p>
        </w:tc>
        <w:tc>
          <w:tcPr>
            <w:tcW w:w="2920" w:type="dxa"/>
            <w:vAlign w:val="bottom"/>
            <w:shd w:val="clear" w:color="auto" w:fill="808080"/>
          </w:tcPr>
          <w:p>
            <w:pPr>
              <w:spacing w:after="0" w:line="20" w:lineRule="exact"/>
              <w:rPr>
                <w:sz w:val="1"/>
                <w:szCs w:val="1"/>
                <w:color w:val="auto"/>
              </w:rPr>
            </w:pPr>
          </w:p>
        </w:tc>
        <w:tc>
          <w:tcPr>
            <w:tcW w:w="1120" w:type="dxa"/>
            <w:vAlign w:val="bottom"/>
            <w:shd w:val="clear" w:color="auto" w:fill="808080"/>
          </w:tcPr>
          <w:p>
            <w:pPr>
              <w:spacing w:after="0" w:line="20" w:lineRule="exact"/>
              <w:rPr>
                <w:sz w:val="1"/>
                <w:szCs w:val="1"/>
                <w:color w:val="auto"/>
              </w:rPr>
            </w:pPr>
          </w:p>
        </w:tc>
        <w:tc>
          <w:tcPr>
            <w:tcW w:w="1560" w:type="dxa"/>
            <w:vAlign w:val="bottom"/>
            <w:shd w:val="clear" w:color="auto" w:fill="808080"/>
          </w:tcPr>
          <w:p>
            <w:pPr>
              <w:spacing w:after="0" w:line="20" w:lineRule="exact"/>
              <w:rPr>
                <w:sz w:val="1"/>
                <w:szCs w:val="1"/>
                <w:color w:val="auto"/>
              </w:rPr>
            </w:pPr>
          </w:p>
        </w:tc>
        <w:tc>
          <w:tcPr>
            <w:tcW w:w="3260" w:type="dxa"/>
            <w:vAlign w:val="bottom"/>
            <w:shd w:val="clear" w:color="auto" w:fill="808080"/>
          </w:tcPr>
          <w:p>
            <w:pPr>
              <w:spacing w:after="0" w:line="20" w:lineRule="exact"/>
              <w:rPr>
                <w:sz w:val="1"/>
                <w:szCs w:val="1"/>
                <w:color w:val="auto"/>
              </w:rPr>
            </w:pPr>
          </w:p>
        </w:tc>
      </w:tr>
    </w:tbl>
    <w:p>
      <w:pPr>
        <w:spacing w:after="0" w:line="255"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DIRECTOR DIVERSITY AND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4121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6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Diversity is one of the factors that our Governance Committee considers in identifying the pool of director search candidates. The Board appreciates the benefits diversity brings and strives to assemble a Board with not only a variety of business and professional backgrounds, but also diversity in areas such as race, ethnicity and 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2997200</wp:posOffset>
            </wp:positionV>
            <wp:extent cx="714121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256540</wp:posOffset>
            </wp:positionV>
            <wp:extent cx="6812915" cy="2484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12915" cy="248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660" w:val="left"/>
          <w:tab w:leader="none" w:pos="1116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PROXY STATEMENT SUMMARY</w:t>
      </w:r>
      <w:r>
        <w:rPr>
          <w:sz w:val="20"/>
          <w:szCs w:val="20"/>
          <w:color w:val="auto"/>
        </w:rPr>
        <w:tab/>
      </w:r>
      <w:r>
        <w:rPr>
          <w:rFonts w:ascii="Arial" w:cs="Arial" w:eastAsia="Arial" w:hAnsi="Arial"/>
          <w:sz w:val="10"/>
          <w:szCs w:val="1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b w:val="1"/>
          <w:bCs w:val="1"/>
          <w:color w:val="auto"/>
        </w:rPr>
        <w:t>COMPANY OVERVIEW AND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4121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auto"/>
        </w:rPr>
        <w:t>We are:</w:t>
      </w:r>
    </w:p>
    <w:p>
      <w:pPr>
        <w:spacing w:after="0" w:line="130" w:lineRule="exact"/>
        <w:rPr>
          <w:sz w:val="20"/>
          <w:szCs w:val="20"/>
          <w:color w:val="auto"/>
        </w:rPr>
      </w:pPr>
    </w:p>
    <w:p>
      <w:pPr>
        <w:ind w:left="340" w:right="20" w:hanging="326"/>
        <w:spacing w:after="0" w:line="282"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5"/>
          <w:szCs w:val="15"/>
          <w:color w:val="auto"/>
        </w:rPr>
        <w:t>A global provider of highly engineered filtration and fluid control products and integrated propulsion systems for the aviation, navy, space and process markets worldwide, as well as composite-based products and solutions for navy, defense and industrial customers;</w:t>
      </w:r>
    </w:p>
    <w:p>
      <w:pPr>
        <w:spacing w:after="0" w:line="74" w:lineRule="exact"/>
        <w:rPr>
          <w:rFonts w:ascii="Arial" w:cs="Arial" w:eastAsia="Arial" w:hAnsi="Arial"/>
          <w:sz w:val="13"/>
          <w:szCs w:val="13"/>
          <w:color w:val="auto"/>
        </w:rPr>
      </w:pPr>
    </w:p>
    <w:p>
      <w:pPr>
        <w:ind w:left="340" w:hanging="326"/>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5"/>
          <w:szCs w:val="15"/>
          <w:color w:val="auto"/>
        </w:rPr>
        <w:t>An industry leader in radio frequency shielding and electromagnetic compatibility test products; and</w:t>
      </w:r>
    </w:p>
    <w:p>
      <w:pPr>
        <w:spacing w:after="0" w:line="130" w:lineRule="exact"/>
        <w:rPr>
          <w:rFonts w:ascii="Arial" w:cs="Arial" w:eastAsia="Arial" w:hAnsi="Arial"/>
          <w:sz w:val="13"/>
          <w:szCs w:val="13"/>
          <w:color w:val="auto"/>
        </w:rPr>
      </w:pPr>
    </w:p>
    <w:p>
      <w:pPr>
        <w:ind w:left="340" w:hanging="326"/>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5"/>
          <w:szCs w:val="15"/>
          <w:color w:val="auto"/>
        </w:rPr>
        <w:t>A leading provider of diagnostic instruments, software and services for the benefit of industrial power users and the electric utility and renewable energy industries.</w:t>
      </w:r>
    </w:p>
    <w:p>
      <w:pPr>
        <w:spacing w:after="0" w:line="206"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We conduct our business through a number of wholly-owned direct and indirect subsidiaries. Our business is focused on generating predictable and profitable long-term growth through continued innovation and expansion of our product offerings across each of our business segments.</w:t>
      </w:r>
    </w:p>
    <w:p>
      <w:pPr>
        <w:spacing w:after="0" w:line="150"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In 2024, strong demand across our core end-markets drove record orders and sales. We leveraged that growth to deliver improved profit margins and diluted EPS that increased 10 percent to $3.94 per share. With a solid balance sheet and substantial liquidity, we remain well positioned to fund both future investments to drive organic growth and acquisitions to add to our technology-driven portfolio of products and services.</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The following are only selected measures of Company performance. For complete financial information, please see the audited financial statements included in our 2024 Annual Report to Shareholders.</w:t>
      </w:r>
    </w:p>
    <w:p>
      <w:pPr>
        <w:spacing w:after="0" w:line="165" w:lineRule="exact"/>
        <w:rPr>
          <w:sz w:val="20"/>
          <w:szCs w:val="20"/>
          <w:color w:val="auto"/>
        </w:rPr>
      </w:pPr>
    </w:p>
    <w:p>
      <w:pPr>
        <w:spacing w:after="0"/>
        <w:tabs>
          <w:tab w:leader="none" w:pos="3760" w:val="left"/>
          <w:tab w:leader="none" w:pos="7580" w:val="left"/>
        </w:tabs>
        <w:rPr>
          <w:sz w:val="20"/>
          <w:szCs w:val="20"/>
          <w:color w:val="auto"/>
        </w:rPr>
      </w:pPr>
      <w:r>
        <w:rPr>
          <w:rFonts w:ascii="Arial" w:cs="Arial" w:eastAsia="Arial" w:hAnsi="Arial"/>
          <w:sz w:val="21"/>
          <w:szCs w:val="21"/>
          <w:b w:val="1"/>
          <w:bCs w:val="1"/>
          <w:color w:val="auto"/>
        </w:rPr>
        <w:t>Net Sales</w:t>
      </w:r>
      <w:r>
        <w:rPr>
          <w:sz w:val="20"/>
          <w:szCs w:val="20"/>
          <w:color w:val="auto"/>
        </w:rPr>
        <w:tab/>
      </w:r>
      <w:r>
        <w:rPr>
          <w:rFonts w:ascii="Arial" w:cs="Arial" w:eastAsia="Arial" w:hAnsi="Arial"/>
          <w:sz w:val="21"/>
          <w:szCs w:val="21"/>
          <w:b w:val="1"/>
          <w:bCs w:val="1"/>
          <w:color w:val="auto"/>
        </w:rPr>
        <w:t>Net Earnings</w:t>
      </w:r>
      <w:r>
        <w:rPr>
          <w:sz w:val="20"/>
          <w:szCs w:val="20"/>
          <w:color w:val="auto"/>
        </w:rPr>
        <w:tab/>
      </w:r>
      <w:r>
        <w:rPr>
          <w:rFonts w:ascii="Arial" w:cs="Arial" w:eastAsia="Arial" w:hAnsi="Arial"/>
          <w:sz w:val="20"/>
          <w:szCs w:val="20"/>
          <w:b w:val="1"/>
          <w:bCs w:val="1"/>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012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1205" cy="825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443"/>
        </w:trPr>
        <w:tc>
          <w:tcPr>
            <w:tcW w:w="3780" w:type="dxa"/>
            <w:vAlign w:val="bottom"/>
            <w:gridSpan w:val="2"/>
          </w:tcPr>
          <w:p>
            <w:pPr>
              <w:spacing w:after="0"/>
              <w:rPr>
                <w:sz w:val="20"/>
                <w:szCs w:val="20"/>
                <w:color w:val="auto"/>
              </w:rPr>
            </w:pPr>
            <w:r>
              <w:rPr>
                <w:rFonts w:ascii="Georgia" w:cs="Georgia" w:eastAsia="Georgia" w:hAnsi="Georgia"/>
                <w:sz w:val="39"/>
                <w:szCs w:val="39"/>
                <w:b w:val="1"/>
                <w:bCs w:val="1"/>
                <w:color w:val="147EB9"/>
              </w:rPr>
              <w:t>$1,027M</w:t>
            </w:r>
          </w:p>
        </w:tc>
        <w:tc>
          <w:tcPr>
            <w:tcW w:w="3820" w:type="dxa"/>
            <w:vAlign w:val="bottom"/>
            <w:gridSpan w:val="2"/>
          </w:tcPr>
          <w:p>
            <w:pPr>
              <w:spacing w:after="0"/>
              <w:rPr>
                <w:sz w:val="20"/>
                <w:szCs w:val="20"/>
                <w:color w:val="auto"/>
              </w:rPr>
            </w:pPr>
            <w:r>
              <w:rPr>
                <w:rFonts w:ascii="Georgia" w:cs="Georgia" w:eastAsia="Georgia" w:hAnsi="Georgia"/>
                <w:sz w:val="39"/>
                <w:szCs w:val="39"/>
                <w:b w:val="1"/>
                <w:bCs w:val="1"/>
                <w:color w:val="147EB9"/>
              </w:rPr>
              <w:t>$101.9M</w:t>
            </w:r>
          </w:p>
        </w:tc>
        <w:tc>
          <w:tcPr>
            <w:tcW w:w="3580" w:type="dxa"/>
            <w:vAlign w:val="bottom"/>
          </w:tcPr>
          <w:p>
            <w:pPr>
              <w:spacing w:after="0"/>
              <w:rPr>
                <w:sz w:val="20"/>
                <w:szCs w:val="20"/>
                <w:color w:val="auto"/>
              </w:rPr>
            </w:pPr>
            <w:r>
              <w:rPr>
                <w:rFonts w:ascii="Georgia" w:cs="Georgia" w:eastAsia="Georgia" w:hAnsi="Georgia"/>
                <w:sz w:val="39"/>
                <w:szCs w:val="39"/>
                <w:b w:val="1"/>
                <w:bCs w:val="1"/>
                <w:color w:val="147EB9"/>
              </w:rPr>
              <w:t>$3.94</w:t>
            </w:r>
          </w:p>
        </w:tc>
      </w:tr>
      <w:tr>
        <w:trPr>
          <w:trHeight w:val="275"/>
        </w:trPr>
        <w:tc>
          <w:tcPr>
            <w:tcW w:w="3780" w:type="dxa"/>
            <w:vAlign w:val="bottom"/>
            <w:gridSpan w:val="2"/>
          </w:tcPr>
          <w:p>
            <w:pPr>
              <w:spacing w:after="0"/>
              <w:rPr>
                <w:sz w:val="20"/>
                <w:szCs w:val="20"/>
                <w:color w:val="auto"/>
              </w:rPr>
            </w:pPr>
            <w:r>
              <w:rPr>
                <w:rFonts w:ascii="Arial" w:cs="Arial" w:eastAsia="Arial" w:hAnsi="Arial"/>
                <w:sz w:val="15"/>
                <w:szCs w:val="15"/>
                <w:b w:val="1"/>
                <w:bCs w:val="1"/>
                <w:color w:val="auto"/>
              </w:rPr>
              <w:t>Record Sales / +7% over prior year</w:t>
            </w:r>
          </w:p>
        </w:tc>
        <w:tc>
          <w:tcPr>
            <w:tcW w:w="3820" w:type="dxa"/>
            <w:vAlign w:val="bottom"/>
            <w:gridSpan w:val="2"/>
          </w:tcPr>
          <w:p>
            <w:pPr>
              <w:spacing w:after="0"/>
              <w:rPr>
                <w:sz w:val="20"/>
                <w:szCs w:val="20"/>
                <w:color w:val="auto"/>
              </w:rPr>
            </w:pPr>
            <w:r>
              <w:rPr>
                <w:rFonts w:ascii="Arial" w:cs="Arial" w:eastAsia="Arial" w:hAnsi="Arial"/>
                <w:sz w:val="15"/>
                <w:szCs w:val="15"/>
                <w:b w:val="1"/>
                <w:bCs w:val="1"/>
                <w:color w:val="auto"/>
              </w:rPr>
              <w:t>+10% over prior year</w:t>
            </w:r>
          </w:p>
        </w:tc>
        <w:tc>
          <w:tcPr>
            <w:tcW w:w="3580" w:type="dxa"/>
            <w:vAlign w:val="bottom"/>
          </w:tcPr>
          <w:p>
            <w:pPr>
              <w:spacing w:after="0"/>
              <w:rPr>
                <w:sz w:val="20"/>
                <w:szCs w:val="20"/>
                <w:color w:val="auto"/>
              </w:rPr>
            </w:pPr>
            <w:r>
              <w:rPr>
                <w:rFonts w:ascii="Arial" w:cs="Arial" w:eastAsia="Arial" w:hAnsi="Arial"/>
                <w:sz w:val="15"/>
                <w:szCs w:val="15"/>
                <w:b w:val="1"/>
                <w:bCs w:val="1"/>
                <w:color w:val="auto"/>
              </w:rPr>
              <w:t>+10% over prior year</w:t>
            </w:r>
          </w:p>
        </w:tc>
      </w:tr>
      <w:tr>
        <w:trPr>
          <w:trHeight w:val="716"/>
        </w:trPr>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Arial" w:cs="Arial" w:eastAsia="Arial" w:hAnsi="Arial"/>
                <w:sz w:val="21"/>
                <w:szCs w:val="21"/>
                <w:b w:val="1"/>
                <w:bCs w:val="1"/>
                <w:color w:val="auto"/>
              </w:rPr>
              <w:t>Net Cash Provided</w:t>
            </w:r>
          </w:p>
        </w:tc>
        <w:tc>
          <w:tcPr>
            <w:tcW w:w="3580" w:type="dxa"/>
            <w:vAlign w:val="bottom"/>
          </w:tcPr>
          <w:p>
            <w:pPr>
              <w:spacing w:after="0"/>
              <w:rPr>
                <w:sz w:val="24"/>
                <w:szCs w:val="24"/>
                <w:color w:val="auto"/>
              </w:rPr>
            </w:pPr>
          </w:p>
        </w:tc>
      </w:tr>
      <w:tr>
        <w:trPr>
          <w:trHeight w:val="290"/>
        </w:trPr>
        <w:tc>
          <w:tcPr>
            <w:tcW w:w="3780" w:type="dxa"/>
            <w:vAlign w:val="bottom"/>
            <w:gridSpan w:val="2"/>
          </w:tcPr>
          <w:p>
            <w:pPr>
              <w:spacing w:after="0"/>
              <w:rPr>
                <w:sz w:val="20"/>
                <w:szCs w:val="20"/>
                <w:color w:val="auto"/>
              </w:rPr>
            </w:pPr>
            <w:r>
              <w:rPr>
                <w:rFonts w:ascii="Arial" w:cs="Arial" w:eastAsia="Arial" w:hAnsi="Arial"/>
                <w:sz w:val="21"/>
                <w:szCs w:val="21"/>
                <w:b w:val="1"/>
                <w:bCs w:val="1"/>
                <w:color w:val="auto"/>
              </w:rPr>
              <w:t>Entered Orders</w:t>
            </w:r>
          </w:p>
        </w:tc>
        <w:tc>
          <w:tcPr>
            <w:tcW w:w="3820" w:type="dxa"/>
            <w:vAlign w:val="bottom"/>
            <w:gridSpan w:val="2"/>
          </w:tcPr>
          <w:p>
            <w:pPr>
              <w:spacing w:after="0"/>
              <w:rPr>
                <w:sz w:val="20"/>
                <w:szCs w:val="20"/>
                <w:color w:val="auto"/>
              </w:rPr>
            </w:pPr>
            <w:r>
              <w:rPr>
                <w:rFonts w:ascii="Arial" w:cs="Arial" w:eastAsia="Arial" w:hAnsi="Arial"/>
                <w:sz w:val="21"/>
                <w:szCs w:val="21"/>
                <w:b w:val="1"/>
                <w:bCs w:val="1"/>
                <w:color w:val="auto"/>
              </w:rPr>
              <w:t>by Operating Activities</w:t>
            </w:r>
          </w:p>
        </w:tc>
        <w:tc>
          <w:tcPr>
            <w:tcW w:w="3580" w:type="dxa"/>
            <w:vAlign w:val="bottom"/>
          </w:tcPr>
          <w:p>
            <w:pPr>
              <w:spacing w:after="0"/>
              <w:rPr>
                <w:sz w:val="20"/>
                <w:szCs w:val="20"/>
                <w:color w:val="auto"/>
              </w:rPr>
            </w:pPr>
            <w:r>
              <w:rPr>
                <w:rFonts w:ascii="Arial" w:cs="Arial" w:eastAsia="Arial" w:hAnsi="Arial"/>
                <w:sz w:val="21"/>
                <w:szCs w:val="21"/>
                <w:b w:val="1"/>
                <w:bCs w:val="1"/>
                <w:color w:val="auto"/>
              </w:rPr>
              <w:t>Leverage Ratio</w:t>
            </w:r>
          </w:p>
        </w:tc>
      </w:tr>
      <w:tr>
        <w:trPr>
          <w:trHeight w:val="73"/>
        </w:trPr>
        <w:tc>
          <w:tcPr>
            <w:tcW w:w="35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6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580" w:type="dxa"/>
            <w:vAlign w:val="bottom"/>
            <w:tcBorders>
              <w:bottom w:val="single" w:sz="8" w:color="auto"/>
            </w:tcBorders>
          </w:tcPr>
          <w:p>
            <w:pPr>
              <w:spacing w:after="0"/>
              <w:rPr>
                <w:sz w:val="6"/>
                <w:szCs w:val="6"/>
                <w:color w:val="auto"/>
              </w:rPr>
            </w:pPr>
          </w:p>
        </w:tc>
      </w:tr>
      <w:tr>
        <w:trPr>
          <w:trHeight w:val="506"/>
        </w:trPr>
        <w:tc>
          <w:tcPr>
            <w:tcW w:w="3780" w:type="dxa"/>
            <w:vAlign w:val="bottom"/>
            <w:gridSpan w:val="2"/>
          </w:tcPr>
          <w:p>
            <w:pPr>
              <w:spacing w:after="0"/>
              <w:rPr>
                <w:sz w:val="20"/>
                <w:szCs w:val="20"/>
                <w:color w:val="auto"/>
              </w:rPr>
            </w:pPr>
            <w:r>
              <w:rPr>
                <w:rFonts w:ascii="Georgia" w:cs="Georgia" w:eastAsia="Georgia" w:hAnsi="Georgia"/>
                <w:sz w:val="39"/>
                <w:szCs w:val="39"/>
                <w:b w:val="1"/>
                <w:bCs w:val="1"/>
                <w:color w:val="147EB9"/>
              </w:rPr>
              <w:t>$1,133M</w:t>
            </w:r>
          </w:p>
        </w:tc>
        <w:tc>
          <w:tcPr>
            <w:tcW w:w="3820" w:type="dxa"/>
            <w:vAlign w:val="bottom"/>
            <w:gridSpan w:val="2"/>
          </w:tcPr>
          <w:p>
            <w:pPr>
              <w:spacing w:after="0"/>
              <w:rPr>
                <w:sz w:val="20"/>
                <w:szCs w:val="20"/>
                <w:color w:val="auto"/>
              </w:rPr>
            </w:pPr>
            <w:r>
              <w:rPr>
                <w:rFonts w:ascii="Georgia" w:cs="Georgia" w:eastAsia="Georgia" w:hAnsi="Georgia"/>
                <w:sz w:val="39"/>
                <w:szCs w:val="39"/>
                <w:b w:val="1"/>
                <w:bCs w:val="1"/>
                <w:color w:val="147EB9"/>
              </w:rPr>
              <w:t>$128M</w:t>
            </w:r>
          </w:p>
        </w:tc>
        <w:tc>
          <w:tcPr>
            <w:tcW w:w="3580" w:type="dxa"/>
            <w:vAlign w:val="bottom"/>
          </w:tcPr>
          <w:p>
            <w:pPr>
              <w:spacing w:after="0"/>
              <w:rPr>
                <w:sz w:val="20"/>
                <w:szCs w:val="20"/>
                <w:color w:val="auto"/>
              </w:rPr>
            </w:pPr>
            <w:r>
              <w:rPr>
                <w:rFonts w:ascii="Georgia" w:cs="Georgia" w:eastAsia="Georgia" w:hAnsi="Georgia"/>
                <w:sz w:val="39"/>
                <w:szCs w:val="39"/>
                <w:b w:val="1"/>
                <w:bCs w:val="1"/>
                <w:color w:val="147EB9"/>
              </w:rPr>
              <w:t>0.45X</w:t>
            </w:r>
          </w:p>
        </w:tc>
      </w:tr>
    </w:tbl>
    <w:p>
      <w:pPr>
        <w:spacing w:after="0" w:line="54" w:lineRule="exact"/>
        <w:rPr>
          <w:sz w:val="20"/>
          <w:szCs w:val="20"/>
          <w:color w:val="auto"/>
        </w:rPr>
      </w:pPr>
    </w:p>
    <w:p>
      <w:pPr>
        <w:sectPr>
          <w:pgSz w:w="11900" w:h="16838" w:orient="portrait"/>
          <w:cols w:equalWidth="0" w:num="1">
            <w:col w:w="11240"/>
          </w:cols>
          <w:pgMar w:left="320" w:top="849" w:right="339" w:bottom="1440" w:gutter="0" w:footer="0" w:header="0"/>
        </w:sectPr>
      </w:pPr>
    </w:p>
    <w:p>
      <w:pPr>
        <w:spacing w:after="0" w:line="251" w:lineRule="auto"/>
        <w:rPr>
          <w:sz w:val="20"/>
          <w:szCs w:val="20"/>
          <w:color w:val="auto"/>
        </w:rPr>
      </w:pPr>
      <w:r>
        <w:rPr>
          <w:rFonts w:ascii="Arial" w:cs="Arial" w:eastAsia="Arial" w:hAnsi="Arial"/>
          <w:sz w:val="20"/>
          <w:szCs w:val="20"/>
          <w:b w:val="1"/>
          <w:bCs w:val="1"/>
          <w:color w:val="auto"/>
        </w:rPr>
        <w:t>Record Orders &amp; Ending Backlog Orders +10% / Backlog +14% over</w:t>
      </w:r>
    </w:p>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5"/>
          <w:szCs w:val="15"/>
          <w:b w:val="1"/>
          <w:bCs w:val="1"/>
          <w:color w:val="auto"/>
        </w:rPr>
        <w:t>+66% over prior year</w:t>
      </w:r>
      <w:r>
        <w:rPr>
          <w:sz w:val="20"/>
          <w:szCs w:val="20"/>
          <w:color w:val="auto"/>
        </w:rPr>
        <w:tab/>
      </w:r>
      <w:r>
        <w:rPr>
          <w:rFonts w:ascii="Arial" w:cs="Arial" w:eastAsia="Arial" w:hAnsi="Arial"/>
          <w:sz w:val="15"/>
          <w:szCs w:val="15"/>
          <w:b w:val="1"/>
          <w:bCs w:val="1"/>
          <w:color w:val="auto"/>
        </w:rPr>
        <w:t>$623M of liquidity at year end</w:t>
      </w:r>
    </w:p>
    <w:p>
      <w:pPr>
        <w:spacing w:after="0" w:line="295" w:lineRule="exact"/>
        <w:rPr>
          <w:sz w:val="20"/>
          <w:szCs w:val="20"/>
          <w:color w:val="auto"/>
        </w:rPr>
      </w:pPr>
    </w:p>
    <w:p>
      <w:pPr>
        <w:sectPr>
          <w:pgSz w:w="11900" w:h="16838" w:orient="portrait"/>
          <w:cols w:equalWidth="0" w:num="2">
            <w:col w:w="3260" w:space="520"/>
            <w:col w:w="7460"/>
          </w:cols>
          <w:pgMar w:left="320" w:top="849" w:right="3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274320</wp:posOffset>
            </wp:positionV>
            <wp:extent cx="714121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tabs>
          <w:tab w:leader="none" w:pos="8660" w:val="left"/>
          <w:tab w:leader="none" w:pos="1116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PROXY STATEMENT SUMMARY</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1"/>
          <w:szCs w:val="21"/>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4121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p>
      <w:pPr>
        <w:spacing w:after="0" w:line="31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All directors other than the CEO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104140" cy="1282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13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All committee chairs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104140"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Each director attended at least 75% of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104140"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Independent directors hold executive sessions during each Board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104140"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9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Board conducts self-assessments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104140" cy="1282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98" w:lineRule="exact"/>
        <w:rPr>
          <w:sz w:val="20"/>
          <w:szCs w:val="20"/>
          <w:color w:val="auto"/>
        </w:rPr>
      </w:pPr>
    </w:p>
    <w:p>
      <w:pPr>
        <w:ind w:left="300" w:right="440"/>
        <w:spacing w:after="0" w:line="282" w:lineRule="auto"/>
        <w:rPr>
          <w:sz w:val="20"/>
          <w:szCs w:val="20"/>
          <w:color w:val="auto"/>
        </w:rPr>
      </w:pPr>
      <w:r>
        <w:rPr>
          <w:rFonts w:ascii="Arial" w:cs="Arial" w:eastAsia="Arial" w:hAnsi="Arial"/>
          <w:sz w:val="15"/>
          <w:szCs w:val="15"/>
          <w:color w:val="auto"/>
        </w:rPr>
        <w:t>The full Board exercises oversight responsibility for material risks, and delegates oversight of other risks to the appropriate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-248920</wp:posOffset>
            </wp:positionV>
            <wp:extent cx="104140"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Four of our nine directors are diverse in gender and/ or 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-100965</wp:posOffset>
            </wp:positionV>
            <wp:extent cx="104140" cy="128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Robust clawback policy for executive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-100965</wp:posOffset>
            </wp:positionV>
            <wp:extent cx="104140" cy="1282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Competitive share ownership guidelines for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-100965</wp:posOffset>
            </wp:positionV>
            <wp:extent cx="104140" cy="128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Executive compensation driven by 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-100965</wp:posOffset>
            </wp:positionV>
            <wp:extent cx="104140" cy="1282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Annual shareholder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-100965</wp:posOffset>
            </wp:positionV>
            <wp:extent cx="104140"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Executive officers and directors may not hedge or pledge company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-100965</wp:posOffset>
            </wp:positionV>
            <wp:extent cx="104140" cy="1282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Independent directors review CEO performance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-100965</wp:posOffset>
            </wp:positionV>
            <wp:extent cx="104140" cy="128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Average tenure of independent directors is 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-100965</wp:posOffset>
            </wp:positionV>
            <wp:extent cx="104140" cy="128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Median age of independent directors is 64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-100965</wp:posOffset>
            </wp:positionV>
            <wp:extent cx="104140"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414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720"/>
            <w:col w:w="5080"/>
          </w:cols>
          <w:pgMar w:left="320" w:top="811" w:right="3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4121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6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compensation objective is to develop and maintain an industry-competitive compensation program that attracts, retains, motivates and rewards our executive officers and other senior officers and key executives. The compensation program is designed to emphasize performance-based compensation in alignment with our business strategy.</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Our compensation programs are designed to maximize shareholder value by allocating a significant portion of executive compensation to performance-based pay that is dependent on the achievement of our performance goals. Our annual cash incentive program and equity-based Performance Share Unit awards (PSUs) utilize a variety of key strategic and financial performance metrics and are designed to reward positive financial performance and limit unnecessary risk taking. Stock ownership guidelines align the interests of executives and shareholders by ensuring that executives bear the economic risk of share ownership.</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For 2024, our Human Resources and Compensation Committee used the performance metrics “Adjusted EPS” and “Adjusted Cash Flow from Operating Activities,” to determine cash incentive plan compensation earned during fiscal 2024 and thereby incent the participants and align cash incentive compensation with business objectives. Adjusted EPS and Adjusted Cash Flow from Operating Activities are non-GAAP measures, and the metrics used in the calculation of the 2024 adjustment differed somewhat from those used to calculate the 2023 adjustment; for a detailed description and a reconciliation to the nearest GAAP measure, see </w:t>
      </w:r>
      <w:r>
        <w:rPr>
          <w:rFonts w:ascii="Arial" w:cs="Arial" w:eastAsia="Arial" w:hAnsi="Arial"/>
          <w:sz w:val="15"/>
          <w:szCs w:val="15"/>
          <w:b w:val="1"/>
          <w:bCs w:val="1"/>
          <w:i w:val="1"/>
          <w:iCs w:val="1"/>
          <w:color w:val="auto"/>
        </w:rPr>
        <w:t>2024 Cash</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 xml:space="preserve">Incentive Metrics </w:t>
      </w:r>
      <w:r>
        <w:rPr>
          <w:rFonts w:ascii="Arial" w:cs="Arial" w:eastAsia="Arial" w:hAnsi="Arial"/>
          <w:sz w:val="15"/>
          <w:szCs w:val="15"/>
          <w:color w:val="auto"/>
        </w:rPr>
        <w:t>in the</w:t>
      </w:r>
      <w:r>
        <w:rPr>
          <w:rFonts w:ascii="Arial" w:cs="Arial" w:eastAsia="Arial" w:hAnsi="Arial"/>
          <w:sz w:val="15"/>
          <w:szCs w:val="15"/>
          <w:b w:val="1"/>
          <w:bCs w:val="1"/>
          <w:i w:val="1"/>
          <w:iCs w:val="1"/>
          <w:color w:val="auto"/>
        </w:rPr>
        <w:t xml:space="preserve"> Compensation Discussion and Analysis </w:t>
      </w:r>
      <w:r>
        <w:rPr>
          <w:rFonts w:ascii="Arial" w:cs="Arial" w:eastAsia="Arial" w:hAnsi="Arial"/>
          <w:sz w:val="15"/>
          <w:szCs w:val="15"/>
          <w:color w:val="auto"/>
        </w:rPr>
        <w:t>section.</w:t>
      </w:r>
    </w:p>
    <w:p>
      <w:pPr>
        <w:spacing w:after="0" w:line="14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Our long-term equity incentive (LTI) program includes Restricted Share Units (RSUs) which fully vest over a period of 3 to 3½ years and, since fiscal 2022, PSUs with a 3-year performance period, as described in the Compensation Discussion and Analysis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231140</wp:posOffset>
            </wp:positionV>
            <wp:extent cx="714121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8660" w:val="left"/>
          <w:tab w:leader="none" w:pos="1116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PROXY STATEMENT SUMMARY</w:t>
      </w:r>
      <w:r>
        <w:rPr>
          <w:sz w:val="20"/>
          <w:szCs w:val="20"/>
          <w:color w:val="auto"/>
        </w:rPr>
        <w:tab/>
      </w:r>
      <w:r>
        <w:rPr>
          <w:rFonts w:ascii="Arial" w:cs="Arial" w:eastAsia="Arial" w:hAnsi="Arial"/>
          <w:sz w:val="10"/>
          <w:szCs w:val="10"/>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type w:val="continuous"/>
        </w:sectPr>
      </w:pPr>
    </w:p>
    <w:bookmarkStart w:id="9" w:name="page10"/>
    <w:bookmarkEnd w:id="9"/>
    <w:p>
      <w:pPr>
        <w:jc w:val="both"/>
        <w:spacing w:after="0" w:line="264" w:lineRule="auto"/>
        <w:rPr>
          <w:sz w:val="20"/>
          <w:szCs w:val="20"/>
          <w:color w:val="auto"/>
        </w:rPr>
      </w:pPr>
      <w:r>
        <w:rPr>
          <w:rFonts w:ascii="Arial" w:cs="Arial" w:eastAsia="Arial" w:hAnsi="Arial"/>
          <w:sz w:val="15"/>
          <w:szCs w:val="15"/>
          <w:color w:val="auto"/>
        </w:rPr>
        <w:t>The following charts summarize the 2024 pay mix for the CEO and the other named executive officers, with 75% of the CEO’s target direct compensation at risk and 60% of the average of the other named executive officers’ target direct compensation at risk. Target direct compensation is defined as the sum of the executive officer’s base salary, annual cash incentive award, and annual long term incentive awards, in each case calculated at the target level approved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141210" cy="3342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334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tabs>
          <w:tab w:leader="none" w:pos="8660" w:val="left"/>
          <w:tab w:leader="none" w:pos="1116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PROXY STATEMENT SUMMARY</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50"/>
          <w:szCs w:val="50"/>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165735</wp:posOffset>
            </wp:positionV>
            <wp:extent cx="714121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 xml:space="preserve">Whether or not you expect to be present in person at the Meeting, please vote in advance using one of the voting methods described in the </w:t>
      </w:r>
      <w:r>
        <w:rPr>
          <w:rFonts w:ascii="Arial" w:cs="Arial" w:eastAsia="Arial" w:hAnsi="Arial"/>
          <w:sz w:val="15"/>
          <w:szCs w:val="15"/>
          <w:b w:val="1"/>
          <w:bCs w:val="1"/>
          <w:i w:val="1"/>
          <w:iCs w:val="1"/>
          <w:color w:val="auto"/>
        </w:rPr>
        <w:t>Important Notice</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 xml:space="preserve">Regarding the Availability of Proxy Materials </w:t>
      </w:r>
      <w:r>
        <w:rPr>
          <w:rFonts w:ascii="Arial" w:cs="Arial" w:eastAsia="Arial" w:hAnsi="Arial"/>
          <w:sz w:val="15"/>
          <w:szCs w:val="15"/>
          <w:color w:val="auto"/>
        </w:rPr>
        <w:t>sent to the shareholders on or about December 16, 2024, which contained instructions on how to access the proxy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materials and vote electronically via the Internet, by telephone, by mail, or in person. That Notice also contained instructions on how to request a paper or e-mail copy of the proxy materials, including the Company’s 2024 Annual Report to Shareholders, this Proxy Statement, and a proxy card. The 2024 Annual Report to Shareholders and this Proxy Statement are also available for review on the Company’s website, </w:t>
      </w:r>
      <w:r>
        <w:rPr>
          <w:rFonts w:ascii="Arial" w:cs="Arial" w:eastAsia="Arial" w:hAnsi="Arial"/>
          <w:sz w:val="15"/>
          <w:szCs w:val="15"/>
          <w:u w:val="single" w:color="auto"/>
          <w:color w:val="auto"/>
        </w:rPr>
        <w:t>www.escotechnologies.com</w:t>
      </w:r>
      <w:r>
        <w:rPr>
          <w:rFonts w:ascii="Arial" w:cs="Arial" w:eastAsia="Arial" w:hAnsi="Arial"/>
          <w:sz w:val="15"/>
          <w:szCs w:val="15"/>
          <w:color w:val="auto"/>
        </w:rPr>
        <w:t>.</w:t>
      </w:r>
    </w:p>
    <w:p>
      <w:pPr>
        <w:spacing w:after="0" w:line="157" w:lineRule="exact"/>
        <w:rPr>
          <w:sz w:val="20"/>
          <w:szCs w:val="20"/>
          <w:color w:val="auto"/>
        </w:rPr>
      </w:pPr>
    </w:p>
    <w:p>
      <w:pPr>
        <w:ind w:left="180" w:hanging="179"/>
        <w:spacing w:after="0" w:line="282" w:lineRule="auto"/>
        <w:tabs>
          <w:tab w:leader="none" w:pos="180" w:val="left"/>
        </w:tabs>
        <w:numPr>
          <w:ilvl w:val="0"/>
          <w:numId w:val="7"/>
        </w:numPr>
        <w:rPr>
          <w:rFonts w:ascii="Arial" w:cs="Arial" w:eastAsia="Arial" w:hAnsi="Arial"/>
          <w:sz w:val="15"/>
          <w:szCs w:val="15"/>
          <w:color w:val="auto"/>
        </w:rPr>
      </w:pPr>
      <w:r>
        <w:rPr>
          <w:rFonts w:ascii="Arial" w:cs="Arial" w:eastAsia="Arial" w:hAnsi="Arial"/>
          <w:sz w:val="15"/>
          <w:szCs w:val="15"/>
          <w:color w:val="auto"/>
        </w:rPr>
        <w:t>You may vote on each proposal, by proxy or by voting in person or via the Internet or by telephone, in which case your shares will be voted in accordance with your choices.</w:t>
      </w:r>
    </w:p>
    <w:p>
      <w:pPr>
        <w:spacing w:after="0" w:line="124" w:lineRule="exact"/>
        <w:rPr>
          <w:rFonts w:ascii="Arial" w:cs="Arial" w:eastAsia="Arial" w:hAnsi="Arial"/>
          <w:sz w:val="15"/>
          <w:szCs w:val="15"/>
          <w:color w:val="auto"/>
        </w:rPr>
      </w:pPr>
    </w:p>
    <w:p>
      <w:pPr>
        <w:ind w:left="180" w:hanging="179"/>
        <w:spacing w:after="0" w:line="294" w:lineRule="auto"/>
        <w:tabs>
          <w:tab w:leader="none" w:pos="18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You may abstain from voting on any one or more proposals, or withhold authority to vote for any one or more directors, which will have the effect described under </w:t>
      </w:r>
      <w:r>
        <w:rPr>
          <w:rFonts w:ascii="Arial" w:cs="Arial" w:eastAsia="Arial" w:hAnsi="Arial"/>
          <w:sz w:val="15"/>
          <w:szCs w:val="15"/>
          <w:b w:val="1"/>
          <w:bCs w:val="1"/>
          <w:i w:val="1"/>
          <w:iCs w:val="1"/>
          <w:color w:val="auto"/>
        </w:rPr>
        <w:t xml:space="preserve">Required Vote </w:t>
      </w:r>
      <w:r>
        <w:rPr>
          <w:rFonts w:ascii="Arial" w:cs="Arial" w:eastAsia="Arial" w:hAnsi="Arial"/>
          <w:sz w:val="15"/>
          <w:szCs w:val="15"/>
          <w:color w:val="auto"/>
        </w:rPr>
        <w:t>below.</w:t>
      </w:r>
    </w:p>
    <w:p>
      <w:pPr>
        <w:spacing w:after="0" w:line="107" w:lineRule="exact"/>
        <w:rPr>
          <w:rFonts w:ascii="Arial" w:cs="Arial" w:eastAsia="Arial" w:hAnsi="Arial"/>
          <w:sz w:val="15"/>
          <w:szCs w:val="15"/>
          <w:color w:val="auto"/>
        </w:rPr>
      </w:pPr>
    </w:p>
    <w:p>
      <w:pPr>
        <w:ind w:left="180" w:hanging="179"/>
        <w:spacing w:after="0" w:line="282" w:lineRule="auto"/>
        <w:tabs>
          <w:tab w:leader="none" w:pos="180" w:val="left"/>
        </w:tabs>
        <w:numPr>
          <w:ilvl w:val="0"/>
          <w:numId w:val="7"/>
        </w:numPr>
        <w:rPr>
          <w:rFonts w:ascii="Arial" w:cs="Arial" w:eastAsia="Arial" w:hAnsi="Arial"/>
          <w:sz w:val="15"/>
          <w:szCs w:val="15"/>
          <w:color w:val="auto"/>
        </w:rPr>
      </w:pPr>
      <w:r>
        <w:rPr>
          <w:rFonts w:ascii="Arial" w:cs="Arial" w:eastAsia="Arial" w:hAnsi="Arial"/>
          <w:sz w:val="15"/>
          <w:szCs w:val="15"/>
          <w:color w:val="auto"/>
        </w:rPr>
        <w:t>You may return a properly executed proxy form without indicating your preferences, in which case the proxies will vote the shares according to the Board’s recommendations.</w:t>
      </w:r>
    </w:p>
    <w:p>
      <w:pPr>
        <w:spacing w:after="0" w:line="13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You will have the right to revoke your proxy at any time before it is voted by giving written notice of revocation to the Secretary of the Company, or by duly executing and delivering a proxy bearing a later date, or by attending the Meeting and casting a contrary vote in person.</w:t>
      </w:r>
    </w:p>
    <w:p>
      <w:pPr>
        <w:spacing w:after="0" w:line="3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4121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920"/>
        <w:spacing w:after="0"/>
        <w:tabs>
          <w:tab w:leader="none" w:pos="3760" w:val="left"/>
          <w:tab w:leader="none" w:pos="6780" w:val="left"/>
          <w:tab w:leader="none" w:pos="9360" w:val="left"/>
        </w:tabs>
        <w:rPr>
          <w:sz w:val="20"/>
          <w:szCs w:val="20"/>
          <w:color w:val="auto"/>
        </w:rPr>
      </w:pPr>
      <w:r>
        <w:rPr>
          <w:rFonts w:ascii="Arial" w:cs="Arial" w:eastAsia="Arial" w:hAnsi="Arial"/>
          <w:sz w:val="13"/>
          <w:szCs w:val="13"/>
          <w:b w:val="1"/>
          <w:bCs w:val="1"/>
          <w:color w:val="auto"/>
        </w:rPr>
        <w:t>Via the Internet</w:t>
      </w:r>
      <w:r>
        <w:rPr>
          <w:sz w:val="20"/>
          <w:szCs w:val="20"/>
          <w:color w:val="auto"/>
        </w:rPr>
        <w:tab/>
      </w:r>
      <w:r>
        <w:rPr>
          <w:rFonts w:ascii="Arial" w:cs="Arial" w:eastAsia="Arial" w:hAnsi="Arial"/>
          <w:sz w:val="13"/>
          <w:szCs w:val="13"/>
          <w:b w:val="1"/>
          <w:bCs w:val="1"/>
          <w:color w:val="auto"/>
        </w:rPr>
        <w:t>By Telephone</w:t>
      </w:r>
      <w:r>
        <w:rPr>
          <w:sz w:val="20"/>
          <w:szCs w:val="20"/>
          <w:color w:val="auto"/>
        </w:rPr>
        <w:tab/>
      </w:r>
      <w:r>
        <w:rPr>
          <w:rFonts w:ascii="Arial" w:cs="Arial" w:eastAsia="Arial" w:hAnsi="Arial"/>
          <w:sz w:val="13"/>
          <w:szCs w:val="13"/>
          <w:b w:val="1"/>
          <w:bCs w:val="1"/>
          <w:color w:val="auto"/>
        </w:rPr>
        <w:t>By Mail</w:t>
      </w:r>
      <w:r>
        <w:rPr>
          <w:sz w:val="20"/>
          <w:szCs w:val="20"/>
          <w:color w:val="auto"/>
        </w:rPr>
        <w:tab/>
      </w:r>
      <w:r>
        <w:rPr>
          <w:rFonts w:ascii="Arial" w:cs="Arial" w:eastAsia="Arial" w:hAnsi="Arial"/>
          <w:sz w:val="13"/>
          <w:szCs w:val="13"/>
          <w:b w:val="1"/>
          <w:bCs w:val="1"/>
          <w:color w:val="auto"/>
        </w:rPr>
        <w:t>At the Meeting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42"/>
        </w:trPr>
        <w:tc>
          <w:tcPr>
            <w:tcW w:w="580" w:type="dxa"/>
            <w:vAlign w:val="bottom"/>
            <w:shd w:val="clear" w:color="auto" w:fill="F3F3F4"/>
          </w:tcPr>
          <w:p>
            <w:pPr>
              <w:spacing w:after="0"/>
              <w:rPr>
                <w:sz w:val="24"/>
                <w:szCs w:val="24"/>
                <w:color w:val="auto"/>
              </w:rPr>
            </w:pPr>
          </w:p>
        </w:tc>
        <w:tc>
          <w:tcPr>
            <w:tcW w:w="2240" w:type="dxa"/>
            <w:vAlign w:val="bottom"/>
            <w:gridSpan w:val="2"/>
            <w:shd w:val="clear" w:color="auto" w:fill="F3F3F4"/>
          </w:tcPr>
          <w:p>
            <w:pPr>
              <w:jc w:val="center"/>
              <w:ind w:right="580"/>
              <w:spacing w:after="0"/>
              <w:rPr>
                <w:sz w:val="20"/>
                <w:szCs w:val="20"/>
                <w:color w:val="auto"/>
              </w:rPr>
            </w:pPr>
            <w:r>
              <w:rPr>
                <w:rFonts w:ascii="Arial" w:cs="Arial" w:eastAsia="Arial" w:hAnsi="Arial"/>
                <w:sz w:val="13"/>
                <w:szCs w:val="13"/>
                <w:color w:val="auto"/>
              </w:rPr>
              <w:t>Go to</w:t>
            </w:r>
          </w:p>
        </w:tc>
        <w:tc>
          <w:tcPr>
            <w:tcW w:w="2540" w:type="dxa"/>
            <w:vAlign w:val="bottom"/>
            <w:shd w:val="clear" w:color="auto" w:fill="F3F3F4"/>
          </w:tcPr>
          <w:p>
            <w:pPr>
              <w:ind w:left="660"/>
              <w:spacing w:after="0"/>
              <w:rPr>
                <w:sz w:val="20"/>
                <w:szCs w:val="20"/>
                <w:color w:val="auto"/>
              </w:rPr>
            </w:pPr>
            <w:r>
              <w:rPr>
                <w:rFonts w:ascii="Arial" w:cs="Arial" w:eastAsia="Arial" w:hAnsi="Arial"/>
                <w:sz w:val="13"/>
                <w:szCs w:val="13"/>
                <w:b w:val="1"/>
                <w:bCs w:val="1"/>
                <w:color w:val="auto"/>
              </w:rPr>
              <w:t>1-800-652-VOTE (8563)</w:t>
            </w:r>
          </w:p>
        </w:tc>
        <w:tc>
          <w:tcPr>
            <w:tcW w:w="3220" w:type="dxa"/>
            <w:vAlign w:val="bottom"/>
            <w:shd w:val="clear" w:color="auto" w:fill="F3F3F4"/>
          </w:tcPr>
          <w:p>
            <w:pPr>
              <w:ind w:left="440"/>
              <w:spacing w:after="0"/>
              <w:rPr>
                <w:sz w:val="20"/>
                <w:szCs w:val="20"/>
                <w:color w:val="auto"/>
              </w:rPr>
            </w:pPr>
            <w:r>
              <w:rPr>
                <w:rFonts w:ascii="Arial" w:cs="Arial" w:eastAsia="Arial" w:hAnsi="Arial"/>
                <w:sz w:val="13"/>
                <w:szCs w:val="13"/>
                <w:color w:val="auto"/>
              </w:rPr>
              <w:t>Follow the instructions on your proxy card</w:t>
            </w:r>
          </w:p>
        </w:tc>
        <w:tc>
          <w:tcPr>
            <w:tcW w:w="2660" w:type="dxa"/>
            <w:vAlign w:val="bottom"/>
            <w:shd w:val="clear" w:color="auto" w:fill="F3F3F4"/>
          </w:tcPr>
          <w:p>
            <w:pPr>
              <w:ind w:left="320"/>
              <w:spacing w:after="0"/>
              <w:rPr>
                <w:sz w:val="20"/>
                <w:szCs w:val="20"/>
                <w:color w:val="auto"/>
              </w:rPr>
            </w:pPr>
            <w:r>
              <w:rPr>
                <w:rFonts w:ascii="Arial" w:cs="Arial" w:eastAsia="Arial" w:hAnsi="Arial"/>
                <w:sz w:val="13"/>
                <w:szCs w:val="13"/>
                <w:color w:val="auto"/>
              </w:rPr>
              <w:t>Attend in person and vote by ballot</w:t>
            </w:r>
          </w:p>
        </w:tc>
      </w:tr>
      <w:tr>
        <w:trPr>
          <w:trHeight w:val="222"/>
        </w:trPr>
        <w:tc>
          <w:tcPr>
            <w:tcW w:w="580" w:type="dxa"/>
            <w:vAlign w:val="bottom"/>
            <w:tcBorders>
              <w:bottom w:val="single" w:sz="8" w:color="808080"/>
            </w:tcBorders>
            <w:shd w:val="clear" w:color="auto" w:fill="F3F3F4"/>
          </w:tcPr>
          <w:p>
            <w:pPr>
              <w:spacing w:after="0"/>
              <w:rPr>
                <w:sz w:val="19"/>
                <w:szCs w:val="19"/>
                <w:color w:val="auto"/>
              </w:rPr>
            </w:pPr>
          </w:p>
        </w:tc>
        <w:tc>
          <w:tcPr>
            <w:tcW w:w="1660" w:type="dxa"/>
            <w:vAlign w:val="bottom"/>
            <w:tcBorders>
              <w:bottom w:val="single" w:sz="8" w:color="auto"/>
            </w:tcBorders>
            <w:shd w:val="clear" w:color="auto" w:fill="F3F3F4"/>
          </w:tcPr>
          <w:p>
            <w:pPr>
              <w:jc w:val="center"/>
              <w:spacing w:after="0" w:line="147" w:lineRule="exact"/>
              <w:rPr>
                <w:sz w:val="20"/>
                <w:szCs w:val="20"/>
                <w:color w:val="auto"/>
              </w:rPr>
            </w:pPr>
            <w:r>
              <w:rPr>
                <w:rFonts w:ascii="Arial" w:cs="Arial" w:eastAsia="Arial" w:hAnsi="Arial"/>
                <w:sz w:val="13"/>
                <w:szCs w:val="13"/>
                <w:color w:val="auto"/>
              </w:rPr>
              <w:t>www.investorvote.com/ESE</w:t>
            </w:r>
          </w:p>
        </w:tc>
        <w:tc>
          <w:tcPr>
            <w:tcW w:w="580" w:type="dxa"/>
            <w:vAlign w:val="bottom"/>
            <w:tcBorders>
              <w:bottom w:val="single" w:sz="8" w:color="808080"/>
            </w:tcBorders>
            <w:shd w:val="clear" w:color="auto" w:fill="F3F3F4"/>
          </w:tcPr>
          <w:p>
            <w:pPr>
              <w:spacing w:after="0"/>
              <w:rPr>
                <w:sz w:val="19"/>
                <w:szCs w:val="19"/>
                <w:color w:val="auto"/>
              </w:rPr>
            </w:pPr>
          </w:p>
        </w:tc>
        <w:tc>
          <w:tcPr>
            <w:tcW w:w="2540" w:type="dxa"/>
            <w:vAlign w:val="bottom"/>
            <w:tcBorders>
              <w:bottom w:val="single" w:sz="8" w:color="808080"/>
            </w:tcBorders>
            <w:shd w:val="clear" w:color="auto" w:fill="F3F3F4"/>
          </w:tcPr>
          <w:p>
            <w:pPr>
              <w:ind w:left="760"/>
              <w:spacing w:after="0" w:line="147" w:lineRule="exact"/>
              <w:rPr>
                <w:sz w:val="20"/>
                <w:szCs w:val="20"/>
                <w:color w:val="auto"/>
              </w:rPr>
            </w:pPr>
            <w:r>
              <w:rPr>
                <w:rFonts w:ascii="Arial" w:cs="Arial" w:eastAsia="Arial" w:hAnsi="Arial"/>
                <w:sz w:val="13"/>
                <w:szCs w:val="13"/>
                <w:color w:val="auto"/>
              </w:rPr>
              <w:t>in the U.S. or Canada</w:t>
            </w:r>
          </w:p>
        </w:tc>
        <w:tc>
          <w:tcPr>
            <w:tcW w:w="3220" w:type="dxa"/>
            <w:vAlign w:val="bottom"/>
            <w:tcBorders>
              <w:bottom w:val="single" w:sz="8" w:color="808080"/>
            </w:tcBorders>
            <w:shd w:val="clear" w:color="auto" w:fill="F3F3F4"/>
          </w:tcPr>
          <w:p>
            <w:pPr>
              <w:spacing w:after="0"/>
              <w:rPr>
                <w:sz w:val="19"/>
                <w:szCs w:val="19"/>
                <w:color w:val="auto"/>
              </w:rPr>
            </w:pPr>
          </w:p>
        </w:tc>
        <w:tc>
          <w:tcPr>
            <w:tcW w:w="2660" w:type="dxa"/>
            <w:vAlign w:val="bottom"/>
            <w:tcBorders>
              <w:bottom w:val="single" w:sz="8" w:color="808080"/>
            </w:tcBorders>
            <w:shd w:val="clear" w:color="auto" w:fill="F3F3F4"/>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-848995</wp:posOffset>
            </wp:positionV>
            <wp:extent cx="513080" cy="4889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3080" cy="488950"/>
                    </a:xfrm>
                    <a:prstGeom prst="rect">
                      <a:avLst/>
                    </a:prstGeom>
                    <a:noFill/>
                  </pic:spPr>
                </pic:pic>
              </a:graphicData>
            </a:graphic>
          </wp:anchor>
        </w:drawing>
        <w:drawing>
          <wp:anchor simplePos="0" relativeHeight="251657728" behindDoc="1" locked="0" layoutInCell="0" allowOverlap="1">
            <wp:simplePos x="0" y="0"/>
            <wp:positionH relativeFrom="column">
              <wp:posOffset>2477135</wp:posOffset>
            </wp:positionH>
            <wp:positionV relativeFrom="paragraph">
              <wp:posOffset>-776605</wp:posOffset>
            </wp:positionV>
            <wp:extent cx="408940" cy="416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8940" cy="416560"/>
                    </a:xfrm>
                    <a:prstGeom prst="rect">
                      <a:avLst/>
                    </a:prstGeom>
                    <a:noFill/>
                  </pic:spPr>
                </pic:pic>
              </a:graphicData>
            </a:graphic>
          </wp:anchor>
        </w:drawing>
        <w:drawing>
          <wp:anchor simplePos="0" relativeHeight="251657728" behindDoc="1" locked="0" layoutInCell="0" allowOverlap="1">
            <wp:simplePos x="0" y="0"/>
            <wp:positionH relativeFrom="column">
              <wp:posOffset>4192270</wp:posOffset>
            </wp:positionH>
            <wp:positionV relativeFrom="paragraph">
              <wp:posOffset>-720725</wp:posOffset>
            </wp:positionV>
            <wp:extent cx="553085" cy="3606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085" cy="360680"/>
                    </a:xfrm>
                    <a:prstGeom prst="rect">
                      <a:avLst/>
                    </a:prstGeom>
                    <a:noFill/>
                  </pic:spPr>
                </pic:pic>
              </a:graphicData>
            </a:graphic>
          </wp:anchor>
        </w:drawing>
        <w:drawing>
          <wp:anchor simplePos="0" relativeHeight="251657728" behindDoc="1" locked="0" layoutInCell="0" allowOverlap="1">
            <wp:simplePos x="0" y="0"/>
            <wp:positionH relativeFrom="column">
              <wp:posOffset>6051550</wp:posOffset>
            </wp:positionH>
            <wp:positionV relativeFrom="paragraph">
              <wp:posOffset>-848995</wp:posOffset>
            </wp:positionV>
            <wp:extent cx="400685" cy="4889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0685" cy="48895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4121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6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At the Meeting, shareholders will be entitled to cast one vote for each share held by them of record on the record date. There is no cumulative voting with respect to the election of directors. The Company has no non-voting shares.</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affirmative vote of the holders of a majority of the shares represented in person or by proxy at the Meeting and entitled to vote on the matter in question will be required to elect directors, to approve each of the individual proposals described in this Proxy Statement, and to approve any other matters properly brought before the Meeting.</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Company’s Corporate Governance Guidelines provide that an incumbent director who fails to obtain a majority vote must promptly offer his or her resignation to the Chair, and the remaining directors shall meet to consider whether it is in the best interests of the Company to accept the resignation or to permit the incumbent to remain on the Board for such period of time as the Board may determine or until a successor is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tabs>
          <w:tab w:leader="none" w:pos="9780" w:val="left"/>
          <w:tab w:leader="none" w:pos="11160" w:val="left"/>
        </w:tabs>
        <w:rPr>
          <w:sz w:val="20"/>
          <w:szCs w:val="20"/>
          <w:color w:val="auto"/>
        </w:rPr>
      </w:pPr>
      <w:r>
        <w:rPr>
          <w:rFonts w:ascii="Arial" w:cs="Arial" w:eastAsia="Arial" w:hAnsi="Arial"/>
          <w:sz w:val="12"/>
          <w:szCs w:val="12"/>
          <w:color w:val="auto"/>
        </w:rPr>
        <w:t>NOTICE OF 2025 ANNUAL MEETING &amp; PROXY STATEMENT  </w:t>
      </w:r>
      <w:r>
        <w:rPr>
          <w:rFonts w:ascii="Arial" w:cs="Arial" w:eastAsia="Arial" w:hAnsi="Arial"/>
          <w:sz w:val="13"/>
          <w:szCs w:val="13"/>
          <w:color w:val="auto"/>
        </w:rPr>
        <w:t>●</w:t>
      </w:r>
      <w:r>
        <w:rPr>
          <w:rFonts w:ascii="Arial" w:cs="Arial" w:eastAsia="Arial" w:hAnsi="Arial"/>
          <w:sz w:val="12"/>
          <w:szCs w:val="12"/>
          <w:color w:val="auto"/>
        </w:rPr>
        <w:t>  ESCO TECHNOLOGIES INC.</w:t>
      </w:r>
      <w:r>
        <w:rPr>
          <w:sz w:val="20"/>
          <w:szCs w:val="20"/>
          <w:color w:val="auto"/>
        </w:rPr>
        <w:tab/>
      </w:r>
      <w:r>
        <w:rPr>
          <w:rFonts w:ascii="Arial" w:cs="Arial" w:eastAsia="Arial" w:hAnsi="Arial"/>
          <w:sz w:val="24"/>
          <w:szCs w:val="24"/>
          <w:color w:val="auto"/>
          <w:vertAlign w:val="superscript"/>
        </w:rPr>
        <w:t>VOTING</w:t>
      </w:r>
      <w:r>
        <w:rPr>
          <w:sz w:val="20"/>
          <w:szCs w:val="20"/>
          <w:color w:val="auto"/>
        </w:rPr>
        <w:tab/>
      </w:r>
      <w:r>
        <w:rPr>
          <w:rFonts w:ascii="Arial" w:cs="Arial" w:eastAsia="Arial" w:hAnsi="Arial"/>
          <w:sz w:val="10"/>
          <w:szCs w:val="1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1" w:name="page12"/>
    <w:bookmarkEnd w:id="11"/>
    <w:p>
      <w:pPr>
        <w:jc w:val="both"/>
        <w:spacing w:after="0" w:line="264" w:lineRule="auto"/>
        <w:rPr>
          <w:sz w:val="20"/>
          <w:szCs w:val="20"/>
          <w:color w:val="auto"/>
        </w:rPr>
      </w:pPr>
      <w:r>
        <w:rPr>
          <w:rFonts w:ascii="Arial" w:cs="Arial" w:eastAsia="Arial" w:hAnsi="Arial"/>
          <w:sz w:val="15"/>
          <w:szCs w:val="15"/>
          <w:color w:val="auto"/>
        </w:rPr>
        <w:t>Shares represented by proxies which are marked “Withhold” authority to vote for the election of one or more of the nominees for election as directors or marked “Abstain” on any one or more of the other individual proposals described in this Proxy Statement will be counted for the purpose of determining the number of shares represented by proxy at the Meeting, but proxies so marked will have the same effect as if the shares were voted against such nominee or nominees or such proposals.</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Under the Rules of the NYSE, the proposal to approve the appointment of independent registered public accountants is considered a “discretionary” item, which means that brokerage firms may vote in their discretion on this matter on behalf of clients who have not furnished voting instructions at least 10 days before the date of the Meeting. In contrast, the election of directors and the other items on the Meeting agenda are “non-discretionary” items, which means that brokerage firms that have not received voting instructions from their clients on these proposals may not vote on them. These so-called “broker non-votes” will, if the underlying shares are otherwise represented at the Meeting, be considered to be present for purposes of determining a quorum, but will be treated as not entitled to vote on such non-discretionary or matters; they will therefore not be considered in determining the number of votes necessary for approval and will have no effect on the outcome of the votes for directors or the other matters to be considered at the Meeting.</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your shares are held by a broker, it is important that you provide voting instructions to your broker so that your votes will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259080</wp:posOffset>
            </wp:positionV>
            <wp:extent cx="714121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tabs>
          <w:tab w:leader="none" w:pos="9780" w:val="left"/>
          <w:tab w:leader="none" w:pos="11160" w:val="left"/>
        </w:tabs>
        <w:rPr>
          <w:sz w:val="20"/>
          <w:szCs w:val="20"/>
          <w:color w:val="auto"/>
        </w:rPr>
      </w:pPr>
      <w:r>
        <w:rPr>
          <w:rFonts w:ascii="Arial" w:cs="Arial" w:eastAsia="Arial" w:hAnsi="Arial"/>
          <w:sz w:val="12"/>
          <w:szCs w:val="12"/>
          <w:color w:val="auto"/>
        </w:rPr>
        <w:t>NOTICE OF 2025 ANNUAL MEETING &amp; PROXY STATEMENT  </w:t>
      </w:r>
      <w:r>
        <w:rPr>
          <w:rFonts w:ascii="Arial" w:cs="Arial" w:eastAsia="Arial" w:hAnsi="Arial"/>
          <w:sz w:val="13"/>
          <w:szCs w:val="13"/>
          <w:color w:val="auto"/>
        </w:rPr>
        <w:t>●</w:t>
      </w:r>
      <w:r>
        <w:rPr>
          <w:rFonts w:ascii="Arial" w:cs="Arial" w:eastAsia="Arial" w:hAnsi="Arial"/>
          <w:sz w:val="12"/>
          <w:szCs w:val="12"/>
          <w:color w:val="auto"/>
        </w:rPr>
        <w:t>  ESCO TECHNOLOGIES INC.</w:t>
      </w:r>
      <w:r>
        <w:rPr>
          <w:sz w:val="20"/>
          <w:szCs w:val="20"/>
          <w:color w:val="auto"/>
        </w:rPr>
        <w:tab/>
      </w:r>
      <w:r>
        <w:rPr>
          <w:rFonts w:ascii="Arial" w:cs="Arial" w:eastAsia="Arial" w:hAnsi="Arial"/>
          <w:sz w:val="24"/>
          <w:szCs w:val="24"/>
          <w:color w:val="auto"/>
          <w:vertAlign w:val="superscript"/>
        </w:rPr>
        <w:t>VOTING</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50"/>
          <w:szCs w:val="50"/>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189865</wp:posOffset>
            </wp:positionV>
            <wp:extent cx="7141210" cy="48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482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414020</wp:posOffset>
            </wp:positionV>
            <wp:extent cx="7141210" cy="4806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48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26"/>
          <w:szCs w:val="26"/>
          <w:b w:val="1"/>
          <w:bCs w:val="1"/>
          <w:color w:val="auto"/>
        </w:rPr>
        <w:t>The Board of Directors recommends a vote FOR all nominees.</w:t>
      </w:r>
    </w:p>
    <w:p>
      <w:pPr>
        <w:spacing w:after="0" w:line="200" w:lineRule="exact"/>
        <w:rPr>
          <w:sz w:val="20"/>
          <w:szCs w:val="20"/>
          <w:color w:val="auto"/>
        </w:rPr>
      </w:pPr>
    </w:p>
    <w:p>
      <w:pPr>
        <w:spacing w:after="0" w:line="31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Board is divided into three classes, with the terms of office of each class ending in successive years. The terms of Class II directors Penelope M. Conner, Leon J. Olivier and Gloria L. Valdez will expire at the Meeting. However, because Mr. Olivier has reached the age of 75 he is ineligible to stand for re-election under the Board’s director retirement policy and will retire from the Board effective with the election of directors at the 2025 Annual Meeting. Accordingly, with the consent of director David A. Campbell, whose current term would not have expired until 2027, the Board has reclassified Mr. Campbell from Class I into Class II and has nominated Mr. Campbell, Ms. Conner and Ms. Valdez for election to new three-year terms expiring at the 2028 Annual Meeting. The Board also decided to reduce the number of directors from nine to eight upon the expiration of Mr. Olivier’s term. As a result, after the 2025 Annual Meeting the Board will have three directors with terms expiring in 2028, two directors with terms expiring in 2027, and three directors with terms expiring in 2026.</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If elected, the nominees would serve until the expiration of their terms and until their successors have been elected and qualified. Proxies cannot be voted for more than the number of Board nominees. Should any one or more of the nominees become unable or unwilling to serve (which is not expected), the proxies unless marked to the contrary will be voted for such other person or persons as the Board may recommend.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714121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9780" w:val="left"/>
          <w:tab w:leader="none" w:pos="1116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0"/>
          <w:szCs w:val="1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NOMINEES FOR TERMS ENDING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hanging="179"/>
        <w:spacing w:after="0"/>
        <w:tabs>
          <w:tab w:leader="none" w:pos="1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Age 56</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Director since 2024</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8"/>
        </w:numPr>
        <w:rPr>
          <w:rFonts w:ascii="Arial" w:cs="Arial" w:eastAsia="Arial" w:hAnsi="Arial"/>
          <w:sz w:val="13"/>
          <w:szCs w:val="13"/>
          <w:color w:val="auto"/>
        </w:rPr>
      </w:pPr>
      <w:r>
        <w:rPr>
          <w:rFonts w:ascii="Arial" w:cs="Arial" w:eastAsia="Arial" w:hAnsi="Arial"/>
          <w:sz w:val="13"/>
          <w:szCs w:val="13"/>
          <w:color w:val="auto"/>
        </w:rPr>
        <w:t>Board Committees: Audit</w:t>
      </w:r>
    </w:p>
    <w:p>
      <w:pPr>
        <w:spacing w:after="0" w:line="77" w:lineRule="exact"/>
        <w:rPr>
          <w:rFonts w:ascii="Arial" w:cs="Arial" w:eastAsia="Arial" w:hAnsi="Arial"/>
          <w:sz w:val="13"/>
          <w:szCs w:val="13"/>
          <w:color w:val="auto"/>
        </w:rPr>
      </w:pPr>
    </w:p>
    <w:p>
      <w:pPr>
        <w:jc w:val="both"/>
        <w:ind w:left="180" w:right="100" w:hanging="179"/>
        <w:spacing w:after="0" w:line="285" w:lineRule="auto"/>
        <w:tabs>
          <w:tab w:leader="none" w:pos="204" w:val="left"/>
        </w:tabs>
        <w:numPr>
          <w:ilvl w:val="0"/>
          <w:numId w:val="8"/>
        </w:numPr>
        <w:rPr>
          <w:rFonts w:ascii="Arial" w:cs="Arial" w:eastAsia="Arial" w:hAnsi="Arial"/>
          <w:sz w:val="13"/>
          <w:szCs w:val="13"/>
          <w:color w:val="auto"/>
        </w:rPr>
      </w:pPr>
      <w:r>
        <w:rPr>
          <w:rFonts w:ascii="Arial" w:cs="Arial" w:eastAsia="Arial" w:hAnsi="Arial"/>
          <w:sz w:val="13"/>
          <w:szCs w:val="13"/>
          <w:color w:val="auto"/>
        </w:rPr>
        <w:t>Qualifies as an audit committee financial expert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-2560320</wp:posOffset>
            </wp:positionV>
            <wp:extent cx="1378585" cy="1811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8585" cy="18116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1302385</wp:posOffset>
            </wp:positionV>
            <wp:extent cx="1386840" cy="18351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8684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hanging="179"/>
        <w:spacing w:after="0"/>
        <w:tabs>
          <w:tab w:leader="none" w:pos="1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Age 61</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9"/>
        </w:numPr>
        <w:rPr>
          <w:rFonts w:ascii="Arial" w:cs="Arial" w:eastAsia="Arial" w:hAnsi="Arial"/>
          <w:sz w:val="13"/>
          <w:szCs w:val="13"/>
          <w:color w:val="auto"/>
        </w:rPr>
      </w:pPr>
      <w:r>
        <w:rPr>
          <w:rFonts w:ascii="Arial" w:cs="Arial" w:eastAsia="Arial" w:hAnsi="Arial"/>
          <w:sz w:val="13"/>
          <w:szCs w:val="13"/>
          <w:color w:val="auto"/>
        </w:rPr>
        <w:t>Director since 2024</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9"/>
        </w:numPr>
        <w:rPr>
          <w:rFonts w:ascii="Arial" w:cs="Arial" w:eastAsia="Arial" w:hAnsi="Arial"/>
          <w:sz w:val="13"/>
          <w:szCs w:val="13"/>
          <w:color w:val="auto"/>
        </w:rPr>
      </w:pPr>
      <w:r>
        <w:rPr>
          <w:rFonts w:ascii="Arial" w:cs="Arial" w:eastAsia="Arial" w:hAnsi="Arial"/>
          <w:sz w:val="13"/>
          <w:szCs w:val="13"/>
          <w:color w:val="auto"/>
        </w:rPr>
        <w:t>Board Committees: Governance</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A. Campbell</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Mr. Campbell’s extensive strategic, operational and executive experience in the energy field makes him well-qualified to provide high-level strategic, financial and operational guidance to the Company.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2021–Present: President and Chief Executive Officer and Chairman of the Board (since May 2024) of Evergy, Inc. (public utility holding company)</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2019–2021: Executive Vice President and Chief Financial Officer of Vistra Corp. (integrated retail electricity and power generation company)</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2014–2019: Chief Executive Officer, InfraREIT, Inc.</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2013–2014: President and Chief Operating Officer, Bluescape Resources Company, LLC</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2004–2013: Various executive positions with Vistra Corp. and predecessors (TXU Inc. to 2006, Energy Future Holdings Corp. 2006–2013)</w:t>
      </w:r>
    </w:p>
    <w:p>
      <w:pPr>
        <w:spacing w:after="0" w:line="12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1995–2004: Positions of increasing responsibility, including Partner, Corporate Finance and Strategy, with McKinsey and Company, Inc.</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 Within Past Five Years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2021–Present: Evergy, Inc. (public utility holding company)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J.D. magna cum laude from Harvard Law School; M.Phil. International Relations, Oxford University; B.A. summa cum laude with Distinction in History from Yale University. Currently serves or has served on a number of boards including the Edison Electric Institute, the Electric Power Research Institute, and the Leadership Council of the Yale School of the Environment</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Penelope M. Conner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Ms. Conner’s nearly four decades of operational, financial and leadership experience in the electric and gas utility sector, with demonstrated performance in high-quality customer service, strategy development and capital allocation, allow her to provide high-level, multi-faceted insight and assistance to the Board.</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2021–Present: Executive Vice President, Customer Experience and Energy Strategy at Eversource Energy (public utility holding company)</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2002–2021: Various other executive positions with Eversource Energy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1986–2002: Positions of increasing responsibility from 1986 to 1998 at Duke Energy Corporation, culminating as General Manager for Process Integration, and then from 1998 to 2002 at Tampa Electric Company as its Director of Customer Service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B.S. summa cum laude in Industrial Engineering from North Carolina State University. Registered professional engineer in North and South Carolina; Member of Boston University’s Institute for Global Sustainability and the American Council for an Energy Efficient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239395</wp:posOffset>
            </wp:positionV>
            <wp:extent cx="714121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720"/>
            <w:col w:w="8320"/>
          </w:cols>
          <w:pgMar w:left="320" w:top="1013" w:right="339" w:bottom="1440" w:gutter="0" w:footer="0" w:header="0"/>
          <w:type w:val="continuous"/>
        </w:sectPr>
      </w:pPr>
    </w:p>
    <w:p>
      <w:pPr>
        <w:spacing w:after="0" w:line="326" w:lineRule="exact"/>
        <w:rPr>
          <w:sz w:val="20"/>
          <w:szCs w:val="20"/>
          <w:color w:val="auto"/>
        </w:rPr>
      </w:pPr>
    </w:p>
    <w:p>
      <w:pPr>
        <w:spacing w:after="0"/>
        <w:tabs>
          <w:tab w:leader="none" w:pos="9780" w:val="left"/>
          <w:tab w:leader="none" w:pos="1116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537845</wp:posOffset>
            </wp:positionV>
            <wp:extent cx="1386840" cy="18351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38684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hanging="179"/>
        <w:spacing w:after="0"/>
        <w:tabs>
          <w:tab w:leader="none" w:pos="1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Age 62</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Director since 2019</w:t>
      </w:r>
    </w:p>
    <w:p>
      <w:pPr>
        <w:spacing w:after="0" w:line="77" w:lineRule="exact"/>
        <w:rPr>
          <w:rFonts w:ascii="Arial" w:cs="Arial" w:eastAsia="Arial" w:hAnsi="Arial"/>
          <w:sz w:val="13"/>
          <w:szCs w:val="13"/>
          <w:color w:val="auto"/>
        </w:rPr>
      </w:pPr>
    </w:p>
    <w:p>
      <w:pPr>
        <w:ind w:left="180" w:hanging="179"/>
        <w:spacing w:after="0" w:line="285" w:lineRule="auto"/>
        <w:tabs>
          <w:tab w:leader="none" w:pos="204" w:val="left"/>
        </w:tabs>
        <w:numPr>
          <w:ilvl w:val="0"/>
          <w:numId w:val="10"/>
        </w:numPr>
        <w:rPr>
          <w:rFonts w:ascii="Arial" w:cs="Arial" w:eastAsia="Arial" w:hAnsi="Arial"/>
          <w:sz w:val="13"/>
          <w:szCs w:val="13"/>
          <w:color w:val="auto"/>
        </w:rPr>
      </w:pPr>
      <w:r>
        <w:rPr>
          <w:rFonts w:ascii="Arial" w:cs="Arial" w:eastAsia="Arial" w:hAnsi="Arial"/>
          <w:sz w:val="13"/>
          <w:szCs w:val="13"/>
          <w:color w:val="auto"/>
        </w:rPr>
        <w:t>Board Committees: Compensation, Governance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Gloria L. Valdez</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Ms. Valdez’s extensive strategic and operational experience in the defense markets as well as her management and financial expertise allow her to provide the Board with valuable assistance and high-level strategic insight.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2021–2024: Member of the Naval Shipbuilding Expert Advisory Panel providing advice to the Commonwealth of Australia on its National Naval Shipbuilding Enterprise</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2015–2018: Deputy Assistant Secretary of the Navy within the Office of the Assistant Secretary of the Navy (ASN) for Research, Development and Acquisition (executive oversight of all naval shipbuilding programs, major ship conversions, and maintenance, modernization and disposal of in-service ships)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1986–2015: Served in a number of other civilian positions within the Navy Department including as Executive Director for the Program Executive Office for submarines (responsible for civilian management, design, acquisition and construction for submarine platform and undersea systems), Director of the Investment and Development division within the Office of the ASN for Financial Management and Comptroller, and Director for Naval and Commercial Construction in the Office of the ASN for Ship Programs; also served as Budget Director for U.S. Immigration and Customs Enforcement within the Department of Homeland Security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M.S. in management from Florida Institute of Technology; B.S. in Mechanical Engineering from the University of New Mexico; sponsor of the Virginia Class submarine USS Vermont (SSN 792) commissioned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231140</wp:posOffset>
            </wp:positionV>
            <wp:extent cx="714121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540"/>
            <w:col w:w="8420"/>
          </w:cols>
          <w:pgMar w:left="320" w:top="818" w:right="339" w:bottom="1440" w:gutter="0" w:footer="0" w:header="0"/>
        </w:sectPr>
      </w:pPr>
    </w:p>
    <w:p>
      <w:pPr>
        <w:spacing w:after="0" w:line="313"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DIRECTORS CONTINUING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80" w:hanging="179"/>
        <w:spacing w:after="0"/>
        <w:tabs>
          <w:tab w:leader="none" w:pos="1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Age 63</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Director since 2017</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Term expires 2026</w:t>
      </w:r>
    </w:p>
    <w:p>
      <w:pPr>
        <w:spacing w:after="0" w:line="77" w:lineRule="exact"/>
        <w:rPr>
          <w:rFonts w:ascii="Arial" w:cs="Arial" w:eastAsia="Arial" w:hAnsi="Arial"/>
          <w:sz w:val="13"/>
          <w:szCs w:val="13"/>
          <w:color w:val="auto"/>
        </w:rPr>
      </w:pPr>
    </w:p>
    <w:p>
      <w:pPr>
        <w:ind w:left="180" w:hanging="179"/>
        <w:spacing w:after="0" w:line="285" w:lineRule="auto"/>
        <w:tabs>
          <w:tab w:leader="none" w:pos="204" w:val="left"/>
        </w:tabs>
        <w:numPr>
          <w:ilvl w:val="0"/>
          <w:numId w:val="11"/>
        </w:numPr>
        <w:rPr>
          <w:rFonts w:ascii="Arial" w:cs="Arial" w:eastAsia="Arial" w:hAnsi="Arial"/>
          <w:sz w:val="13"/>
          <w:szCs w:val="13"/>
          <w:color w:val="auto"/>
        </w:rPr>
      </w:pPr>
      <w:r>
        <w:rPr>
          <w:rFonts w:ascii="Arial" w:cs="Arial" w:eastAsia="Arial" w:hAnsi="Arial"/>
          <w:sz w:val="13"/>
          <w:szCs w:val="13"/>
          <w:color w:val="auto"/>
        </w:rPr>
        <w:t>Board Committees: Audit (Chair), Compensation</w:t>
      </w:r>
    </w:p>
    <w:p>
      <w:pPr>
        <w:spacing w:after="0" w:line="23" w:lineRule="exact"/>
        <w:rPr>
          <w:rFonts w:ascii="Arial" w:cs="Arial" w:eastAsia="Arial" w:hAnsi="Arial"/>
          <w:sz w:val="13"/>
          <w:szCs w:val="13"/>
          <w:color w:val="auto"/>
        </w:rPr>
      </w:pPr>
    </w:p>
    <w:p>
      <w:pPr>
        <w:jc w:val="both"/>
        <w:ind w:left="180" w:right="80" w:hanging="179"/>
        <w:spacing w:after="0" w:line="285" w:lineRule="auto"/>
        <w:tabs>
          <w:tab w:leader="none" w:pos="204" w:val="left"/>
        </w:tabs>
        <w:numPr>
          <w:ilvl w:val="0"/>
          <w:numId w:val="11"/>
        </w:numPr>
        <w:rPr>
          <w:rFonts w:ascii="Arial" w:cs="Arial" w:eastAsia="Arial" w:hAnsi="Arial"/>
          <w:sz w:val="13"/>
          <w:szCs w:val="13"/>
          <w:color w:val="auto"/>
        </w:rPr>
      </w:pPr>
      <w:r>
        <w:rPr>
          <w:rFonts w:ascii="Arial" w:cs="Arial" w:eastAsia="Arial" w:hAnsi="Arial"/>
          <w:sz w:val="13"/>
          <w:szCs w:val="13"/>
          <w:color w:val="auto"/>
        </w:rPr>
        <w:t>Qualifies as an audit committee financial expert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-2808605</wp:posOffset>
            </wp:positionV>
            <wp:extent cx="1386840" cy="1819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86840" cy="1819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Patrick M. Dewar</w:t>
      </w:r>
    </w:p>
    <w:p>
      <w:pPr>
        <w:spacing w:after="0" w:line="200"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Mr. Dewar’s extensive strategic, financial and operational experience in the aerospace and defense markets makes him well-qualified to assist in guiding Company strategy at the highest levels.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2016–Present: Chief Executive of The Trenton Group, LLC (investment and strategy consulting firm focused on security, aerospace and defense technology companies)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2013–2016: Executive Vice President of Lockheed Martin International and Chairman of Lockheed Martin Global, Inc.</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2010–2013: Senior Vice President, Strategy and Business Development for Lockheed Martin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Prior to 2010: Held various positions with Lockheed Martin and GE Aerospace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 Within Past Five Years</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2018–Present: Butler America Aerospace, LLC, a subsidiary of HCL Technologies Ltd. (provider of engineering, design IT and support services primarily to US aerospace and defense markets)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192"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M.S. in Electrical Engineering, Drexel University; B.S. in Engineering, Swarthmore College. Member of the Council on Foreign Relations; senior adviser to numerous investment firms on aerospace and defense matters</w:t>
      </w:r>
    </w:p>
    <w:p>
      <w:pPr>
        <w:spacing w:after="0" w:line="200" w:lineRule="exact"/>
        <w:rPr>
          <w:sz w:val="20"/>
          <w:szCs w:val="20"/>
          <w:color w:val="auto"/>
        </w:rPr>
      </w:pPr>
    </w:p>
    <w:p>
      <w:pPr>
        <w:sectPr>
          <w:pgSz w:w="11900" w:h="16838" w:orient="portrait"/>
          <w:cols w:equalWidth="0" w:num="2">
            <w:col w:w="2180" w:space="640"/>
            <w:col w:w="8420"/>
          </w:cols>
          <w:pgMar w:left="320" w:top="82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hanging="179"/>
        <w:spacing w:after="0"/>
        <w:tabs>
          <w:tab w:leader="none" w:pos="1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Age 64</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Director since 2022</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Term expires 2027</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Board Committees: Audit, Governance</w:t>
      </w:r>
    </w:p>
    <w:p>
      <w:pPr>
        <w:spacing w:after="0" w:line="77" w:lineRule="exact"/>
        <w:rPr>
          <w:rFonts w:ascii="Arial" w:cs="Arial" w:eastAsia="Arial" w:hAnsi="Arial"/>
          <w:sz w:val="13"/>
          <w:szCs w:val="13"/>
          <w:color w:val="auto"/>
        </w:rPr>
      </w:pPr>
    </w:p>
    <w:p>
      <w:pPr>
        <w:jc w:val="both"/>
        <w:ind w:left="180" w:right="400" w:hanging="179"/>
        <w:spacing w:after="0" w:line="285" w:lineRule="auto"/>
        <w:tabs>
          <w:tab w:leader="none" w:pos="204" w:val="left"/>
        </w:tabs>
        <w:numPr>
          <w:ilvl w:val="0"/>
          <w:numId w:val="12"/>
        </w:numPr>
        <w:rPr>
          <w:rFonts w:ascii="Arial" w:cs="Arial" w:eastAsia="Arial" w:hAnsi="Arial"/>
          <w:sz w:val="13"/>
          <w:szCs w:val="13"/>
          <w:color w:val="auto"/>
        </w:rPr>
      </w:pPr>
      <w:r>
        <w:rPr>
          <w:rFonts w:ascii="Arial" w:cs="Arial" w:eastAsia="Arial" w:hAnsi="Arial"/>
          <w:sz w:val="13"/>
          <w:szCs w:val="13"/>
          <w:color w:val="auto"/>
        </w:rPr>
        <w:t>Qualifies as an audit committee financial expert under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-2752725</wp:posOffset>
            </wp:positionV>
            <wp:extent cx="1386840" cy="18434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86840" cy="1843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Janice L. Hess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Ms. Hess’s four decades of experience includes operational, financial, business transformations and organizational effectiveness, as well as demonstrated performance in growing traditional, adjacent and emerging markets similar to those served by the Company, making her well-qualified to assist the Board in guiding Company strategy at the highest levels.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2014–2022: President, Engineered Systems Segment of Teledyne Technologies Incorporated (diversified multinational company providing enabling technologies for industrial growth markets requiring advanced technology and high reliability; the Engineered Systems Segment provides innovative systems engineering and integration and advanced technology development, and is a U.S. Government contractor serving defense, space, energy and maritime markets)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2000–2014: Held a number of other positions with Teledyne, including Executive Vice President and Chief Financial Officer of Engineered Systems</w:t>
      </w:r>
    </w:p>
    <w:p>
      <w:pPr>
        <w:spacing w:after="0" w:line="13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1984–2000: Held positions of increasing responsibility with Intergraph Corporation (now Hexagon AB, a multinational corporation), including Vice President, Finance and Administration and Chief Financial Officer, Computer Systems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B.S.B.A. from Auburn University; staff accountant with PricewaterhouseCoopers LLP from 1981 to 1983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451485</wp:posOffset>
            </wp:positionV>
            <wp:extent cx="7141210"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551" w:lineRule="exact"/>
        <w:rPr>
          <w:sz w:val="20"/>
          <w:szCs w:val="20"/>
          <w:color w:val="auto"/>
        </w:rPr>
      </w:pPr>
    </w:p>
    <w:p>
      <w:pPr>
        <w:sectPr>
          <w:pgSz w:w="11900" w:h="16838" w:orient="portrait"/>
          <w:cols w:equalWidth="0" w:num="2">
            <w:col w:w="2500" w:space="320"/>
            <w:col w:w="8420"/>
          </w:cols>
          <w:pgMar w:left="320" w:top="823" w:right="339" w:bottom="1440" w:gutter="0" w:footer="0" w:header="0"/>
          <w:type w:val="continuous"/>
        </w:sectPr>
      </w:pPr>
    </w:p>
    <w:p>
      <w:pPr>
        <w:spacing w:after="0" w:line="308"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537845</wp:posOffset>
            </wp:positionV>
            <wp:extent cx="1386840" cy="1827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386840" cy="182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hanging="179"/>
        <w:spacing w:after="0"/>
        <w:tabs>
          <w:tab w:leader="none" w:pos="180" w:val="left"/>
        </w:tabs>
        <w:numPr>
          <w:ilvl w:val="0"/>
          <w:numId w:val="13"/>
        </w:numPr>
        <w:rPr>
          <w:rFonts w:ascii="Times New Roman" w:cs="Times New Roman" w:eastAsia="Times New Roman" w:hAnsi="Times New Roman"/>
          <w:sz w:val="13"/>
          <w:szCs w:val="13"/>
          <w:color w:val="auto"/>
        </w:rPr>
      </w:pPr>
      <w:r>
        <w:rPr>
          <w:rFonts w:ascii="Arial" w:cs="Arial" w:eastAsia="Arial" w:hAnsi="Arial"/>
          <w:sz w:val="13"/>
          <w:szCs w:val="13"/>
          <w:color w:val="auto"/>
        </w:rPr>
        <w:t>Age 71</w:t>
      </w:r>
    </w:p>
    <w:p>
      <w:pPr>
        <w:spacing w:after="0" w:line="77" w:lineRule="exact"/>
        <w:rPr>
          <w:rFonts w:ascii="Times New Roman" w:cs="Times New Roman" w:eastAsia="Times New Roman" w:hAnsi="Times New Roman"/>
          <w:sz w:val="13"/>
          <w:szCs w:val="13"/>
          <w:color w:val="auto"/>
        </w:rPr>
      </w:pPr>
    </w:p>
    <w:p>
      <w:pPr>
        <w:ind w:left="200" w:hanging="199"/>
        <w:spacing w:after="0"/>
        <w:tabs>
          <w:tab w:leader="none" w:pos="2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Director since 2014</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Term expires 2026</w:t>
      </w:r>
    </w:p>
    <w:p>
      <w:pPr>
        <w:spacing w:after="0" w:line="77" w:lineRule="exact"/>
        <w:rPr>
          <w:rFonts w:ascii="Arial" w:cs="Arial" w:eastAsia="Arial" w:hAnsi="Arial"/>
          <w:sz w:val="13"/>
          <w:szCs w:val="13"/>
          <w:color w:val="auto"/>
        </w:rPr>
      </w:pPr>
    </w:p>
    <w:p>
      <w:pPr>
        <w:ind w:left="180" w:right="380" w:hanging="179"/>
        <w:spacing w:after="0" w:line="285" w:lineRule="auto"/>
        <w:tabs>
          <w:tab w:leader="none" w:pos="204" w:val="left"/>
        </w:tabs>
        <w:numPr>
          <w:ilvl w:val="0"/>
          <w:numId w:val="13"/>
        </w:numPr>
        <w:rPr>
          <w:rFonts w:ascii="Arial" w:cs="Arial" w:eastAsia="Arial" w:hAnsi="Arial"/>
          <w:sz w:val="13"/>
          <w:szCs w:val="13"/>
          <w:color w:val="auto"/>
        </w:rPr>
      </w:pPr>
      <w:r>
        <w:rPr>
          <w:rFonts w:ascii="Arial" w:cs="Arial" w:eastAsia="Arial" w:hAnsi="Arial"/>
          <w:sz w:val="13"/>
          <w:szCs w:val="13"/>
          <w:color w:val="auto"/>
        </w:rPr>
        <w:t>Board Committees: Audit, Compensation (Chair)</w:t>
      </w:r>
    </w:p>
    <w:p>
      <w:pPr>
        <w:spacing w:after="0" w:line="23" w:lineRule="exact"/>
        <w:rPr>
          <w:rFonts w:ascii="Arial" w:cs="Arial" w:eastAsia="Arial" w:hAnsi="Arial"/>
          <w:sz w:val="13"/>
          <w:szCs w:val="13"/>
          <w:color w:val="auto"/>
        </w:rPr>
      </w:pPr>
    </w:p>
    <w:p>
      <w:pPr>
        <w:jc w:val="both"/>
        <w:ind w:left="180" w:hanging="179"/>
        <w:spacing w:after="0" w:line="285" w:lineRule="auto"/>
        <w:tabs>
          <w:tab w:leader="none" w:pos="204" w:val="left"/>
        </w:tabs>
        <w:numPr>
          <w:ilvl w:val="0"/>
          <w:numId w:val="13"/>
        </w:numPr>
        <w:rPr>
          <w:rFonts w:ascii="Arial" w:cs="Arial" w:eastAsia="Arial" w:hAnsi="Arial"/>
          <w:sz w:val="13"/>
          <w:szCs w:val="13"/>
          <w:color w:val="auto"/>
        </w:rPr>
      </w:pPr>
      <w:r>
        <w:rPr>
          <w:rFonts w:ascii="Arial" w:cs="Arial" w:eastAsia="Arial" w:hAnsi="Arial"/>
          <w:sz w:val="13"/>
          <w:szCs w:val="13"/>
          <w:color w:val="auto"/>
        </w:rPr>
        <w:t>Qualifies as an audit committee financial expert under SEC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Vinod M. Khilnani</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a former public company executive, Mr. Khilnani brings to the Board of Directors a wealth of management experience and business knowledge regarding operational, financial and corporate governance issues, as well as extensive international experience with global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2013: Executive Chairman of the Board of Directors of CTS Corporation (designer, manufacturer and seller of electronic components and sensors)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2009–2013: Chairman and Chief Executive Officer of CTS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2007–2009: President and Chief Executive Officer of CTS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2001–2007: Senior VP and CFO of CTS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 Within Past Five Years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2009–Present: Materion Corporation (manufacturer of highly engineered advanced materials, performance alloys and composites, and precision coatings for global markets)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2013–2023: 1st Source Corporation (bank holding company)</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2014–2021: Gibraltar Industries (manufacturer and distributor of products for the building markets)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M.B.A. from the University of New York at Albany; B.A. in Business Administration from Delhi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266700</wp:posOffset>
            </wp:positionV>
            <wp:extent cx="714121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720"/>
            <w:col w:w="8420"/>
          </w:cols>
          <w:pgMar w:left="320" w:top="818" w:right="339" w:bottom="1440" w:gutter="0" w:footer="0" w:header="0"/>
        </w:sectPr>
      </w:pPr>
    </w:p>
    <w:p>
      <w:pPr>
        <w:spacing w:after="0" w:line="369"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537845</wp:posOffset>
            </wp:positionV>
            <wp:extent cx="1394460" cy="1827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394460" cy="182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 w:hanging="179"/>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Age 64</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Director since 2014</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Term expires 2026</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Chair of the Board</w:t>
      </w:r>
    </w:p>
    <w:p>
      <w:pPr>
        <w:spacing w:after="0" w:line="77" w:lineRule="exact"/>
        <w:rPr>
          <w:rFonts w:ascii="Arial" w:cs="Arial" w:eastAsia="Arial" w:hAnsi="Arial"/>
          <w:sz w:val="13"/>
          <w:szCs w:val="13"/>
          <w:color w:val="auto"/>
        </w:rPr>
      </w:pPr>
    </w:p>
    <w:p>
      <w:pPr>
        <w:ind w:left="180" w:hanging="179"/>
        <w:spacing w:after="0" w:line="285" w:lineRule="auto"/>
        <w:tabs>
          <w:tab w:leader="none" w:pos="204" w:val="left"/>
        </w:tabs>
        <w:numPr>
          <w:ilvl w:val="0"/>
          <w:numId w:val="14"/>
        </w:numPr>
        <w:rPr>
          <w:rFonts w:ascii="Arial" w:cs="Arial" w:eastAsia="Arial" w:hAnsi="Arial"/>
          <w:sz w:val="13"/>
          <w:szCs w:val="13"/>
          <w:color w:val="auto"/>
        </w:rPr>
      </w:pPr>
      <w:r>
        <w:rPr>
          <w:rFonts w:ascii="Arial" w:cs="Arial" w:eastAsia="Arial" w:hAnsi="Arial"/>
          <w:sz w:val="13"/>
          <w:szCs w:val="13"/>
          <w:color w:val="auto"/>
        </w:rPr>
        <w:t>Board Committees: Executive (Chair), 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1462405</wp:posOffset>
            </wp:positionV>
            <wp:extent cx="1394460" cy="1827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94460" cy="182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hanging="179"/>
        <w:spacing w:after="0"/>
        <w:tabs>
          <w:tab w:leader="none" w:pos="180" w:val="left"/>
        </w:tabs>
        <w:numPr>
          <w:ilvl w:val="0"/>
          <w:numId w:val="15"/>
        </w:numPr>
        <w:rPr>
          <w:rFonts w:ascii="Times New Roman" w:cs="Times New Roman" w:eastAsia="Times New Roman" w:hAnsi="Times New Roman"/>
          <w:sz w:val="13"/>
          <w:szCs w:val="13"/>
          <w:color w:val="auto"/>
        </w:rPr>
      </w:pPr>
      <w:r>
        <w:rPr>
          <w:rFonts w:ascii="Arial" w:cs="Arial" w:eastAsia="Arial" w:hAnsi="Arial"/>
          <w:sz w:val="13"/>
          <w:szCs w:val="13"/>
          <w:color w:val="auto"/>
        </w:rPr>
        <w:t>Age 58</w:t>
      </w:r>
    </w:p>
    <w:p>
      <w:pPr>
        <w:spacing w:after="0" w:line="77" w:lineRule="exact"/>
        <w:rPr>
          <w:rFonts w:ascii="Times New Roman" w:cs="Times New Roman" w:eastAsia="Times New Roman" w:hAnsi="Times New Roman"/>
          <w:sz w:val="13"/>
          <w:szCs w:val="13"/>
          <w:color w:val="auto"/>
        </w:rPr>
      </w:pPr>
    </w:p>
    <w:p>
      <w:pPr>
        <w:ind w:left="200" w:hanging="199"/>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Director since 2023</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Term expires 2027</w:t>
      </w:r>
    </w:p>
    <w:p>
      <w:pPr>
        <w:spacing w:after="0" w:line="77" w:lineRule="exact"/>
        <w:rPr>
          <w:rFonts w:ascii="Arial" w:cs="Arial" w:eastAsia="Arial" w:hAnsi="Arial"/>
          <w:sz w:val="13"/>
          <w:szCs w:val="13"/>
          <w:color w:val="auto"/>
        </w:rPr>
      </w:pPr>
    </w:p>
    <w:p>
      <w:pPr>
        <w:ind w:left="200" w:hanging="199"/>
        <w:spacing w:after="0"/>
        <w:tabs>
          <w:tab w:leader="none" w:pos="2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Board Committees: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Robert J. Phillippy</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Along with his experience as chief executive officer of a publicly held technology company, Mr. Phillippy brings to the Board of Directors extensive experience in mergers and acquisitions as well as in new product innovation and international business development; and as independent Chair of the Board he provides valuable insights and perspectives regarding all areas of the Company’s business.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2016–Present: Executive consultant to technology companies on a range of strategic, operational and organizational issues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2007–2016: President, Chief Executive Officer and a director of Newport Corporation (developer, manufacturer and supplier of lasers, optics and photonics technologies, products and systems for scientific research, microelectronics, defense and security, life and health sciences and industrial markets worldwide)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2004–2007: President and Chief Operating Officer of Newport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1996–2004: Held various executive management positions with Newport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1984–1996: Held various sales and marketing management positions at Square D Company (now Schneider Electric)</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(electrical equipment manufacturer)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Public Company Directorships Within Past Five Years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2018–Present: Materion Corporation (manufacturer of highly engineered advanced materials, performance alloys and composites, and precision coatings for global markets)</w:t>
      </w:r>
    </w:p>
    <w:p>
      <w:pPr>
        <w:spacing w:after="0" w:line="137"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2018–Present: Kimball Electronics Inc. (manufacturing solutions provider of durable electronics and other products for a variety of industries globally)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M.B.A. from Northwestern University’s Kellogg School of Management; B.S. in Electrical Engineering from the University of Texas at Austin</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Bryan H. Sayler</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Mr. Sayler’s nearly 30 years of experience at the Company across several of its core businesses, including his current position as Chief Executive Officer and President, is reflected in his proven track record of aligning strategy and business objectives as well as strong financial results and M&amp;A outcomes, making him uniquely qualified to provide the Board of Directors with valuable insights and perspectives concerning all areas of the Company’s business.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Business Experience</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2023–Present: Chief Executive Officer, President and a director of the Company</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1995–2022: Held various positions of increasing responsibility within the Company, including as President of the Utility Solutions Group and Doble Engineering from 2016– 2022</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Experience and Education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B.A. in Pre-Seminary from Southeastern College; M.B.A. from Baylor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-1789430</wp:posOffset>
            </wp:positionH>
            <wp:positionV relativeFrom="paragraph">
              <wp:posOffset>739775</wp:posOffset>
            </wp:positionV>
            <wp:extent cx="714121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951" w:lineRule="exact"/>
        <w:rPr>
          <w:sz w:val="20"/>
          <w:szCs w:val="20"/>
          <w:color w:val="auto"/>
        </w:rPr>
      </w:pPr>
    </w:p>
    <w:p>
      <w:pPr>
        <w:sectPr>
          <w:pgSz w:w="11900" w:h="16838" w:orient="portrait"/>
          <w:cols w:equalWidth="0" w:num="2">
            <w:col w:w="2460" w:space="360"/>
            <w:col w:w="8420"/>
          </w:cols>
          <w:pgMar w:left="320" w:top="818" w:right="339" w:bottom="1440" w:gutter="0" w:footer="0" w:header="0"/>
        </w:sectPr>
      </w:pPr>
    </w:p>
    <w:p>
      <w:pPr>
        <w:spacing w:after="0" w:line="362"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1"/>
          <w:szCs w:val="21"/>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Company’s Board of Directors is ultimately responsible for the conduct of the business of the Company in accordance with ethical and honorable business practices and applicable laws, to justify the confidence that the shareholders have placed in the Company by their investment in its shares. Among the Board’s core responsibilities are to:</w:t>
      </w:r>
    </w:p>
    <w:p>
      <w:pPr>
        <w:spacing w:after="0" w:line="150" w:lineRule="exact"/>
        <w:rPr>
          <w:sz w:val="20"/>
          <w:szCs w:val="20"/>
          <w:color w:val="auto"/>
        </w:rPr>
      </w:pPr>
    </w:p>
    <w:p>
      <w:pPr>
        <w:ind w:left="180" w:hanging="179"/>
        <w:spacing w:after="0"/>
        <w:tabs>
          <w:tab w:leader="none" w:pos="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Oversee the conduct of the Company’s business in order to evaluate whether the business is being properly managed</w:t>
      </w:r>
    </w:p>
    <w:p>
      <w:pPr>
        <w:spacing w:after="0" w:line="180" w:lineRule="exact"/>
        <w:rPr>
          <w:rFonts w:ascii="Arial" w:cs="Arial" w:eastAsia="Arial" w:hAnsi="Arial"/>
          <w:sz w:val="15"/>
          <w:szCs w:val="15"/>
          <w:color w:val="auto"/>
        </w:rPr>
      </w:pPr>
    </w:p>
    <w:p>
      <w:pPr>
        <w:ind w:left="180" w:hanging="179"/>
        <w:spacing w:after="0"/>
        <w:tabs>
          <w:tab w:leader="none" w:pos="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Review and, where appropriate, approve the Company’s major strategic and financial plans and goals, and evaluate results compared to those plans and goals</w:t>
      </w:r>
    </w:p>
    <w:p>
      <w:pPr>
        <w:spacing w:after="0" w:line="180" w:lineRule="exact"/>
        <w:rPr>
          <w:rFonts w:ascii="Arial" w:cs="Arial" w:eastAsia="Arial" w:hAnsi="Arial"/>
          <w:sz w:val="15"/>
          <w:szCs w:val="15"/>
          <w:color w:val="auto"/>
        </w:rPr>
      </w:pPr>
    </w:p>
    <w:p>
      <w:pPr>
        <w:ind w:left="180" w:hanging="179"/>
        <w:spacing w:after="0"/>
        <w:tabs>
          <w:tab w:leader="none" w:pos="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Oversee the Company’s global risk management framework</w:t>
      </w:r>
    </w:p>
    <w:p>
      <w:pPr>
        <w:spacing w:after="0" w:line="180" w:lineRule="exact"/>
        <w:rPr>
          <w:rFonts w:ascii="Arial" w:cs="Arial" w:eastAsia="Arial" w:hAnsi="Arial"/>
          <w:sz w:val="15"/>
          <w:szCs w:val="15"/>
          <w:color w:val="auto"/>
        </w:rPr>
      </w:pPr>
    </w:p>
    <w:p>
      <w:pPr>
        <w:ind w:left="180" w:hanging="179"/>
        <w:spacing w:after="0" w:line="282" w:lineRule="auto"/>
        <w:tabs>
          <w:tab w:leader="none" w:pos="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Review and approve significant indebtedness, significant capital allocations including dividends and stock repurchase plans, and significant transactions not arising in the ordinary course of business</w:t>
      </w:r>
    </w:p>
    <w:p>
      <w:pPr>
        <w:spacing w:after="0" w:line="124" w:lineRule="exact"/>
        <w:rPr>
          <w:rFonts w:ascii="Arial" w:cs="Arial" w:eastAsia="Arial" w:hAnsi="Arial"/>
          <w:sz w:val="15"/>
          <w:szCs w:val="15"/>
          <w:color w:val="auto"/>
        </w:rPr>
      </w:pPr>
    </w:p>
    <w:p>
      <w:pPr>
        <w:jc w:val="both"/>
        <w:ind w:left="180" w:hanging="179"/>
        <w:spacing w:after="0" w:line="264" w:lineRule="auto"/>
        <w:tabs>
          <w:tab w:leader="none" w:pos="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Review management’s determinations of principal considerations related to the auditing and accounting principles and practices used in the preparation of the Company’s financial statements; review and approve the Company’s financial controls and reporting systems; and review and approve the Company’s financial statements and financial reporting</w:t>
      </w:r>
    </w:p>
    <w:p>
      <w:pPr>
        <w:spacing w:after="0" w:line="137" w:lineRule="exact"/>
        <w:rPr>
          <w:rFonts w:ascii="Arial" w:cs="Arial" w:eastAsia="Arial" w:hAnsi="Arial"/>
          <w:sz w:val="15"/>
          <w:szCs w:val="15"/>
          <w:color w:val="auto"/>
        </w:rPr>
      </w:pPr>
    </w:p>
    <w:p>
      <w:pPr>
        <w:ind w:left="180" w:hanging="179"/>
        <w:spacing w:after="0"/>
        <w:tabs>
          <w:tab w:leader="none" w:pos="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Select individuals for election to the Board and evaluate the performance of the Board and Board committees</w:t>
      </w:r>
    </w:p>
    <w:p>
      <w:pPr>
        <w:spacing w:after="0" w:line="180" w:lineRule="exact"/>
        <w:rPr>
          <w:rFonts w:ascii="Arial" w:cs="Arial" w:eastAsia="Arial" w:hAnsi="Arial"/>
          <w:sz w:val="15"/>
          <w:szCs w:val="15"/>
          <w:color w:val="auto"/>
        </w:rPr>
      </w:pPr>
    </w:p>
    <w:p>
      <w:pPr>
        <w:ind w:left="180" w:hanging="179"/>
        <w:spacing w:after="0" w:line="282" w:lineRule="auto"/>
        <w:tabs>
          <w:tab w:leader="none" w:pos="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Select, evaluate and compensate the CEO and monitor the same decisions with respect to other executive officers; approve and evaluate compensation plans for senior management in conjunction with the Compensation Committee</w:t>
      </w:r>
    </w:p>
    <w:p>
      <w:pPr>
        <w:spacing w:after="0" w:line="124" w:lineRule="exact"/>
        <w:rPr>
          <w:rFonts w:ascii="Arial" w:cs="Arial" w:eastAsia="Arial" w:hAnsi="Arial"/>
          <w:sz w:val="15"/>
          <w:szCs w:val="15"/>
          <w:color w:val="auto"/>
        </w:rPr>
      </w:pPr>
    </w:p>
    <w:p>
      <w:pPr>
        <w:ind w:left="180" w:hanging="179"/>
        <w:spacing w:after="0" w:line="282" w:lineRule="auto"/>
        <w:tabs>
          <w:tab w:leader="none" w:pos="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Oversee the conduct of the Company’s Environmental, Social and Governance (ESG) program including annually reviewing the Governance Committee’s ESG program assessment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and Recent Changes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February 2024, director James M. Stolze retired from the Board, and in August 2024, the Board elected new directors David A. Campbell and Penelope M. Conner. Because of their positions as executives of energy companies, Mr. Campbell’s and Ms. Conner’s elections were subject to clearance by the Federal Energy Regulatory Commission, which was obtained in September 2024 and October 2024, respectively.</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Board is currently comprised of nine directors divided into three classes, with the terms of office of each class ending in successive years. In anticipation of director Leon J. Olivier’s retirement at the 2025 Annual Meeting, the Board decided to move Mr. Campbell (with his consent) into Mr. Olivier’s class and to decrease the size of the Board from nine to eight members effective with the expiration of Mr. Olivier’s term.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Mr. Sayler is the only Board member who is a member of the Company’s management. The Board of Directors has affirmatively determined that none of the eight non-management directors has any material relationship with the Company other than in his or her capacity as a director and shareholder, and that therefore all of those directors are, and at all times during their service in fiscal 2024 were, independent as defined under the Company’s Corporate Governance Guidelines and the listing standards of the NYSE.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w:t>
      </w:r>
    </w:p>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Board of Directors held five meetings during fiscal 2024. All of the directors attended, either in person or by video conference call, at least 75% of the meetings of the Board and of each of the committees on which they served which were held during their periods of service. The Company’s policy requires that all directors attend the Annual Meeting of Shareholders, except for absences due to causes beyond the reasonable control of the director. All of the directors serving at the time of the 2024 Annual Meeting attended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234315</wp:posOffset>
            </wp:positionV>
            <wp:extent cx="714121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19" w:name="page20"/>
    <w:bookmarkEnd w:id="19"/>
    <w:p>
      <w:pPr>
        <w:spacing w:after="0"/>
        <w:rPr>
          <w:sz w:val="20"/>
          <w:szCs w:val="20"/>
          <w:color w:val="auto"/>
        </w:rPr>
      </w:pPr>
      <w:r>
        <w:rPr>
          <w:rFonts w:ascii="Arial" w:cs="Arial" w:eastAsia="Arial" w:hAnsi="Arial"/>
          <w:sz w:val="21"/>
          <w:szCs w:val="21"/>
          <w:b w:val="1"/>
          <w:bCs w:val="1"/>
          <w:color w:val="auto"/>
        </w:rPr>
        <w:t>DIVERSITY AND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71412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67"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Diversity is one of the factors that the Governance Committee considers in identifying the pool of director search candidates. The Board appreciates the benefits diversity brings and strives to assemble a Board with not only a variety of business and professional backgrounds, but also diversity in areas such as race, ethnicity and 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216535</wp:posOffset>
            </wp:positionV>
            <wp:extent cx="6812915" cy="2460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12915" cy="246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7141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67"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The members of the Board of Directors are appointed to various committees. The standing committees of the Board are the Executive Committee, the Audit and Finance Committee (Audit Committee), the Nominating and Corporate Governance Committee (Governance Committee), and the Human Resources and Compensation Committee (Compensation Committee).</w:t>
      </w:r>
    </w:p>
    <w:p>
      <w:pPr>
        <w:spacing w:after="0" w:line="150" w:lineRule="exact"/>
        <w:rPr>
          <w:sz w:val="20"/>
          <w:szCs w:val="20"/>
          <w:color w:val="auto"/>
        </w:rPr>
      </w:pPr>
    </w:p>
    <w:p>
      <w:pPr>
        <w:jc w:val="both"/>
        <w:ind w:right="20"/>
        <w:spacing w:after="0" w:line="294" w:lineRule="auto"/>
        <w:rPr>
          <w:sz w:val="20"/>
          <w:szCs w:val="20"/>
          <w:color w:val="auto"/>
        </w:rPr>
      </w:pPr>
      <w:r>
        <w:rPr>
          <w:rFonts w:ascii="Arial" w:cs="Arial" w:eastAsia="Arial" w:hAnsi="Arial"/>
          <w:sz w:val="15"/>
          <w:szCs w:val="15"/>
          <w:color w:val="auto"/>
        </w:rPr>
        <w:t xml:space="preserve">Each Committee operates under a written charter adopted by the Board of Directors. The charters are posted on the Company’s website, </w:t>
      </w:r>
      <w:r>
        <w:rPr>
          <w:rFonts w:ascii="Arial" w:cs="Arial" w:eastAsia="Arial" w:hAnsi="Arial"/>
          <w:sz w:val="15"/>
          <w:szCs w:val="15"/>
          <w:u w:val="single" w:color="auto"/>
          <w:color w:val="auto"/>
        </w:rPr>
        <w:t>www.escotechnologies.com</w:t>
      </w:r>
      <w:r>
        <w:rPr>
          <w:rFonts w:ascii="Arial" w:cs="Arial" w:eastAsia="Arial" w:hAnsi="Arial"/>
          <w:sz w:val="15"/>
          <w:szCs w:val="15"/>
          <w:color w:val="auto"/>
        </w:rPr>
        <w:t xml:space="preserve">, under the </w:t>
      </w:r>
      <w:r>
        <w:rPr>
          <w:rFonts w:ascii="Arial" w:cs="Arial" w:eastAsia="Arial" w:hAnsi="Arial"/>
          <w:sz w:val="15"/>
          <w:szCs w:val="15"/>
          <w:b w:val="1"/>
          <w:bCs w:val="1"/>
          <w:i w:val="1"/>
          <w:iCs w:val="1"/>
          <w:color w:val="auto"/>
        </w:rPr>
        <w:t>Investor Center/Committees &amp; Charters</w:t>
      </w:r>
      <w:r>
        <w:rPr>
          <w:rFonts w:ascii="Arial" w:cs="Arial" w:eastAsia="Arial" w:hAnsi="Arial"/>
          <w:sz w:val="15"/>
          <w:szCs w:val="15"/>
          <w:color w:val="auto"/>
        </w:rPr>
        <w:t xml:space="preserve"> tab, and a copy of each Committee’s charter is available in print to any shareholder who requests 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134620</wp:posOffset>
            </wp:positionV>
            <wp:extent cx="7141210" cy="10020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1002030"/>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p>
      <w:pPr>
        <w:spacing w:after="0" w:line="316"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CURRENT MEMBERS</w:t>
      </w:r>
    </w:p>
    <w:p>
      <w:pPr>
        <w:spacing w:after="0" w:line="35" w:lineRule="exact"/>
        <w:rPr>
          <w:sz w:val="20"/>
          <w:szCs w:val="20"/>
          <w:color w:val="auto"/>
        </w:rPr>
      </w:pPr>
    </w:p>
    <w:p>
      <w:pPr>
        <w:ind w:left="220" w:hanging="135"/>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3"/>
          <w:szCs w:val="13"/>
          <w:color w:val="auto"/>
        </w:rPr>
        <w:t>Phillippy</w:t>
      </w:r>
    </w:p>
    <w:p>
      <w:pPr>
        <w:spacing w:after="0" w:line="19" w:lineRule="exact"/>
        <w:rPr>
          <w:rFonts w:ascii="Arial" w:cs="Arial" w:eastAsia="Arial" w:hAnsi="Arial"/>
          <w:sz w:val="17"/>
          <w:szCs w:val="17"/>
          <w:color w:val="auto"/>
        </w:rPr>
      </w:pPr>
    </w:p>
    <w:p>
      <w:pPr>
        <w:ind w:left="220" w:hanging="135"/>
        <w:spacing w:after="0"/>
        <w:tabs>
          <w:tab w:leader="none" w:pos="220" w:val="left"/>
        </w:tabs>
        <w:numPr>
          <w:ilvl w:val="0"/>
          <w:numId w:val="17"/>
        </w:numPr>
        <w:rPr>
          <w:rFonts w:ascii="Arial" w:cs="Arial" w:eastAsia="Arial" w:hAnsi="Arial"/>
          <w:sz w:val="17"/>
          <w:szCs w:val="17"/>
          <w:color w:val="auto"/>
        </w:rPr>
      </w:pPr>
      <w:r>
        <w:rPr>
          <w:rFonts w:ascii="Arial" w:cs="Arial" w:eastAsia="Arial" w:hAnsi="Arial"/>
          <w:sz w:val="13"/>
          <w:szCs w:val="13"/>
          <w:color w:val="auto"/>
        </w:rPr>
        <w:t>Sayler</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3"/>
          <w:szCs w:val="13"/>
          <w:color w:val="auto"/>
        </w:rPr>
        <w:t>No meetings in fiscal 2024</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132" w:hanging="132"/>
        <w:spacing w:after="0"/>
        <w:tabs>
          <w:tab w:leader="none" w:pos="132" w:val="left"/>
        </w:tabs>
        <w:numPr>
          <w:ilvl w:val="0"/>
          <w:numId w:val="18"/>
        </w:numPr>
        <w:rPr>
          <w:rFonts w:ascii="Arial" w:cs="Arial" w:eastAsia="Arial" w:hAnsi="Arial"/>
          <w:sz w:val="17"/>
          <w:szCs w:val="17"/>
          <w:color w:val="auto"/>
        </w:rPr>
      </w:pPr>
      <w:r>
        <w:rPr>
          <w:rFonts w:ascii="Arial" w:cs="Arial" w:eastAsia="Arial" w:hAnsi="Arial"/>
          <w:sz w:val="13"/>
          <w:szCs w:val="13"/>
          <w:color w:val="auto"/>
        </w:rPr>
        <w:t>May exercise the powers of the Board between Board meetings, subject to limitations specified in the committee charter</w:t>
      </w:r>
    </w:p>
    <w:p>
      <w:pPr>
        <w:spacing w:after="0" w:line="19" w:lineRule="exact"/>
        <w:rPr>
          <w:rFonts w:ascii="Arial" w:cs="Arial" w:eastAsia="Arial" w:hAnsi="Arial"/>
          <w:sz w:val="17"/>
          <w:szCs w:val="17"/>
          <w:color w:val="auto"/>
        </w:rPr>
      </w:pPr>
    </w:p>
    <w:p>
      <w:pPr>
        <w:ind w:left="132" w:hanging="132"/>
        <w:spacing w:after="0"/>
        <w:tabs>
          <w:tab w:leader="none" w:pos="132" w:val="left"/>
        </w:tabs>
        <w:numPr>
          <w:ilvl w:val="0"/>
          <w:numId w:val="18"/>
        </w:numPr>
        <w:rPr>
          <w:rFonts w:ascii="Arial" w:cs="Arial" w:eastAsia="Arial" w:hAnsi="Arial"/>
          <w:sz w:val="17"/>
          <w:szCs w:val="17"/>
          <w:color w:val="auto"/>
        </w:rPr>
      </w:pPr>
      <w:r>
        <w:rPr>
          <w:rFonts w:ascii="Arial" w:cs="Arial" w:eastAsia="Arial" w:hAnsi="Arial"/>
          <w:sz w:val="13"/>
          <w:szCs w:val="13"/>
          <w:color w:val="auto"/>
        </w:rPr>
        <w:t>May not:</w:t>
      </w:r>
    </w:p>
    <w:p>
      <w:pPr>
        <w:spacing w:after="0" w:line="19" w:lineRule="exact"/>
        <w:rPr>
          <w:rFonts w:ascii="Arial" w:cs="Arial" w:eastAsia="Arial" w:hAnsi="Arial"/>
          <w:sz w:val="17"/>
          <w:szCs w:val="17"/>
          <w:color w:val="auto"/>
        </w:rPr>
      </w:pPr>
    </w:p>
    <w:p>
      <w:pPr>
        <w:ind w:left="232" w:hanging="135"/>
        <w:spacing w:after="0"/>
        <w:tabs>
          <w:tab w:leader="none" w:pos="232" w:val="left"/>
        </w:tabs>
        <w:numPr>
          <w:ilvl w:val="1"/>
          <w:numId w:val="18"/>
        </w:numPr>
        <w:rPr>
          <w:rFonts w:ascii="Arial" w:cs="Arial" w:eastAsia="Arial" w:hAnsi="Arial"/>
          <w:sz w:val="17"/>
          <w:szCs w:val="17"/>
          <w:color w:val="auto"/>
        </w:rPr>
      </w:pPr>
      <w:r>
        <w:rPr>
          <w:rFonts w:ascii="Arial" w:cs="Arial" w:eastAsia="Arial" w:hAnsi="Arial"/>
          <w:sz w:val="13"/>
          <w:szCs w:val="13"/>
          <w:color w:val="auto"/>
        </w:rPr>
        <w:t>Declare dividends</w:t>
      </w:r>
    </w:p>
    <w:p>
      <w:pPr>
        <w:spacing w:after="0" w:line="19" w:lineRule="exact"/>
        <w:rPr>
          <w:rFonts w:ascii="Arial" w:cs="Arial" w:eastAsia="Arial" w:hAnsi="Arial"/>
          <w:sz w:val="17"/>
          <w:szCs w:val="17"/>
          <w:color w:val="auto"/>
        </w:rPr>
      </w:pPr>
    </w:p>
    <w:p>
      <w:pPr>
        <w:ind w:left="232" w:hanging="135"/>
        <w:spacing w:after="0"/>
        <w:tabs>
          <w:tab w:leader="none" w:pos="232" w:val="left"/>
        </w:tabs>
        <w:numPr>
          <w:ilvl w:val="1"/>
          <w:numId w:val="18"/>
        </w:numPr>
        <w:rPr>
          <w:rFonts w:ascii="Arial" w:cs="Arial" w:eastAsia="Arial" w:hAnsi="Arial"/>
          <w:sz w:val="17"/>
          <w:szCs w:val="17"/>
          <w:color w:val="auto"/>
        </w:rPr>
      </w:pPr>
      <w:r>
        <w:rPr>
          <w:rFonts w:ascii="Arial" w:cs="Arial" w:eastAsia="Arial" w:hAnsi="Arial"/>
          <w:sz w:val="13"/>
          <w:szCs w:val="13"/>
          <w:color w:val="auto"/>
        </w:rPr>
        <w:t>Amend the Bylaws</w:t>
      </w:r>
    </w:p>
    <w:p>
      <w:pPr>
        <w:spacing w:after="0" w:line="19" w:lineRule="exact"/>
        <w:rPr>
          <w:rFonts w:ascii="Arial" w:cs="Arial" w:eastAsia="Arial" w:hAnsi="Arial"/>
          <w:sz w:val="17"/>
          <w:szCs w:val="17"/>
          <w:color w:val="auto"/>
        </w:rPr>
      </w:pPr>
    </w:p>
    <w:p>
      <w:pPr>
        <w:ind w:left="232" w:hanging="135"/>
        <w:spacing w:after="0"/>
        <w:tabs>
          <w:tab w:leader="none" w:pos="232" w:val="left"/>
        </w:tabs>
        <w:numPr>
          <w:ilvl w:val="1"/>
          <w:numId w:val="18"/>
        </w:numPr>
        <w:rPr>
          <w:rFonts w:ascii="Arial" w:cs="Arial" w:eastAsia="Arial" w:hAnsi="Arial"/>
          <w:sz w:val="17"/>
          <w:szCs w:val="17"/>
          <w:color w:val="auto"/>
        </w:rPr>
      </w:pPr>
      <w:r>
        <w:rPr>
          <w:rFonts w:ascii="Arial" w:cs="Arial" w:eastAsia="Arial" w:hAnsi="Arial"/>
          <w:sz w:val="13"/>
          <w:szCs w:val="13"/>
          <w:color w:val="auto"/>
        </w:rPr>
        <w:t>Approve, propose or recommend for approval any action requiring approval by the shareholders</w:t>
      </w:r>
    </w:p>
    <w:p>
      <w:pPr>
        <w:spacing w:after="0" w:line="19" w:lineRule="exact"/>
        <w:rPr>
          <w:rFonts w:ascii="Arial" w:cs="Arial" w:eastAsia="Arial" w:hAnsi="Arial"/>
          <w:sz w:val="17"/>
          <w:szCs w:val="17"/>
          <w:color w:val="auto"/>
        </w:rPr>
      </w:pPr>
    </w:p>
    <w:p>
      <w:pPr>
        <w:ind w:left="232" w:hanging="135"/>
        <w:spacing w:after="0"/>
        <w:tabs>
          <w:tab w:leader="none" w:pos="232" w:val="left"/>
        </w:tabs>
        <w:numPr>
          <w:ilvl w:val="1"/>
          <w:numId w:val="18"/>
        </w:numPr>
        <w:rPr>
          <w:rFonts w:ascii="Arial" w:cs="Arial" w:eastAsia="Arial" w:hAnsi="Arial"/>
          <w:sz w:val="17"/>
          <w:szCs w:val="17"/>
          <w:color w:val="auto"/>
        </w:rPr>
      </w:pPr>
      <w:r>
        <w:rPr>
          <w:rFonts w:ascii="Arial" w:cs="Arial" w:eastAsia="Arial" w:hAnsi="Arial"/>
          <w:sz w:val="13"/>
          <w:szCs w:val="13"/>
          <w:color w:val="auto"/>
        </w:rPr>
        <w:t>Elect directors or fill vacancies on the Board</w:t>
      </w:r>
    </w:p>
    <w:p>
      <w:pPr>
        <w:spacing w:after="0" w:line="19" w:lineRule="exact"/>
        <w:rPr>
          <w:rFonts w:ascii="Arial" w:cs="Arial" w:eastAsia="Arial" w:hAnsi="Arial"/>
          <w:sz w:val="17"/>
          <w:szCs w:val="17"/>
          <w:color w:val="auto"/>
        </w:rPr>
      </w:pPr>
    </w:p>
    <w:p>
      <w:pPr>
        <w:ind w:left="232" w:hanging="135"/>
        <w:spacing w:after="0"/>
        <w:tabs>
          <w:tab w:leader="none" w:pos="232" w:val="left"/>
        </w:tabs>
        <w:numPr>
          <w:ilvl w:val="1"/>
          <w:numId w:val="18"/>
        </w:numPr>
        <w:rPr>
          <w:rFonts w:ascii="Arial" w:cs="Arial" w:eastAsia="Arial" w:hAnsi="Arial"/>
          <w:sz w:val="17"/>
          <w:szCs w:val="17"/>
          <w:color w:val="auto"/>
        </w:rPr>
      </w:pPr>
      <w:r>
        <w:rPr>
          <w:rFonts w:ascii="Arial" w:cs="Arial" w:eastAsia="Arial" w:hAnsi="Arial"/>
          <w:sz w:val="13"/>
          <w:szCs w:val="13"/>
          <w:color w:val="auto"/>
        </w:rPr>
        <w:t>Change the membership or composition of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13335</wp:posOffset>
            </wp:positionV>
            <wp:extent cx="71412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8" w:space="720"/>
            <w:col w:w="8652"/>
          </w:cols>
          <w:pgMar w:left="320" w:top="811" w:right="339"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00"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The Audit Committee assists the Board in fulfilling its oversight responsibilities for the integrity of the Company’s financial statements; the Company’s compliance with legal and regulatory requirements; the qualifications, independence and performance of the Company’s independent public accounting firm (the Accounting Firm); and the performance of the Company’s internal audit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231140</wp:posOffset>
            </wp:positionV>
            <wp:extent cx="714121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89"/>
        </w:trPr>
        <w:tc>
          <w:tcPr>
            <w:tcW w:w="80" w:type="dxa"/>
            <w:vAlign w:val="bottom"/>
            <w:tcBorders>
              <w:top w:val="single" w:sz="8" w:color="auto"/>
            </w:tcBorders>
            <w:shd w:val="clear" w:color="auto" w:fill="F3F3F4"/>
          </w:tcPr>
          <w:p>
            <w:pPr>
              <w:spacing w:after="0"/>
              <w:rPr>
                <w:sz w:val="16"/>
                <w:szCs w:val="16"/>
                <w:color w:val="auto"/>
              </w:rPr>
            </w:pPr>
          </w:p>
        </w:tc>
        <w:tc>
          <w:tcPr>
            <w:tcW w:w="2100" w:type="dxa"/>
            <w:vAlign w:val="bottom"/>
            <w:tcBorders>
              <w:top w:val="single" w:sz="8" w:color="auto"/>
            </w:tcBorders>
            <w:shd w:val="clear" w:color="auto" w:fill="F3F3F4"/>
          </w:tcPr>
          <w:p>
            <w:pPr>
              <w:spacing w:after="0"/>
              <w:rPr>
                <w:sz w:val="20"/>
                <w:szCs w:val="20"/>
                <w:color w:val="auto"/>
              </w:rPr>
            </w:pPr>
            <w:r>
              <w:rPr>
                <w:rFonts w:ascii="Arial" w:cs="Arial" w:eastAsia="Arial" w:hAnsi="Arial"/>
                <w:sz w:val="13"/>
                <w:szCs w:val="13"/>
                <w:b w:val="1"/>
                <w:bCs w:val="1"/>
                <w:color w:val="auto"/>
              </w:rPr>
              <w:t>CURRENT MEMBERS</w:t>
            </w:r>
          </w:p>
        </w:tc>
        <w:tc>
          <w:tcPr>
            <w:tcW w:w="400" w:type="dxa"/>
            <w:vAlign w:val="bottom"/>
            <w:tcBorders>
              <w:top w:val="single" w:sz="8" w:color="auto"/>
            </w:tcBorders>
            <w:shd w:val="clear" w:color="auto" w:fill="F3F3F4"/>
          </w:tcPr>
          <w:p>
            <w:pPr>
              <w:spacing w:after="0"/>
              <w:rPr>
                <w:sz w:val="16"/>
                <w:szCs w:val="16"/>
                <w:color w:val="auto"/>
              </w:rPr>
            </w:pPr>
          </w:p>
        </w:tc>
        <w:tc>
          <w:tcPr>
            <w:tcW w:w="8660" w:type="dxa"/>
            <w:vAlign w:val="bottom"/>
            <w:tcBorders>
              <w:top w:val="single" w:sz="8" w:color="auto"/>
            </w:tcBorders>
            <w:gridSpan w:val="4"/>
            <w:shd w:val="clear" w:color="auto" w:fill="F3F3F4"/>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Appoints, retains and oversees the Accounting Firm and its performance of the annual audit</w:t>
            </w:r>
          </w:p>
        </w:tc>
        <w:tc>
          <w:tcPr>
            <w:tcW w:w="0" w:type="dxa"/>
            <w:vAlign w:val="bottom"/>
          </w:tcPr>
          <w:p>
            <w:pPr>
              <w:spacing w:after="0"/>
              <w:rPr>
                <w:sz w:val="1"/>
                <w:szCs w:val="1"/>
                <w:color w:val="auto"/>
              </w:rPr>
            </w:pPr>
          </w:p>
        </w:tc>
      </w:tr>
      <w:tr>
        <w:trPr>
          <w:trHeight w:val="231"/>
        </w:trPr>
        <w:tc>
          <w:tcPr>
            <w:tcW w:w="80" w:type="dxa"/>
            <w:vAlign w:val="bottom"/>
            <w:shd w:val="clear" w:color="auto" w:fill="F3F3F4"/>
          </w:tcPr>
          <w:p>
            <w:pPr>
              <w:spacing w:after="0"/>
              <w:rPr>
                <w:sz w:val="20"/>
                <w:szCs w:val="20"/>
                <w:color w:val="auto"/>
              </w:rPr>
            </w:pPr>
          </w:p>
        </w:tc>
        <w:tc>
          <w:tcPr>
            <w:tcW w:w="2100" w:type="dxa"/>
            <w:vAlign w:val="bottom"/>
            <w:shd w:val="clear" w:color="auto" w:fill="F3F3F4"/>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Dewar (Chair)</w:t>
            </w:r>
          </w:p>
        </w:tc>
        <w:tc>
          <w:tcPr>
            <w:tcW w:w="400" w:type="dxa"/>
            <w:vAlign w:val="bottom"/>
            <w:shd w:val="clear" w:color="auto" w:fill="F3F3F4"/>
          </w:tcPr>
          <w:p>
            <w:pPr>
              <w:spacing w:after="0"/>
              <w:rPr>
                <w:sz w:val="20"/>
                <w:szCs w:val="20"/>
                <w:color w:val="auto"/>
              </w:rPr>
            </w:pPr>
          </w:p>
        </w:tc>
        <w:tc>
          <w:tcPr>
            <w:tcW w:w="8660" w:type="dxa"/>
            <w:vAlign w:val="bottom"/>
            <w:gridSpan w:val="4"/>
            <w:shd w:val="clear" w:color="auto" w:fill="F3F3F4"/>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Annually evaluates the qualifications, independence and performance of the Accounting Firm</w:t>
            </w:r>
          </w:p>
        </w:tc>
        <w:tc>
          <w:tcPr>
            <w:tcW w:w="0" w:type="dxa"/>
            <w:vAlign w:val="bottom"/>
          </w:tcPr>
          <w:p>
            <w:pPr>
              <w:spacing w:after="0"/>
              <w:rPr>
                <w:sz w:val="1"/>
                <w:szCs w:val="1"/>
                <w:color w:val="auto"/>
              </w:rPr>
            </w:pPr>
          </w:p>
        </w:tc>
      </w:tr>
      <w:tr>
        <w:trPr>
          <w:trHeight w:val="215"/>
        </w:trPr>
        <w:tc>
          <w:tcPr>
            <w:tcW w:w="80" w:type="dxa"/>
            <w:vAlign w:val="bottom"/>
            <w:shd w:val="clear" w:color="auto" w:fill="F3F3F4"/>
          </w:tcPr>
          <w:p>
            <w:pPr>
              <w:spacing w:after="0"/>
              <w:rPr>
                <w:sz w:val="18"/>
                <w:szCs w:val="18"/>
                <w:color w:val="auto"/>
              </w:rPr>
            </w:pPr>
          </w:p>
        </w:tc>
        <w:tc>
          <w:tcPr>
            <w:tcW w:w="2100" w:type="dxa"/>
            <w:vAlign w:val="bottom"/>
            <w:shd w:val="clear" w:color="auto" w:fill="F3F3F4"/>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Campbell</w:t>
            </w:r>
          </w:p>
        </w:tc>
        <w:tc>
          <w:tcPr>
            <w:tcW w:w="400" w:type="dxa"/>
            <w:vAlign w:val="bottom"/>
            <w:shd w:val="clear" w:color="auto" w:fill="F3F3F4"/>
          </w:tcPr>
          <w:p>
            <w:pPr>
              <w:spacing w:after="0"/>
              <w:rPr>
                <w:sz w:val="18"/>
                <w:szCs w:val="18"/>
                <w:color w:val="auto"/>
              </w:rPr>
            </w:pPr>
          </w:p>
        </w:tc>
        <w:tc>
          <w:tcPr>
            <w:tcW w:w="8660" w:type="dxa"/>
            <w:vAlign w:val="bottom"/>
            <w:gridSpan w:val="4"/>
            <w:shd w:val="clear" w:color="auto" w:fill="F3F3F4"/>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Reviews the scope of the Accounting Firm’s work and approves its annual audit fees and any non-audit service fees</w:t>
            </w:r>
          </w:p>
        </w:tc>
        <w:tc>
          <w:tcPr>
            <w:tcW w:w="0" w:type="dxa"/>
            <w:vAlign w:val="bottom"/>
          </w:tcPr>
          <w:p>
            <w:pPr>
              <w:spacing w:after="0"/>
              <w:rPr>
                <w:sz w:val="1"/>
                <w:szCs w:val="1"/>
                <w:color w:val="auto"/>
              </w:rPr>
            </w:pPr>
          </w:p>
        </w:tc>
      </w:tr>
      <w:tr>
        <w:trPr>
          <w:trHeight w:val="190"/>
        </w:trPr>
        <w:tc>
          <w:tcPr>
            <w:tcW w:w="80" w:type="dxa"/>
            <w:vAlign w:val="bottom"/>
            <w:shd w:val="clear" w:color="auto" w:fill="F3F3F4"/>
          </w:tcPr>
          <w:p>
            <w:pPr>
              <w:spacing w:after="0"/>
              <w:rPr>
                <w:sz w:val="16"/>
                <w:szCs w:val="16"/>
                <w:color w:val="auto"/>
              </w:rPr>
            </w:pPr>
          </w:p>
        </w:tc>
        <w:tc>
          <w:tcPr>
            <w:tcW w:w="2100" w:type="dxa"/>
            <w:vAlign w:val="bottom"/>
            <w:shd w:val="clear" w:color="auto" w:fill="F3F3F4"/>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Hess</w:t>
            </w:r>
          </w:p>
        </w:tc>
        <w:tc>
          <w:tcPr>
            <w:tcW w:w="400" w:type="dxa"/>
            <w:vAlign w:val="bottom"/>
            <w:shd w:val="clear" w:color="auto" w:fill="F3F3F4"/>
          </w:tcPr>
          <w:p>
            <w:pPr>
              <w:spacing w:after="0"/>
              <w:rPr>
                <w:sz w:val="16"/>
                <w:szCs w:val="16"/>
                <w:color w:val="auto"/>
              </w:rPr>
            </w:pPr>
          </w:p>
        </w:tc>
        <w:tc>
          <w:tcPr>
            <w:tcW w:w="100" w:type="dxa"/>
            <w:vAlign w:val="bottom"/>
            <w:shd w:val="clear" w:color="auto" w:fill="F3F3F4"/>
          </w:tcPr>
          <w:p>
            <w:pPr>
              <w:spacing w:after="0"/>
              <w:rPr>
                <w:sz w:val="20"/>
                <w:szCs w:val="20"/>
                <w:color w:val="auto"/>
              </w:rPr>
            </w:pPr>
            <w:r>
              <w:rPr>
                <w:rFonts w:ascii="Times New Roman" w:cs="Times New Roman" w:eastAsia="Times New Roman" w:hAnsi="Times New Roman"/>
                <w:sz w:val="13"/>
                <w:szCs w:val="13"/>
                <w:color w:val="auto"/>
              </w:rPr>
              <w:t>●</w:t>
            </w:r>
          </w:p>
        </w:tc>
        <w:tc>
          <w:tcPr>
            <w:tcW w:w="8560" w:type="dxa"/>
            <w:vAlign w:val="bottom"/>
            <w:gridSpan w:val="3"/>
            <w:shd w:val="clear" w:color="auto" w:fill="F3F3F4"/>
          </w:tcPr>
          <w:p>
            <w:pPr>
              <w:ind w:left="20"/>
              <w:spacing w:after="0"/>
              <w:rPr>
                <w:sz w:val="20"/>
                <w:szCs w:val="20"/>
                <w:color w:val="auto"/>
              </w:rPr>
            </w:pPr>
            <w:r>
              <w:rPr>
                <w:rFonts w:ascii="Arial" w:cs="Arial" w:eastAsia="Arial" w:hAnsi="Arial"/>
                <w:sz w:val="13"/>
                <w:szCs w:val="13"/>
                <w:color w:val="auto"/>
              </w:rPr>
              <w:t>Reviews the Company’s internal controls with the Accounting Firm and the internal audit executive, and reviews with the Accounting Firm any</w:t>
            </w:r>
          </w:p>
        </w:tc>
        <w:tc>
          <w:tcPr>
            <w:tcW w:w="0" w:type="dxa"/>
            <w:vAlign w:val="bottom"/>
          </w:tcPr>
          <w:p>
            <w:pPr>
              <w:spacing w:after="0"/>
              <w:rPr>
                <w:sz w:val="1"/>
                <w:szCs w:val="1"/>
                <w:color w:val="auto"/>
              </w:rPr>
            </w:pPr>
          </w:p>
        </w:tc>
      </w:tr>
      <w:tr>
        <w:trPr>
          <w:trHeight w:val="176"/>
        </w:trPr>
        <w:tc>
          <w:tcPr>
            <w:tcW w:w="80" w:type="dxa"/>
            <w:vAlign w:val="bottom"/>
            <w:shd w:val="clear" w:color="auto" w:fill="F3F3F4"/>
          </w:tcPr>
          <w:p>
            <w:pPr>
              <w:spacing w:after="0"/>
              <w:rPr>
                <w:sz w:val="15"/>
                <w:szCs w:val="15"/>
                <w:color w:val="auto"/>
              </w:rPr>
            </w:pPr>
          </w:p>
        </w:tc>
        <w:tc>
          <w:tcPr>
            <w:tcW w:w="2100" w:type="dxa"/>
            <w:vAlign w:val="bottom"/>
            <w:vMerge w:val="restart"/>
            <w:shd w:val="clear" w:color="auto" w:fill="F3F3F4"/>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Khilnani</w:t>
            </w:r>
          </w:p>
        </w:tc>
        <w:tc>
          <w:tcPr>
            <w:tcW w:w="400" w:type="dxa"/>
            <w:vAlign w:val="bottom"/>
            <w:shd w:val="clear" w:color="auto" w:fill="F3F3F4"/>
          </w:tcPr>
          <w:p>
            <w:pPr>
              <w:spacing w:after="0"/>
              <w:rPr>
                <w:sz w:val="15"/>
                <w:szCs w:val="15"/>
                <w:color w:val="auto"/>
              </w:rPr>
            </w:pPr>
          </w:p>
        </w:tc>
        <w:tc>
          <w:tcPr>
            <w:tcW w:w="100" w:type="dxa"/>
            <w:vAlign w:val="bottom"/>
            <w:shd w:val="clear" w:color="auto" w:fill="F3F3F4"/>
          </w:tcPr>
          <w:p>
            <w:pPr>
              <w:spacing w:after="0"/>
              <w:rPr>
                <w:sz w:val="15"/>
                <w:szCs w:val="15"/>
                <w:color w:val="auto"/>
              </w:rPr>
            </w:pPr>
          </w:p>
        </w:tc>
        <w:tc>
          <w:tcPr>
            <w:tcW w:w="8560" w:type="dxa"/>
            <w:vAlign w:val="bottom"/>
            <w:gridSpan w:val="3"/>
            <w:shd w:val="clear" w:color="auto" w:fill="F3F3F4"/>
          </w:tcPr>
          <w:p>
            <w:pPr>
              <w:spacing w:after="0"/>
              <w:rPr>
                <w:sz w:val="20"/>
                <w:szCs w:val="20"/>
                <w:color w:val="auto"/>
              </w:rPr>
            </w:pPr>
            <w:r>
              <w:rPr>
                <w:rFonts w:ascii="Arial" w:cs="Arial" w:eastAsia="Arial" w:hAnsi="Arial"/>
                <w:sz w:val="13"/>
                <w:szCs w:val="13"/>
                <w:color w:val="auto"/>
              </w:rPr>
              <w:t>problems it may have encountered during the annual audit</w:t>
            </w:r>
          </w:p>
        </w:tc>
        <w:tc>
          <w:tcPr>
            <w:tcW w:w="0" w:type="dxa"/>
            <w:vAlign w:val="bottom"/>
          </w:tcPr>
          <w:p>
            <w:pPr>
              <w:spacing w:after="0"/>
              <w:rPr>
                <w:sz w:val="1"/>
                <w:szCs w:val="1"/>
                <w:color w:val="auto"/>
              </w:rPr>
            </w:pPr>
          </w:p>
        </w:tc>
      </w:tr>
      <w:tr>
        <w:trPr>
          <w:trHeight w:val="63"/>
        </w:trPr>
        <w:tc>
          <w:tcPr>
            <w:tcW w:w="80" w:type="dxa"/>
            <w:vAlign w:val="bottom"/>
            <w:shd w:val="clear" w:color="auto" w:fill="F3F3F4"/>
          </w:tcPr>
          <w:p>
            <w:pPr>
              <w:spacing w:after="0"/>
              <w:rPr>
                <w:sz w:val="5"/>
                <w:szCs w:val="5"/>
                <w:color w:val="auto"/>
              </w:rPr>
            </w:pPr>
          </w:p>
        </w:tc>
        <w:tc>
          <w:tcPr>
            <w:tcW w:w="2100" w:type="dxa"/>
            <w:vAlign w:val="bottom"/>
            <w:vMerge w:val="continue"/>
            <w:shd w:val="clear" w:color="auto" w:fill="F3F3F4"/>
          </w:tcPr>
          <w:p>
            <w:pPr>
              <w:spacing w:after="0"/>
              <w:rPr>
                <w:sz w:val="5"/>
                <w:szCs w:val="5"/>
                <w:color w:val="auto"/>
              </w:rPr>
            </w:pPr>
          </w:p>
        </w:tc>
        <w:tc>
          <w:tcPr>
            <w:tcW w:w="400" w:type="dxa"/>
            <w:vAlign w:val="bottom"/>
            <w:shd w:val="clear" w:color="auto" w:fill="F3F3F4"/>
          </w:tcPr>
          <w:p>
            <w:pPr>
              <w:spacing w:after="0"/>
              <w:rPr>
                <w:sz w:val="5"/>
                <w:szCs w:val="5"/>
                <w:color w:val="auto"/>
              </w:rPr>
            </w:pPr>
          </w:p>
        </w:tc>
        <w:tc>
          <w:tcPr>
            <w:tcW w:w="100" w:type="dxa"/>
            <w:vAlign w:val="bottom"/>
            <w:vMerge w:val="restart"/>
            <w:shd w:val="clear" w:color="auto" w:fill="F3F3F4"/>
          </w:tcPr>
          <w:p>
            <w:pPr>
              <w:spacing w:after="0"/>
              <w:rPr>
                <w:sz w:val="20"/>
                <w:szCs w:val="20"/>
                <w:color w:val="auto"/>
              </w:rPr>
            </w:pPr>
            <w:r>
              <w:rPr>
                <w:rFonts w:ascii="Times New Roman" w:cs="Times New Roman" w:eastAsia="Times New Roman" w:hAnsi="Times New Roman"/>
                <w:sz w:val="13"/>
                <w:szCs w:val="13"/>
                <w:color w:val="auto"/>
              </w:rPr>
              <w:t>●</w:t>
            </w:r>
          </w:p>
        </w:tc>
        <w:tc>
          <w:tcPr>
            <w:tcW w:w="8560" w:type="dxa"/>
            <w:vAlign w:val="bottom"/>
            <w:gridSpan w:val="3"/>
            <w:vMerge w:val="restart"/>
            <w:shd w:val="clear" w:color="auto" w:fill="F3F3F4"/>
          </w:tcPr>
          <w:p>
            <w:pPr>
              <w:ind w:left="20"/>
              <w:spacing w:after="0"/>
              <w:rPr>
                <w:sz w:val="20"/>
                <w:szCs w:val="20"/>
                <w:color w:val="auto"/>
              </w:rPr>
            </w:pPr>
            <w:r>
              <w:rPr>
                <w:rFonts w:ascii="Arial" w:cs="Arial" w:eastAsia="Arial" w:hAnsi="Arial"/>
                <w:sz w:val="13"/>
                <w:szCs w:val="13"/>
                <w:color w:val="auto"/>
              </w:rPr>
              <w:t>Discusses the Company’s Form 10-K and 10-Q reports with management and the Accounting Firm before filing; reviews and discusses</w:t>
            </w:r>
          </w:p>
        </w:tc>
        <w:tc>
          <w:tcPr>
            <w:tcW w:w="0" w:type="dxa"/>
            <w:vAlign w:val="bottom"/>
          </w:tcPr>
          <w:p>
            <w:pPr>
              <w:spacing w:after="0"/>
              <w:rPr>
                <w:sz w:val="1"/>
                <w:szCs w:val="1"/>
                <w:color w:val="auto"/>
              </w:rPr>
            </w:pPr>
          </w:p>
        </w:tc>
      </w:tr>
      <w:tr>
        <w:trPr>
          <w:trHeight w:val="127"/>
        </w:trPr>
        <w:tc>
          <w:tcPr>
            <w:tcW w:w="80" w:type="dxa"/>
            <w:vAlign w:val="bottom"/>
            <w:shd w:val="clear" w:color="auto" w:fill="F3F3F4"/>
          </w:tcPr>
          <w:p>
            <w:pPr>
              <w:spacing w:after="0"/>
              <w:rPr>
                <w:sz w:val="11"/>
                <w:szCs w:val="11"/>
                <w:color w:val="auto"/>
              </w:rPr>
            </w:pPr>
          </w:p>
        </w:tc>
        <w:tc>
          <w:tcPr>
            <w:tcW w:w="2100" w:type="dxa"/>
            <w:vAlign w:val="bottom"/>
            <w:vMerge w:val="restart"/>
            <w:shd w:val="clear" w:color="auto" w:fill="F3F3F4"/>
          </w:tcPr>
          <w:p>
            <w:pPr>
              <w:spacing w:after="0"/>
              <w:rPr>
                <w:sz w:val="20"/>
                <w:szCs w:val="20"/>
                <w:color w:val="auto"/>
              </w:rPr>
            </w:pPr>
            <w:r>
              <w:rPr>
                <w:rFonts w:ascii="Arial" w:cs="Arial" w:eastAsia="Arial" w:hAnsi="Arial"/>
                <w:sz w:val="13"/>
                <w:szCs w:val="13"/>
                <w:color w:val="auto"/>
              </w:rPr>
              <w:t>Four meetings in fiscal 2024</w:t>
            </w:r>
          </w:p>
        </w:tc>
        <w:tc>
          <w:tcPr>
            <w:tcW w:w="400" w:type="dxa"/>
            <w:vAlign w:val="bottom"/>
            <w:shd w:val="clear" w:color="auto" w:fill="F3F3F4"/>
          </w:tcPr>
          <w:p>
            <w:pPr>
              <w:spacing w:after="0"/>
              <w:rPr>
                <w:sz w:val="11"/>
                <w:szCs w:val="11"/>
                <w:color w:val="auto"/>
              </w:rPr>
            </w:pPr>
          </w:p>
        </w:tc>
        <w:tc>
          <w:tcPr>
            <w:tcW w:w="100" w:type="dxa"/>
            <w:vAlign w:val="bottom"/>
            <w:vMerge w:val="continue"/>
            <w:shd w:val="clear" w:color="auto" w:fill="F3F3F4"/>
          </w:tcPr>
          <w:p>
            <w:pPr>
              <w:spacing w:after="0"/>
              <w:rPr>
                <w:sz w:val="11"/>
                <w:szCs w:val="11"/>
                <w:color w:val="auto"/>
              </w:rPr>
            </w:pPr>
          </w:p>
        </w:tc>
        <w:tc>
          <w:tcPr>
            <w:tcW w:w="8560" w:type="dxa"/>
            <w:vAlign w:val="bottom"/>
            <w:gridSpan w:val="3"/>
            <w:vMerge w:val="continue"/>
            <w:shd w:val="clear" w:color="auto" w:fill="F3F3F4"/>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shd w:val="clear" w:color="auto" w:fill="F3F3F4"/>
          </w:tcPr>
          <w:p>
            <w:pPr>
              <w:spacing w:after="0"/>
              <w:rPr>
                <w:sz w:val="6"/>
                <w:szCs w:val="6"/>
                <w:color w:val="auto"/>
              </w:rPr>
            </w:pPr>
          </w:p>
        </w:tc>
        <w:tc>
          <w:tcPr>
            <w:tcW w:w="2100" w:type="dxa"/>
            <w:vAlign w:val="bottom"/>
            <w:vMerge w:val="continue"/>
            <w:shd w:val="clear" w:color="auto" w:fill="F3F3F4"/>
          </w:tcPr>
          <w:p>
            <w:pPr>
              <w:spacing w:after="0"/>
              <w:rPr>
                <w:sz w:val="6"/>
                <w:szCs w:val="6"/>
                <w:color w:val="auto"/>
              </w:rPr>
            </w:pPr>
          </w:p>
        </w:tc>
        <w:tc>
          <w:tcPr>
            <w:tcW w:w="400" w:type="dxa"/>
            <w:vAlign w:val="bottom"/>
            <w:shd w:val="clear" w:color="auto" w:fill="F3F3F4"/>
          </w:tcPr>
          <w:p>
            <w:pPr>
              <w:spacing w:after="0"/>
              <w:rPr>
                <w:sz w:val="6"/>
                <w:szCs w:val="6"/>
                <w:color w:val="auto"/>
              </w:rPr>
            </w:pPr>
          </w:p>
        </w:tc>
        <w:tc>
          <w:tcPr>
            <w:tcW w:w="100" w:type="dxa"/>
            <w:vAlign w:val="bottom"/>
            <w:shd w:val="clear" w:color="auto" w:fill="F3F3F4"/>
          </w:tcPr>
          <w:p>
            <w:pPr>
              <w:spacing w:after="0"/>
              <w:rPr>
                <w:sz w:val="6"/>
                <w:szCs w:val="6"/>
                <w:color w:val="auto"/>
              </w:rPr>
            </w:pPr>
          </w:p>
        </w:tc>
        <w:tc>
          <w:tcPr>
            <w:tcW w:w="8560" w:type="dxa"/>
            <w:vAlign w:val="bottom"/>
            <w:gridSpan w:val="3"/>
            <w:vMerge w:val="restart"/>
            <w:shd w:val="clear" w:color="auto" w:fill="F3F3F4"/>
          </w:tcPr>
          <w:p>
            <w:pPr>
              <w:spacing w:after="0"/>
              <w:rPr>
                <w:sz w:val="20"/>
                <w:szCs w:val="20"/>
                <w:color w:val="auto"/>
              </w:rPr>
            </w:pPr>
            <w:r>
              <w:rPr>
                <w:rFonts w:ascii="Arial" w:cs="Arial" w:eastAsia="Arial" w:hAnsi="Arial"/>
                <w:sz w:val="13"/>
                <w:szCs w:val="13"/>
                <w:color w:val="auto"/>
              </w:rPr>
              <w:t>earnings press releases</w:t>
            </w:r>
          </w:p>
        </w:tc>
        <w:tc>
          <w:tcPr>
            <w:tcW w:w="0" w:type="dxa"/>
            <w:vAlign w:val="bottom"/>
          </w:tcPr>
          <w:p>
            <w:pPr>
              <w:spacing w:after="0"/>
              <w:rPr>
                <w:sz w:val="1"/>
                <w:szCs w:val="1"/>
                <w:color w:val="auto"/>
              </w:rPr>
            </w:pPr>
          </w:p>
        </w:tc>
      </w:tr>
      <w:tr>
        <w:trPr>
          <w:trHeight w:val="105"/>
        </w:trPr>
        <w:tc>
          <w:tcPr>
            <w:tcW w:w="80" w:type="dxa"/>
            <w:vAlign w:val="bottom"/>
            <w:shd w:val="clear" w:color="auto" w:fill="F3F3F4"/>
          </w:tcPr>
          <w:p>
            <w:pPr>
              <w:spacing w:after="0"/>
              <w:rPr>
                <w:sz w:val="9"/>
                <w:szCs w:val="9"/>
                <w:color w:val="auto"/>
              </w:rPr>
            </w:pPr>
          </w:p>
        </w:tc>
        <w:tc>
          <w:tcPr>
            <w:tcW w:w="2100" w:type="dxa"/>
            <w:vAlign w:val="bottom"/>
            <w:shd w:val="clear" w:color="auto" w:fill="F3F3F4"/>
          </w:tcPr>
          <w:p>
            <w:pPr>
              <w:spacing w:after="0"/>
              <w:rPr>
                <w:sz w:val="9"/>
                <w:szCs w:val="9"/>
                <w:color w:val="auto"/>
              </w:rPr>
            </w:pPr>
          </w:p>
        </w:tc>
        <w:tc>
          <w:tcPr>
            <w:tcW w:w="400" w:type="dxa"/>
            <w:vAlign w:val="bottom"/>
            <w:shd w:val="clear" w:color="auto" w:fill="F3F3F4"/>
          </w:tcPr>
          <w:p>
            <w:pPr>
              <w:spacing w:after="0"/>
              <w:rPr>
                <w:sz w:val="9"/>
                <w:szCs w:val="9"/>
                <w:color w:val="auto"/>
              </w:rPr>
            </w:pPr>
          </w:p>
        </w:tc>
        <w:tc>
          <w:tcPr>
            <w:tcW w:w="100" w:type="dxa"/>
            <w:vAlign w:val="bottom"/>
            <w:vMerge w:val="restart"/>
            <w:shd w:val="clear" w:color="auto" w:fill="F3F3F4"/>
          </w:tcPr>
          <w:p>
            <w:pPr>
              <w:spacing w:after="0"/>
              <w:rPr>
                <w:sz w:val="20"/>
                <w:szCs w:val="20"/>
                <w:color w:val="auto"/>
              </w:rPr>
            </w:pPr>
            <w:r>
              <w:rPr>
                <w:rFonts w:ascii="Times New Roman" w:cs="Times New Roman" w:eastAsia="Times New Roman" w:hAnsi="Times New Roman"/>
                <w:sz w:val="13"/>
                <w:szCs w:val="13"/>
                <w:color w:val="auto"/>
              </w:rPr>
              <w:t>●</w:t>
            </w:r>
          </w:p>
        </w:tc>
        <w:tc>
          <w:tcPr>
            <w:tcW w:w="8560" w:type="dxa"/>
            <w:vAlign w:val="bottom"/>
            <w:gridSpan w:val="3"/>
            <w:vMerge w:val="continue"/>
            <w:shd w:val="clear" w:color="auto" w:fill="F3F3F4"/>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80" w:type="dxa"/>
            <w:vAlign w:val="bottom"/>
            <w:shd w:val="clear" w:color="auto" w:fill="F3F3F4"/>
          </w:tcPr>
          <w:p>
            <w:pPr>
              <w:spacing w:after="0"/>
              <w:rPr>
                <w:sz w:val="18"/>
                <w:szCs w:val="18"/>
                <w:color w:val="auto"/>
              </w:rPr>
            </w:pPr>
          </w:p>
        </w:tc>
        <w:tc>
          <w:tcPr>
            <w:tcW w:w="2100" w:type="dxa"/>
            <w:vAlign w:val="bottom"/>
            <w:shd w:val="clear" w:color="auto" w:fill="F3F3F4"/>
          </w:tcPr>
          <w:p>
            <w:pPr>
              <w:spacing w:after="0"/>
              <w:rPr>
                <w:sz w:val="18"/>
                <w:szCs w:val="18"/>
                <w:color w:val="auto"/>
              </w:rPr>
            </w:pPr>
          </w:p>
        </w:tc>
        <w:tc>
          <w:tcPr>
            <w:tcW w:w="400" w:type="dxa"/>
            <w:vAlign w:val="bottom"/>
            <w:shd w:val="clear" w:color="auto" w:fill="F3F3F4"/>
          </w:tcPr>
          <w:p>
            <w:pPr>
              <w:spacing w:after="0"/>
              <w:rPr>
                <w:sz w:val="18"/>
                <w:szCs w:val="18"/>
                <w:color w:val="auto"/>
              </w:rPr>
            </w:pPr>
          </w:p>
        </w:tc>
        <w:tc>
          <w:tcPr>
            <w:tcW w:w="100" w:type="dxa"/>
            <w:vAlign w:val="bottom"/>
            <w:vMerge w:val="continue"/>
            <w:shd w:val="clear" w:color="auto" w:fill="F3F3F4"/>
          </w:tcPr>
          <w:p>
            <w:pPr>
              <w:spacing w:after="0"/>
              <w:rPr>
                <w:sz w:val="18"/>
                <w:szCs w:val="18"/>
                <w:color w:val="auto"/>
              </w:rPr>
            </w:pPr>
          </w:p>
        </w:tc>
        <w:tc>
          <w:tcPr>
            <w:tcW w:w="8560" w:type="dxa"/>
            <w:vAlign w:val="bottom"/>
            <w:gridSpan w:val="3"/>
            <w:shd w:val="clear" w:color="auto" w:fill="F3F3F4"/>
          </w:tcPr>
          <w:p>
            <w:pPr>
              <w:ind w:left="20"/>
              <w:spacing w:after="0"/>
              <w:rPr>
                <w:sz w:val="20"/>
                <w:szCs w:val="20"/>
                <w:color w:val="auto"/>
              </w:rPr>
            </w:pPr>
            <w:r>
              <w:rPr>
                <w:rFonts w:ascii="Arial" w:cs="Arial" w:eastAsia="Arial" w:hAnsi="Arial"/>
                <w:sz w:val="13"/>
                <w:szCs w:val="13"/>
                <w:color w:val="auto"/>
              </w:rPr>
              <w:t>Discusses major financial risk exposures with management</w:t>
            </w:r>
          </w:p>
        </w:tc>
        <w:tc>
          <w:tcPr>
            <w:tcW w:w="0" w:type="dxa"/>
            <w:vAlign w:val="bottom"/>
          </w:tcPr>
          <w:p>
            <w:pPr>
              <w:spacing w:after="0"/>
              <w:rPr>
                <w:sz w:val="1"/>
                <w:szCs w:val="1"/>
                <w:color w:val="auto"/>
              </w:rPr>
            </w:pPr>
          </w:p>
        </w:tc>
      </w:tr>
      <w:tr>
        <w:trPr>
          <w:trHeight w:val="190"/>
        </w:trPr>
        <w:tc>
          <w:tcPr>
            <w:tcW w:w="80" w:type="dxa"/>
            <w:vAlign w:val="bottom"/>
            <w:shd w:val="clear" w:color="auto" w:fill="F3F3F4"/>
          </w:tcPr>
          <w:p>
            <w:pPr>
              <w:spacing w:after="0"/>
              <w:rPr>
                <w:sz w:val="16"/>
                <w:szCs w:val="16"/>
                <w:color w:val="auto"/>
              </w:rPr>
            </w:pPr>
          </w:p>
        </w:tc>
        <w:tc>
          <w:tcPr>
            <w:tcW w:w="2100" w:type="dxa"/>
            <w:vAlign w:val="bottom"/>
            <w:shd w:val="clear" w:color="auto" w:fill="F3F3F4"/>
          </w:tcPr>
          <w:p>
            <w:pPr>
              <w:spacing w:after="0"/>
              <w:rPr>
                <w:sz w:val="16"/>
                <w:szCs w:val="16"/>
                <w:color w:val="auto"/>
              </w:rPr>
            </w:pPr>
          </w:p>
        </w:tc>
        <w:tc>
          <w:tcPr>
            <w:tcW w:w="400" w:type="dxa"/>
            <w:vAlign w:val="bottom"/>
            <w:shd w:val="clear" w:color="auto" w:fill="F3F3F4"/>
          </w:tcPr>
          <w:p>
            <w:pPr>
              <w:spacing w:after="0"/>
              <w:rPr>
                <w:sz w:val="16"/>
                <w:szCs w:val="16"/>
                <w:color w:val="auto"/>
              </w:rPr>
            </w:pPr>
          </w:p>
        </w:tc>
        <w:tc>
          <w:tcPr>
            <w:tcW w:w="100" w:type="dxa"/>
            <w:vAlign w:val="bottom"/>
            <w:shd w:val="clear" w:color="auto" w:fill="F3F3F4"/>
          </w:tcPr>
          <w:p>
            <w:pPr>
              <w:spacing w:after="0"/>
              <w:rPr>
                <w:sz w:val="20"/>
                <w:szCs w:val="20"/>
                <w:color w:val="auto"/>
              </w:rPr>
            </w:pPr>
            <w:r>
              <w:rPr>
                <w:rFonts w:ascii="Times New Roman" w:cs="Times New Roman" w:eastAsia="Times New Roman" w:hAnsi="Times New Roman"/>
                <w:sz w:val="13"/>
                <w:szCs w:val="13"/>
                <w:color w:val="auto"/>
              </w:rPr>
              <w:t>●</w:t>
            </w:r>
          </w:p>
        </w:tc>
        <w:tc>
          <w:tcPr>
            <w:tcW w:w="8560" w:type="dxa"/>
            <w:vAlign w:val="bottom"/>
            <w:gridSpan w:val="3"/>
            <w:shd w:val="clear" w:color="auto" w:fill="F3F3F4"/>
          </w:tcPr>
          <w:p>
            <w:pPr>
              <w:ind w:left="20"/>
              <w:spacing w:after="0"/>
              <w:rPr>
                <w:sz w:val="20"/>
                <w:szCs w:val="20"/>
                <w:color w:val="auto"/>
              </w:rPr>
            </w:pPr>
            <w:r>
              <w:rPr>
                <w:rFonts w:ascii="Arial" w:cs="Arial" w:eastAsia="Arial" w:hAnsi="Arial"/>
                <w:sz w:val="13"/>
                <w:szCs w:val="13"/>
                <w:color w:val="auto"/>
              </w:rPr>
              <w:t>Reviews management’s assessment and oversight of information security, cybersecurity and IT risks, breaches (if any), and any preventive or</w:t>
            </w:r>
          </w:p>
        </w:tc>
        <w:tc>
          <w:tcPr>
            <w:tcW w:w="0" w:type="dxa"/>
            <w:vAlign w:val="bottom"/>
          </w:tcPr>
          <w:p>
            <w:pPr>
              <w:spacing w:after="0"/>
              <w:rPr>
                <w:sz w:val="1"/>
                <w:szCs w:val="1"/>
                <w:color w:val="auto"/>
              </w:rPr>
            </w:pPr>
          </w:p>
        </w:tc>
      </w:tr>
      <w:tr>
        <w:trPr>
          <w:trHeight w:val="176"/>
        </w:trPr>
        <w:tc>
          <w:tcPr>
            <w:tcW w:w="80" w:type="dxa"/>
            <w:vAlign w:val="bottom"/>
            <w:shd w:val="clear" w:color="auto" w:fill="F3F3F4"/>
          </w:tcPr>
          <w:p>
            <w:pPr>
              <w:spacing w:after="0"/>
              <w:rPr>
                <w:sz w:val="15"/>
                <w:szCs w:val="15"/>
                <w:color w:val="auto"/>
              </w:rPr>
            </w:pPr>
          </w:p>
        </w:tc>
        <w:tc>
          <w:tcPr>
            <w:tcW w:w="2100" w:type="dxa"/>
            <w:vAlign w:val="bottom"/>
            <w:shd w:val="clear" w:color="auto" w:fill="F3F3F4"/>
          </w:tcPr>
          <w:p>
            <w:pPr>
              <w:spacing w:after="0"/>
              <w:rPr>
                <w:sz w:val="15"/>
                <w:szCs w:val="15"/>
                <w:color w:val="auto"/>
              </w:rPr>
            </w:pPr>
          </w:p>
        </w:tc>
        <w:tc>
          <w:tcPr>
            <w:tcW w:w="400" w:type="dxa"/>
            <w:vAlign w:val="bottom"/>
            <w:shd w:val="clear" w:color="auto" w:fill="F3F3F4"/>
          </w:tcPr>
          <w:p>
            <w:pPr>
              <w:spacing w:after="0"/>
              <w:rPr>
                <w:sz w:val="15"/>
                <w:szCs w:val="15"/>
                <w:color w:val="auto"/>
              </w:rPr>
            </w:pPr>
          </w:p>
        </w:tc>
        <w:tc>
          <w:tcPr>
            <w:tcW w:w="100" w:type="dxa"/>
            <w:vAlign w:val="bottom"/>
            <w:shd w:val="clear" w:color="auto" w:fill="F3F3F4"/>
          </w:tcPr>
          <w:p>
            <w:pPr>
              <w:spacing w:after="0"/>
              <w:rPr>
                <w:sz w:val="15"/>
                <w:szCs w:val="15"/>
                <w:color w:val="auto"/>
              </w:rPr>
            </w:pPr>
          </w:p>
        </w:tc>
        <w:tc>
          <w:tcPr>
            <w:tcW w:w="8560" w:type="dxa"/>
            <w:vAlign w:val="bottom"/>
            <w:gridSpan w:val="3"/>
            <w:shd w:val="clear" w:color="auto" w:fill="F3F3F4"/>
          </w:tcPr>
          <w:p>
            <w:pPr>
              <w:spacing w:after="0"/>
              <w:rPr>
                <w:sz w:val="20"/>
                <w:szCs w:val="20"/>
                <w:color w:val="auto"/>
              </w:rPr>
            </w:pPr>
            <w:r>
              <w:rPr>
                <w:rFonts w:ascii="Arial" w:cs="Arial" w:eastAsia="Arial" w:hAnsi="Arial"/>
                <w:sz w:val="13"/>
                <w:szCs w:val="13"/>
                <w:color w:val="auto"/>
              </w:rPr>
              <w:t>remedial actions taken on a quarterly basis</w:t>
            </w:r>
          </w:p>
        </w:tc>
        <w:tc>
          <w:tcPr>
            <w:tcW w:w="0" w:type="dxa"/>
            <w:vAlign w:val="bottom"/>
          </w:tcPr>
          <w:p>
            <w:pPr>
              <w:spacing w:after="0"/>
              <w:rPr>
                <w:sz w:val="1"/>
                <w:szCs w:val="1"/>
                <w:color w:val="auto"/>
              </w:rPr>
            </w:pPr>
          </w:p>
        </w:tc>
      </w:tr>
      <w:tr>
        <w:trPr>
          <w:trHeight w:val="215"/>
        </w:trPr>
        <w:tc>
          <w:tcPr>
            <w:tcW w:w="80" w:type="dxa"/>
            <w:vAlign w:val="bottom"/>
            <w:shd w:val="clear" w:color="auto" w:fill="F3F3F4"/>
          </w:tcPr>
          <w:p>
            <w:pPr>
              <w:spacing w:after="0"/>
              <w:rPr>
                <w:sz w:val="18"/>
                <w:szCs w:val="18"/>
                <w:color w:val="auto"/>
              </w:rPr>
            </w:pPr>
          </w:p>
        </w:tc>
        <w:tc>
          <w:tcPr>
            <w:tcW w:w="2100" w:type="dxa"/>
            <w:vAlign w:val="bottom"/>
            <w:shd w:val="clear" w:color="auto" w:fill="F3F3F4"/>
          </w:tcPr>
          <w:p>
            <w:pPr>
              <w:spacing w:after="0"/>
              <w:rPr>
                <w:sz w:val="18"/>
                <w:szCs w:val="18"/>
                <w:color w:val="auto"/>
              </w:rPr>
            </w:pPr>
          </w:p>
        </w:tc>
        <w:tc>
          <w:tcPr>
            <w:tcW w:w="400" w:type="dxa"/>
            <w:vAlign w:val="bottom"/>
            <w:shd w:val="clear" w:color="auto" w:fill="F3F3F4"/>
          </w:tcPr>
          <w:p>
            <w:pPr>
              <w:spacing w:after="0"/>
              <w:rPr>
                <w:sz w:val="18"/>
                <w:szCs w:val="18"/>
                <w:color w:val="auto"/>
              </w:rPr>
            </w:pPr>
          </w:p>
        </w:tc>
        <w:tc>
          <w:tcPr>
            <w:tcW w:w="100" w:type="dxa"/>
            <w:vAlign w:val="bottom"/>
            <w:shd w:val="clear" w:color="auto" w:fill="F3F3F4"/>
          </w:tcPr>
          <w:p>
            <w:pPr>
              <w:spacing w:after="0"/>
              <w:rPr>
                <w:sz w:val="20"/>
                <w:szCs w:val="20"/>
                <w:color w:val="auto"/>
              </w:rPr>
            </w:pPr>
            <w:r>
              <w:rPr>
                <w:rFonts w:ascii="Times New Roman" w:cs="Times New Roman" w:eastAsia="Times New Roman" w:hAnsi="Times New Roman"/>
                <w:sz w:val="13"/>
                <w:szCs w:val="13"/>
                <w:color w:val="auto"/>
              </w:rPr>
              <w:t>●</w:t>
            </w:r>
          </w:p>
        </w:tc>
        <w:tc>
          <w:tcPr>
            <w:tcW w:w="8560" w:type="dxa"/>
            <w:vAlign w:val="bottom"/>
            <w:gridSpan w:val="3"/>
            <w:shd w:val="clear" w:color="auto" w:fill="F3F3F4"/>
          </w:tcPr>
          <w:p>
            <w:pPr>
              <w:ind w:left="20"/>
              <w:spacing w:after="0"/>
              <w:rPr>
                <w:sz w:val="20"/>
                <w:szCs w:val="20"/>
                <w:color w:val="auto"/>
              </w:rPr>
            </w:pPr>
            <w:r>
              <w:rPr>
                <w:rFonts w:ascii="Arial" w:cs="Arial" w:eastAsia="Arial" w:hAnsi="Arial"/>
                <w:sz w:val="13"/>
                <w:szCs w:val="13"/>
                <w:color w:val="auto"/>
              </w:rPr>
              <w:t>Reviews the annual internal audit plan and associated resource allocation</w:t>
            </w:r>
          </w:p>
        </w:tc>
        <w:tc>
          <w:tcPr>
            <w:tcW w:w="0" w:type="dxa"/>
            <w:vAlign w:val="bottom"/>
          </w:tcPr>
          <w:p>
            <w:pPr>
              <w:spacing w:after="0"/>
              <w:rPr>
                <w:sz w:val="1"/>
                <w:szCs w:val="1"/>
                <w:color w:val="auto"/>
              </w:rPr>
            </w:pPr>
          </w:p>
        </w:tc>
      </w:tr>
      <w:tr>
        <w:trPr>
          <w:trHeight w:val="215"/>
        </w:trPr>
        <w:tc>
          <w:tcPr>
            <w:tcW w:w="80" w:type="dxa"/>
            <w:vAlign w:val="bottom"/>
            <w:shd w:val="clear" w:color="auto" w:fill="F3F3F4"/>
          </w:tcPr>
          <w:p>
            <w:pPr>
              <w:spacing w:after="0"/>
              <w:rPr>
                <w:sz w:val="18"/>
                <w:szCs w:val="18"/>
                <w:color w:val="auto"/>
              </w:rPr>
            </w:pPr>
          </w:p>
        </w:tc>
        <w:tc>
          <w:tcPr>
            <w:tcW w:w="2100" w:type="dxa"/>
            <w:vAlign w:val="bottom"/>
            <w:shd w:val="clear" w:color="auto" w:fill="F3F3F4"/>
          </w:tcPr>
          <w:p>
            <w:pPr>
              <w:spacing w:after="0"/>
              <w:rPr>
                <w:sz w:val="18"/>
                <w:szCs w:val="18"/>
                <w:color w:val="auto"/>
              </w:rPr>
            </w:pPr>
          </w:p>
        </w:tc>
        <w:tc>
          <w:tcPr>
            <w:tcW w:w="400" w:type="dxa"/>
            <w:vAlign w:val="bottom"/>
            <w:shd w:val="clear" w:color="auto" w:fill="F3F3F4"/>
          </w:tcPr>
          <w:p>
            <w:pPr>
              <w:spacing w:after="0"/>
              <w:rPr>
                <w:sz w:val="18"/>
                <w:szCs w:val="18"/>
                <w:color w:val="auto"/>
              </w:rPr>
            </w:pPr>
          </w:p>
        </w:tc>
        <w:tc>
          <w:tcPr>
            <w:tcW w:w="8660" w:type="dxa"/>
            <w:vAlign w:val="bottom"/>
            <w:gridSpan w:val="4"/>
            <w:shd w:val="clear" w:color="auto" w:fill="F3F3F4"/>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Evaluates the performance of the Company’s internal audit executive and the results of the annual internal audit</w:t>
            </w:r>
          </w:p>
        </w:tc>
        <w:tc>
          <w:tcPr>
            <w:tcW w:w="0" w:type="dxa"/>
            <w:vAlign w:val="bottom"/>
          </w:tcPr>
          <w:p>
            <w:pPr>
              <w:spacing w:after="0"/>
              <w:rPr>
                <w:sz w:val="1"/>
                <w:szCs w:val="1"/>
                <w:color w:val="auto"/>
              </w:rPr>
            </w:pPr>
          </w:p>
        </w:tc>
      </w:tr>
      <w:tr>
        <w:trPr>
          <w:trHeight w:val="190"/>
        </w:trPr>
        <w:tc>
          <w:tcPr>
            <w:tcW w:w="80" w:type="dxa"/>
            <w:vAlign w:val="bottom"/>
            <w:shd w:val="clear" w:color="auto" w:fill="F3F3F4"/>
          </w:tcPr>
          <w:p>
            <w:pPr>
              <w:spacing w:after="0"/>
              <w:rPr>
                <w:sz w:val="16"/>
                <w:szCs w:val="16"/>
                <w:color w:val="auto"/>
              </w:rPr>
            </w:pPr>
          </w:p>
        </w:tc>
        <w:tc>
          <w:tcPr>
            <w:tcW w:w="2100" w:type="dxa"/>
            <w:vAlign w:val="bottom"/>
            <w:shd w:val="clear" w:color="auto" w:fill="F3F3F4"/>
          </w:tcPr>
          <w:p>
            <w:pPr>
              <w:spacing w:after="0"/>
              <w:rPr>
                <w:sz w:val="16"/>
                <w:szCs w:val="16"/>
                <w:color w:val="auto"/>
              </w:rPr>
            </w:pPr>
          </w:p>
        </w:tc>
        <w:tc>
          <w:tcPr>
            <w:tcW w:w="400" w:type="dxa"/>
            <w:vAlign w:val="bottom"/>
            <w:shd w:val="clear" w:color="auto" w:fill="F3F3F4"/>
          </w:tcPr>
          <w:p>
            <w:pPr>
              <w:spacing w:after="0"/>
              <w:rPr>
                <w:sz w:val="16"/>
                <w:szCs w:val="16"/>
                <w:color w:val="auto"/>
              </w:rPr>
            </w:pPr>
          </w:p>
        </w:tc>
        <w:tc>
          <w:tcPr>
            <w:tcW w:w="100" w:type="dxa"/>
            <w:vAlign w:val="bottom"/>
            <w:shd w:val="clear" w:color="auto" w:fill="F3F3F4"/>
          </w:tcPr>
          <w:p>
            <w:pPr>
              <w:spacing w:after="0"/>
              <w:rPr>
                <w:sz w:val="20"/>
                <w:szCs w:val="20"/>
                <w:color w:val="auto"/>
              </w:rPr>
            </w:pPr>
            <w:r>
              <w:rPr>
                <w:rFonts w:ascii="Times New Roman" w:cs="Times New Roman" w:eastAsia="Times New Roman" w:hAnsi="Times New Roman"/>
                <w:sz w:val="13"/>
                <w:szCs w:val="13"/>
                <w:color w:val="auto"/>
              </w:rPr>
              <w:t>●</w:t>
            </w:r>
          </w:p>
        </w:tc>
        <w:tc>
          <w:tcPr>
            <w:tcW w:w="8560" w:type="dxa"/>
            <w:vAlign w:val="bottom"/>
            <w:gridSpan w:val="3"/>
            <w:shd w:val="clear" w:color="auto" w:fill="F3F3F4"/>
          </w:tcPr>
          <w:p>
            <w:pPr>
              <w:ind w:left="20"/>
              <w:spacing w:after="0"/>
              <w:rPr>
                <w:sz w:val="20"/>
                <w:szCs w:val="20"/>
                <w:color w:val="auto"/>
              </w:rPr>
            </w:pPr>
            <w:r>
              <w:rPr>
                <w:rFonts w:ascii="Arial" w:cs="Arial" w:eastAsia="Arial" w:hAnsi="Arial"/>
                <w:sz w:val="13"/>
                <w:szCs w:val="13"/>
                <w:color w:val="auto"/>
              </w:rPr>
              <w:t>Reviews the Company’s reports to shareholders with management and the Accounting Firm and receives certain assurances from</w:t>
            </w:r>
          </w:p>
        </w:tc>
        <w:tc>
          <w:tcPr>
            <w:tcW w:w="0" w:type="dxa"/>
            <w:vAlign w:val="bottom"/>
          </w:tcPr>
          <w:p>
            <w:pPr>
              <w:spacing w:after="0"/>
              <w:rPr>
                <w:sz w:val="1"/>
                <w:szCs w:val="1"/>
                <w:color w:val="auto"/>
              </w:rPr>
            </w:pPr>
          </w:p>
        </w:tc>
      </w:tr>
      <w:tr>
        <w:trPr>
          <w:trHeight w:val="176"/>
        </w:trPr>
        <w:tc>
          <w:tcPr>
            <w:tcW w:w="80" w:type="dxa"/>
            <w:vAlign w:val="bottom"/>
            <w:shd w:val="clear" w:color="auto" w:fill="F3F3F4"/>
          </w:tcPr>
          <w:p>
            <w:pPr>
              <w:spacing w:after="0"/>
              <w:rPr>
                <w:sz w:val="15"/>
                <w:szCs w:val="15"/>
                <w:color w:val="auto"/>
              </w:rPr>
            </w:pPr>
          </w:p>
        </w:tc>
        <w:tc>
          <w:tcPr>
            <w:tcW w:w="2100" w:type="dxa"/>
            <w:vAlign w:val="bottom"/>
            <w:shd w:val="clear" w:color="auto" w:fill="F3F3F4"/>
          </w:tcPr>
          <w:p>
            <w:pPr>
              <w:spacing w:after="0"/>
              <w:rPr>
                <w:sz w:val="15"/>
                <w:szCs w:val="15"/>
                <w:color w:val="auto"/>
              </w:rPr>
            </w:pPr>
          </w:p>
        </w:tc>
        <w:tc>
          <w:tcPr>
            <w:tcW w:w="400" w:type="dxa"/>
            <w:vAlign w:val="bottom"/>
            <w:shd w:val="clear" w:color="auto" w:fill="F3F3F4"/>
          </w:tcPr>
          <w:p>
            <w:pPr>
              <w:spacing w:after="0"/>
              <w:rPr>
                <w:sz w:val="15"/>
                <w:szCs w:val="15"/>
                <w:color w:val="auto"/>
              </w:rPr>
            </w:pPr>
          </w:p>
        </w:tc>
        <w:tc>
          <w:tcPr>
            <w:tcW w:w="100" w:type="dxa"/>
            <w:vAlign w:val="bottom"/>
            <w:shd w:val="clear" w:color="auto" w:fill="F3F3F4"/>
          </w:tcPr>
          <w:p>
            <w:pPr>
              <w:spacing w:after="0"/>
              <w:rPr>
                <w:sz w:val="15"/>
                <w:szCs w:val="15"/>
                <w:color w:val="auto"/>
              </w:rPr>
            </w:pPr>
          </w:p>
        </w:tc>
        <w:tc>
          <w:tcPr>
            <w:tcW w:w="8560" w:type="dxa"/>
            <w:vAlign w:val="bottom"/>
            <w:gridSpan w:val="3"/>
            <w:shd w:val="clear" w:color="auto" w:fill="F3F3F4"/>
          </w:tcPr>
          <w:p>
            <w:pPr>
              <w:spacing w:after="0"/>
              <w:rPr>
                <w:sz w:val="20"/>
                <w:szCs w:val="20"/>
                <w:color w:val="auto"/>
              </w:rPr>
            </w:pPr>
            <w:r>
              <w:rPr>
                <w:rFonts w:ascii="Arial" w:cs="Arial" w:eastAsia="Arial" w:hAnsi="Arial"/>
                <w:sz w:val="13"/>
                <w:szCs w:val="13"/>
                <w:color w:val="auto"/>
              </w:rPr>
              <w:t>management</w:t>
            </w:r>
          </w:p>
        </w:tc>
        <w:tc>
          <w:tcPr>
            <w:tcW w:w="0" w:type="dxa"/>
            <w:vAlign w:val="bottom"/>
          </w:tcPr>
          <w:p>
            <w:pPr>
              <w:spacing w:after="0"/>
              <w:rPr>
                <w:sz w:val="1"/>
                <w:szCs w:val="1"/>
                <w:color w:val="auto"/>
              </w:rPr>
            </w:pPr>
          </w:p>
        </w:tc>
      </w:tr>
      <w:tr>
        <w:trPr>
          <w:trHeight w:val="190"/>
        </w:trPr>
        <w:tc>
          <w:tcPr>
            <w:tcW w:w="80" w:type="dxa"/>
            <w:vAlign w:val="bottom"/>
            <w:shd w:val="clear" w:color="auto" w:fill="F3F3F4"/>
          </w:tcPr>
          <w:p>
            <w:pPr>
              <w:spacing w:after="0"/>
              <w:rPr>
                <w:sz w:val="16"/>
                <w:szCs w:val="16"/>
                <w:color w:val="auto"/>
              </w:rPr>
            </w:pPr>
          </w:p>
        </w:tc>
        <w:tc>
          <w:tcPr>
            <w:tcW w:w="2100" w:type="dxa"/>
            <w:vAlign w:val="bottom"/>
            <w:shd w:val="clear" w:color="auto" w:fill="F3F3F4"/>
          </w:tcPr>
          <w:p>
            <w:pPr>
              <w:spacing w:after="0"/>
              <w:rPr>
                <w:sz w:val="16"/>
                <w:szCs w:val="16"/>
                <w:color w:val="auto"/>
              </w:rPr>
            </w:pPr>
          </w:p>
        </w:tc>
        <w:tc>
          <w:tcPr>
            <w:tcW w:w="500" w:type="dxa"/>
            <w:vAlign w:val="bottom"/>
            <w:gridSpan w:val="2"/>
            <w:shd w:val="clear" w:color="auto" w:fill="F3F3F4"/>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560" w:type="dxa"/>
            <w:vAlign w:val="bottom"/>
            <w:gridSpan w:val="3"/>
            <w:shd w:val="clear" w:color="auto" w:fill="F3F3F4"/>
          </w:tcPr>
          <w:p>
            <w:pPr>
              <w:ind w:left="20"/>
              <w:spacing w:after="0"/>
              <w:rPr>
                <w:sz w:val="20"/>
                <w:szCs w:val="20"/>
                <w:color w:val="auto"/>
              </w:rPr>
            </w:pPr>
            <w:r>
              <w:rPr>
                <w:rFonts w:ascii="Arial" w:cs="Arial" w:eastAsia="Arial" w:hAnsi="Arial"/>
                <w:sz w:val="13"/>
                <w:szCs w:val="13"/>
                <w:color w:val="auto"/>
              </w:rPr>
              <w:t xml:space="preserve">Issues the Committee Report required to be included in this Proxy Statement pursuant to the regulations of the SEC (see </w:t>
            </w:r>
            <w:r>
              <w:rPr>
                <w:rFonts w:ascii="Arial" w:cs="Arial" w:eastAsia="Arial" w:hAnsi="Arial"/>
                <w:sz w:val="13"/>
                <w:szCs w:val="13"/>
                <w:b w:val="1"/>
                <w:bCs w:val="1"/>
                <w:i w:val="1"/>
                <w:iCs w:val="1"/>
                <w:color w:val="auto"/>
              </w:rPr>
              <w:t>Audit and Finance</w:t>
            </w:r>
          </w:p>
        </w:tc>
        <w:tc>
          <w:tcPr>
            <w:tcW w:w="0" w:type="dxa"/>
            <w:vAlign w:val="bottom"/>
          </w:tcPr>
          <w:p>
            <w:pPr>
              <w:spacing w:after="0"/>
              <w:rPr>
                <w:sz w:val="1"/>
                <w:szCs w:val="1"/>
                <w:color w:val="auto"/>
              </w:rPr>
            </w:pPr>
          </w:p>
        </w:tc>
      </w:tr>
      <w:tr>
        <w:trPr>
          <w:trHeight w:val="186"/>
        </w:trPr>
        <w:tc>
          <w:tcPr>
            <w:tcW w:w="80" w:type="dxa"/>
            <w:vAlign w:val="bottom"/>
            <w:tcBorders>
              <w:bottom w:val="single" w:sz="8" w:color="auto"/>
            </w:tcBorders>
            <w:shd w:val="clear" w:color="auto" w:fill="F3F3F4"/>
          </w:tcPr>
          <w:p>
            <w:pPr>
              <w:spacing w:after="0"/>
              <w:rPr>
                <w:sz w:val="16"/>
                <w:szCs w:val="16"/>
                <w:color w:val="auto"/>
              </w:rPr>
            </w:pPr>
          </w:p>
        </w:tc>
        <w:tc>
          <w:tcPr>
            <w:tcW w:w="2100" w:type="dxa"/>
            <w:vAlign w:val="bottom"/>
            <w:tcBorders>
              <w:bottom w:val="single" w:sz="8" w:color="auto"/>
            </w:tcBorders>
            <w:shd w:val="clear" w:color="auto" w:fill="F3F3F4"/>
          </w:tcPr>
          <w:p>
            <w:pPr>
              <w:spacing w:after="0"/>
              <w:rPr>
                <w:sz w:val="16"/>
                <w:szCs w:val="16"/>
                <w:color w:val="auto"/>
              </w:rPr>
            </w:pPr>
          </w:p>
        </w:tc>
        <w:tc>
          <w:tcPr>
            <w:tcW w:w="400" w:type="dxa"/>
            <w:vAlign w:val="bottom"/>
            <w:tcBorders>
              <w:bottom w:val="single" w:sz="8" w:color="auto"/>
            </w:tcBorders>
            <w:shd w:val="clear" w:color="auto" w:fill="F3F3F4"/>
          </w:tcPr>
          <w:p>
            <w:pPr>
              <w:spacing w:after="0"/>
              <w:rPr>
                <w:sz w:val="16"/>
                <w:szCs w:val="16"/>
                <w:color w:val="auto"/>
              </w:rPr>
            </w:pPr>
          </w:p>
        </w:tc>
        <w:tc>
          <w:tcPr>
            <w:tcW w:w="100" w:type="dxa"/>
            <w:vAlign w:val="bottom"/>
            <w:tcBorders>
              <w:bottom w:val="single" w:sz="8" w:color="auto"/>
            </w:tcBorders>
            <w:shd w:val="clear" w:color="auto" w:fill="F3F3F4"/>
          </w:tcPr>
          <w:p>
            <w:pPr>
              <w:spacing w:after="0"/>
              <w:rPr>
                <w:sz w:val="16"/>
                <w:szCs w:val="16"/>
                <w:color w:val="auto"/>
              </w:rPr>
            </w:pPr>
          </w:p>
        </w:tc>
        <w:tc>
          <w:tcPr>
            <w:tcW w:w="8560" w:type="dxa"/>
            <w:vAlign w:val="bottom"/>
            <w:tcBorders>
              <w:bottom w:val="single" w:sz="8" w:color="auto"/>
            </w:tcBorders>
            <w:gridSpan w:val="3"/>
            <w:shd w:val="clear" w:color="auto" w:fill="F3F3F4"/>
          </w:tcPr>
          <w:p>
            <w:pPr>
              <w:spacing w:after="0" w:line="147" w:lineRule="exact"/>
              <w:rPr>
                <w:sz w:val="20"/>
                <w:szCs w:val="20"/>
                <w:color w:val="auto"/>
              </w:rPr>
            </w:pPr>
            <w:r>
              <w:rPr>
                <w:rFonts w:ascii="Arial" w:cs="Arial" w:eastAsia="Arial" w:hAnsi="Arial"/>
                <w:sz w:val="13"/>
                <w:szCs w:val="13"/>
                <w:b w:val="1"/>
                <w:bCs w:val="1"/>
                <w:i w:val="1"/>
                <w:iCs w:val="1"/>
                <w:color w:val="auto"/>
              </w:rPr>
              <w:t xml:space="preserve">Committee Report </w:t>
            </w:r>
            <w:r>
              <w:rPr>
                <w:rFonts w:ascii="Arial" w:cs="Arial" w:eastAsia="Arial" w:hAnsi="Arial"/>
                <w:sz w:val="13"/>
                <w:szCs w:val="13"/>
                <w:color w:val="auto"/>
              </w:rPr>
              <w:t>on page 49)</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The Board of Directors has determined that all members of the Committee are financially literate and have accounting or related financial management expertise, as those terms are defined under the Company’s Corporate Governance Guidelines and the applicable listing standards of the NYSE, and are also “audit committee financial experts” within the meaning of Item 407(d)(5)(ii) of SEC Regulation S-K.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Committee</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The Governance Committee assists the Board in fulfilling its Corporate Governance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141210" cy="1418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141859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p>
      <w:pPr>
        <w:spacing w:after="0" w:line="23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CURRENT MEMBERS</w:t>
      </w:r>
    </w:p>
    <w:p>
      <w:pPr>
        <w:spacing w:after="0" w:line="67" w:lineRule="exact"/>
        <w:rPr>
          <w:sz w:val="20"/>
          <w:szCs w:val="20"/>
          <w:color w:val="auto"/>
        </w:rPr>
      </w:pPr>
    </w:p>
    <w:p>
      <w:pPr>
        <w:ind w:left="200" w:hanging="115"/>
        <w:spacing w:after="0"/>
        <w:tabs>
          <w:tab w:leader="none" w:pos="200" w:val="left"/>
        </w:tabs>
        <w:numPr>
          <w:ilvl w:val="0"/>
          <w:numId w:val="19"/>
        </w:numPr>
        <w:rPr>
          <w:rFonts w:ascii="Times New Roman" w:cs="Times New Roman" w:eastAsia="Times New Roman" w:hAnsi="Times New Roman"/>
          <w:sz w:val="13"/>
          <w:szCs w:val="13"/>
          <w:color w:val="auto"/>
        </w:rPr>
      </w:pPr>
      <w:r>
        <w:rPr>
          <w:rFonts w:ascii="Arial" w:cs="Arial" w:eastAsia="Arial" w:hAnsi="Arial"/>
          <w:sz w:val="13"/>
          <w:szCs w:val="13"/>
          <w:color w:val="auto"/>
        </w:rPr>
        <w:t>Olivier (Chair)</w:t>
      </w:r>
    </w:p>
    <w:p>
      <w:pPr>
        <w:spacing w:after="0" w:line="64" w:lineRule="exact"/>
        <w:rPr>
          <w:rFonts w:ascii="Times New Roman" w:cs="Times New Roman" w:eastAsia="Times New Roman" w:hAnsi="Times New Roman"/>
          <w:sz w:val="13"/>
          <w:szCs w:val="13"/>
          <w:color w:val="auto"/>
        </w:rPr>
      </w:pPr>
    </w:p>
    <w:p>
      <w:pPr>
        <w:ind w:left="200" w:hanging="115"/>
        <w:spacing w:after="0"/>
        <w:tabs>
          <w:tab w:leader="none" w:pos="200" w:val="left"/>
        </w:tabs>
        <w:numPr>
          <w:ilvl w:val="0"/>
          <w:numId w:val="19"/>
        </w:numPr>
        <w:rPr>
          <w:rFonts w:ascii="Times New Roman" w:cs="Times New Roman" w:eastAsia="Times New Roman" w:hAnsi="Times New Roman"/>
          <w:sz w:val="13"/>
          <w:szCs w:val="13"/>
          <w:color w:val="auto"/>
        </w:rPr>
      </w:pPr>
      <w:r>
        <w:rPr>
          <w:rFonts w:ascii="Arial" w:cs="Arial" w:eastAsia="Arial" w:hAnsi="Arial"/>
          <w:sz w:val="13"/>
          <w:szCs w:val="13"/>
          <w:color w:val="auto"/>
        </w:rPr>
        <w:t>Conner</w:t>
      </w:r>
    </w:p>
    <w:p>
      <w:pPr>
        <w:spacing w:after="0" w:line="64" w:lineRule="exact"/>
        <w:rPr>
          <w:rFonts w:ascii="Times New Roman" w:cs="Times New Roman" w:eastAsia="Times New Roman" w:hAnsi="Times New Roman"/>
          <w:sz w:val="13"/>
          <w:szCs w:val="13"/>
          <w:color w:val="auto"/>
        </w:rPr>
      </w:pPr>
    </w:p>
    <w:p>
      <w:pPr>
        <w:ind w:left="200" w:hanging="115"/>
        <w:spacing w:after="0"/>
        <w:tabs>
          <w:tab w:leader="none" w:pos="200" w:val="left"/>
        </w:tabs>
        <w:numPr>
          <w:ilvl w:val="0"/>
          <w:numId w:val="19"/>
        </w:numPr>
        <w:rPr>
          <w:rFonts w:ascii="Times New Roman" w:cs="Times New Roman" w:eastAsia="Times New Roman" w:hAnsi="Times New Roman"/>
          <w:sz w:val="13"/>
          <w:szCs w:val="13"/>
          <w:color w:val="auto"/>
        </w:rPr>
      </w:pPr>
      <w:r>
        <w:rPr>
          <w:rFonts w:ascii="Arial" w:cs="Arial" w:eastAsia="Arial" w:hAnsi="Arial"/>
          <w:sz w:val="13"/>
          <w:szCs w:val="13"/>
          <w:color w:val="auto"/>
        </w:rPr>
        <w:t>Hess</w:t>
      </w:r>
    </w:p>
    <w:p>
      <w:pPr>
        <w:spacing w:after="0" w:line="64" w:lineRule="exact"/>
        <w:rPr>
          <w:rFonts w:ascii="Times New Roman" w:cs="Times New Roman" w:eastAsia="Times New Roman" w:hAnsi="Times New Roman"/>
          <w:sz w:val="13"/>
          <w:szCs w:val="13"/>
          <w:color w:val="auto"/>
        </w:rPr>
      </w:pPr>
    </w:p>
    <w:p>
      <w:pPr>
        <w:ind w:left="200" w:hanging="115"/>
        <w:spacing w:after="0"/>
        <w:tabs>
          <w:tab w:leader="none" w:pos="200" w:val="left"/>
        </w:tabs>
        <w:numPr>
          <w:ilvl w:val="0"/>
          <w:numId w:val="19"/>
        </w:numPr>
        <w:rPr>
          <w:rFonts w:ascii="Times New Roman" w:cs="Times New Roman" w:eastAsia="Times New Roman" w:hAnsi="Times New Roman"/>
          <w:sz w:val="13"/>
          <w:szCs w:val="13"/>
          <w:color w:val="auto"/>
        </w:rPr>
      </w:pPr>
      <w:r>
        <w:rPr>
          <w:rFonts w:ascii="Arial" w:cs="Arial" w:eastAsia="Arial" w:hAnsi="Arial"/>
          <w:sz w:val="13"/>
          <w:szCs w:val="13"/>
          <w:color w:val="auto"/>
        </w:rPr>
        <w:t>Phillippy</w:t>
      </w:r>
    </w:p>
    <w:p>
      <w:pPr>
        <w:spacing w:after="0" w:line="64" w:lineRule="exact"/>
        <w:rPr>
          <w:rFonts w:ascii="Times New Roman" w:cs="Times New Roman" w:eastAsia="Times New Roman" w:hAnsi="Times New Roman"/>
          <w:sz w:val="13"/>
          <w:szCs w:val="13"/>
          <w:color w:val="auto"/>
        </w:rPr>
      </w:pPr>
    </w:p>
    <w:p>
      <w:pPr>
        <w:ind w:left="200" w:hanging="115"/>
        <w:spacing w:after="0"/>
        <w:tabs>
          <w:tab w:leader="none" w:pos="200" w:val="left"/>
        </w:tabs>
        <w:numPr>
          <w:ilvl w:val="0"/>
          <w:numId w:val="19"/>
        </w:numPr>
        <w:rPr>
          <w:rFonts w:ascii="Times New Roman" w:cs="Times New Roman" w:eastAsia="Times New Roman" w:hAnsi="Times New Roman"/>
          <w:sz w:val="13"/>
          <w:szCs w:val="13"/>
          <w:color w:val="auto"/>
        </w:rPr>
      </w:pPr>
      <w:r>
        <w:rPr>
          <w:rFonts w:ascii="Arial" w:cs="Arial" w:eastAsia="Arial" w:hAnsi="Arial"/>
          <w:sz w:val="13"/>
          <w:szCs w:val="13"/>
          <w:color w:val="auto"/>
        </w:rPr>
        <w:t>Valdez</w:t>
      </w:r>
    </w:p>
    <w:p>
      <w:pPr>
        <w:spacing w:after="0" w:line="65" w:lineRule="exact"/>
        <w:rPr>
          <w:sz w:val="20"/>
          <w:szCs w:val="20"/>
          <w:color w:val="auto"/>
        </w:rPr>
      </w:pPr>
    </w:p>
    <w:p>
      <w:pPr>
        <w:ind w:left="80"/>
        <w:spacing w:after="0"/>
        <w:rPr>
          <w:sz w:val="20"/>
          <w:szCs w:val="20"/>
          <w:color w:val="auto"/>
        </w:rPr>
      </w:pPr>
      <w:r>
        <w:rPr>
          <w:rFonts w:ascii="Arial" w:cs="Arial" w:eastAsia="Arial" w:hAnsi="Arial"/>
          <w:sz w:val="13"/>
          <w:szCs w:val="13"/>
          <w:color w:val="auto"/>
        </w:rPr>
        <w:t>Four meetings in fiscal 2024</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92" w:right="360" w:hanging="92"/>
        <w:spacing w:after="0" w:line="293" w:lineRule="auto"/>
        <w:tabs>
          <w:tab w:leader="none" w:pos="122" w:val="left"/>
        </w:tabs>
        <w:numPr>
          <w:ilvl w:val="0"/>
          <w:numId w:val="20"/>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Identifies individuals qualified to become Board members and recommends them for election to the Board at the Annual Meeting of shareholders or for appointment to fill vacancies occurring between Annual Meetings (see </w:t>
      </w:r>
      <w:r>
        <w:rPr>
          <w:rFonts w:ascii="Arial" w:cs="Arial" w:eastAsia="Arial" w:hAnsi="Arial"/>
          <w:sz w:val="13"/>
          <w:szCs w:val="13"/>
          <w:b w:val="1"/>
          <w:bCs w:val="1"/>
          <w:i w:val="1"/>
          <w:iCs w:val="1"/>
          <w:color w:val="auto"/>
        </w:rPr>
        <w:t>Director Candidates and Nominations</w:t>
      </w:r>
      <w:r>
        <w:rPr>
          <w:rFonts w:ascii="Arial" w:cs="Arial" w:eastAsia="Arial" w:hAnsi="Arial"/>
          <w:sz w:val="13"/>
          <w:szCs w:val="13"/>
          <w:color w:val="auto"/>
        </w:rPr>
        <w:t xml:space="preserve"> below)</w:t>
      </w:r>
    </w:p>
    <w:p>
      <w:pPr>
        <w:ind w:left="112" w:hanging="112"/>
        <w:spacing w:after="0"/>
        <w:tabs>
          <w:tab w:leader="none" w:pos="112" w:val="left"/>
        </w:tabs>
        <w:numPr>
          <w:ilvl w:val="0"/>
          <w:numId w:val="20"/>
        </w:numPr>
        <w:rPr>
          <w:rFonts w:ascii="Times New Roman" w:cs="Times New Roman" w:eastAsia="Times New Roman" w:hAnsi="Times New Roman"/>
          <w:sz w:val="13"/>
          <w:szCs w:val="13"/>
          <w:color w:val="auto"/>
        </w:rPr>
      </w:pPr>
      <w:r>
        <w:rPr>
          <w:rFonts w:ascii="Arial" w:cs="Arial" w:eastAsia="Arial" w:hAnsi="Arial"/>
          <w:sz w:val="13"/>
          <w:szCs w:val="13"/>
          <w:color w:val="auto"/>
        </w:rPr>
        <w:t>Reviews the size of the Board and recommends any appropriate changes to the Board</w:t>
      </w:r>
    </w:p>
    <w:p>
      <w:pPr>
        <w:spacing w:after="0" w:line="64" w:lineRule="exact"/>
        <w:rPr>
          <w:rFonts w:ascii="Times New Roman" w:cs="Times New Roman" w:eastAsia="Times New Roman" w:hAnsi="Times New Roman"/>
          <w:sz w:val="13"/>
          <w:szCs w:val="13"/>
          <w:color w:val="auto"/>
        </w:rPr>
      </w:pPr>
    </w:p>
    <w:p>
      <w:pPr>
        <w:ind w:left="112" w:hanging="112"/>
        <w:spacing w:after="0"/>
        <w:tabs>
          <w:tab w:leader="none" w:pos="112" w:val="left"/>
        </w:tabs>
        <w:numPr>
          <w:ilvl w:val="0"/>
          <w:numId w:val="20"/>
        </w:numPr>
        <w:rPr>
          <w:rFonts w:ascii="Times New Roman" w:cs="Times New Roman" w:eastAsia="Times New Roman" w:hAnsi="Times New Roman"/>
          <w:sz w:val="13"/>
          <w:szCs w:val="13"/>
          <w:color w:val="auto"/>
        </w:rPr>
      </w:pPr>
      <w:r>
        <w:rPr>
          <w:rFonts w:ascii="Arial" w:cs="Arial" w:eastAsia="Arial" w:hAnsi="Arial"/>
          <w:sz w:val="13"/>
          <w:szCs w:val="13"/>
          <w:color w:val="auto"/>
        </w:rPr>
        <w:t>Reviews the composition of Board committees and recommends any appropriate changes to the Board</w:t>
      </w:r>
    </w:p>
    <w:p>
      <w:pPr>
        <w:spacing w:after="0" w:line="64" w:lineRule="exact"/>
        <w:rPr>
          <w:rFonts w:ascii="Times New Roman" w:cs="Times New Roman" w:eastAsia="Times New Roman" w:hAnsi="Times New Roman"/>
          <w:sz w:val="13"/>
          <w:szCs w:val="13"/>
          <w:color w:val="auto"/>
        </w:rPr>
      </w:pPr>
    </w:p>
    <w:p>
      <w:pPr>
        <w:ind w:left="112" w:hanging="112"/>
        <w:spacing w:after="0"/>
        <w:tabs>
          <w:tab w:leader="none" w:pos="112" w:val="left"/>
        </w:tabs>
        <w:numPr>
          <w:ilvl w:val="0"/>
          <w:numId w:val="20"/>
        </w:numPr>
        <w:rPr>
          <w:rFonts w:ascii="Times New Roman" w:cs="Times New Roman" w:eastAsia="Times New Roman" w:hAnsi="Times New Roman"/>
          <w:sz w:val="13"/>
          <w:szCs w:val="13"/>
          <w:color w:val="auto"/>
        </w:rPr>
      </w:pPr>
      <w:r>
        <w:rPr>
          <w:rFonts w:ascii="Arial" w:cs="Arial" w:eastAsia="Arial" w:hAnsi="Arial"/>
          <w:sz w:val="13"/>
          <w:szCs w:val="13"/>
          <w:color w:val="auto"/>
        </w:rPr>
        <w:t>Develops and recommends to the Board effective corporate governance guidelines</w:t>
      </w:r>
    </w:p>
    <w:p>
      <w:pPr>
        <w:spacing w:after="0" w:line="64" w:lineRule="exact"/>
        <w:rPr>
          <w:rFonts w:ascii="Times New Roman" w:cs="Times New Roman" w:eastAsia="Times New Roman" w:hAnsi="Times New Roman"/>
          <w:sz w:val="13"/>
          <w:szCs w:val="13"/>
          <w:color w:val="auto"/>
        </w:rPr>
      </w:pPr>
    </w:p>
    <w:p>
      <w:pPr>
        <w:ind w:left="112" w:hanging="112"/>
        <w:spacing w:after="0"/>
        <w:tabs>
          <w:tab w:leader="none" w:pos="112" w:val="left"/>
        </w:tabs>
        <w:numPr>
          <w:ilvl w:val="0"/>
          <w:numId w:val="20"/>
        </w:numPr>
        <w:rPr>
          <w:rFonts w:ascii="Times New Roman" w:cs="Times New Roman" w:eastAsia="Times New Roman" w:hAnsi="Times New Roman"/>
          <w:sz w:val="13"/>
          <w:szCs w:val="13"/>
          <w:color w:val="auto"/>
        </w:rPr>
      </w:pPr>
      <w:r>
        <w:rPr>
          <w:rFonts w:ascii="Arial" w:cs="Arial" w:eastAsia="Arial" w:hAnsi="Arial"/>
          <w:sz w:val="13"/>
          <w:szCs w:val="13"/>
          <w:color w:val="auto"/>
        </w:rPr>
        <w:t>Reviews the Company’s corporate governance and compliance programs</w:t>
      </w:r>
    </w:p>
    <w:p>
      <w:pPr>
        <w:spacing w:after="0" w:line="64" w:lineRule="exact"/>
        <w:rPr>
          <w:rFonts w:ascii="Times New Roman" w:cs="Times New Roman" w:eastAsia="Times New Roman" w:hAnsi="Times New Roman"/>
          <w:sz w:val="13"/>
          <w:szCs w:val="13"/>
          <w:color w:val="auto"/>
        </w:rPr>
      </w:pPr>
    </w:p>
    <w:p>
      <w:pPr>
        <w:ind w:left="112" w:hanging="112"/>
        <w:spacing w:after="0"/>
        <w:tabs>
          <w:tab w:leader="none" w:pos="112" w:val="left"/>
        </w:tabs>
        <w:numPr>
          <w:ilvl w:val="0"/>
          <w:numId w:val="20"/>
        </w:numPr>
        <w:rPr>
          <w:rFonts w:ascii="Times New Roman" w:cs="Times New Roman" w:eastAsia="Times New Roman" w:hAnsi="Times New Roman"/>
          <w:sz w:val="13"/>
          <w:szCs w:val="13"/>
          <w:color w:val="auto"/>
        </w:rPr>
      </w:pPr>
      <w:r>
        <w:rPr>
          <w:rFonts w:ascii="Arial" w:cs="Arial" w:eastAsia="Arial" w:hAnsi="Arial"/>
          <w:sz w:val="13"/>
          <w:szCs w:val="13"/>
          <w:color w:val="auto"/>
        </w:rPr>
        <w:t>Assists the Board in its oversight of the Company’s ESG program and annually provides an assessment of the program for the Board</w:t>
      </w:r>
    </w:p>
    <w:p>
      <w:pPr>
        <w:spacing w:after="0" w:line="64" w:lineRule="exact"/>
        <w:rPr>
          <w:rFonts w:ascii="Times New Roman" w:cs="Times New Roman" w:eastAsia="Times New Roman" w:hAnsi="Times New Roman"/>
          <w:sz w:val="13"/>
          <w:szCs w:val="13"/>
          <w:color w:val="auto"/>
        </w:rPr>
      </w:pPr>
    </w:p>
    <w:p>
      <w:pPr>
        <w:ind w:left="112" w:hanging="112"/>
        <w:spacing w:after="0"/>
        <w:tabs>
          <w:tab w:leader="none" w:pos="112" w:val="left"/>
        </w:tabs>
        <w:numPr>
          <w:ilvl w:val="0"/>
          <w:numId w:val="20"/>
        </w:numPr>
        <w:rPr>
          <w:rFonts w:ascii="Times New Roman" w:cs="Times New Roman" w:eastAsia="Times New Roman" w:hAnsi="Times New Roman"/>
          <w:sz w:val="13"/>
          <w:szCs w:val="13"/>
          <w:color w:val="auto"/>
        </w:rPr>
      </w:pPr>
      <w:r>
        <w:rPr>
          <w:rFonts w:ascii="Arial" w:cs="Arial" w:eastAsia="Arial" w:hAnsi="Arial"/>
          <w:sz w:val="13"/>
          <w:szCs w:val="13"/>
          <w:color w:val="auto"/>
        </w:rPr>
        <w:t>Oversees the Company’s ethics programs</w:t>
      </w:r>
    </w:p>
    <w:p>
      <w:pPr>
        <w:spacing w:after="0" w:line="64" w:lineRule="exact"/>
        <w:rPr>
          <w:rFonts w:ascii="Times New Roman" w:cs="Times New Roman" w:eastAsia="Times New Roman" w:hAnsi="Times New Roman"/>
          <w:sz w:val="13"/>
          <w:szCs w:val="13"/>
          <w:color w:val="auto"/>
        </w:rPr>
      </w:pPr>
    </w:p>
    <w:p>
      <w:pPr>
        <w:ind w:left="92" w:right="700" w:hanging="92"/>
        <w:spacing w:after="0" w:line="284" w:lineRule="auto"/>
        <w:tabs>
          <w:tab w:leader="none" w:pos="122" w:val="left"/>
        </w:tabs>
        <w:numPr>
          <w:ilvl w:val="0"/>
          <w:numId w:val="20"/>
        </w:numPr>
        <w:rPr>
          <w:rFonts w:ascii="Times New Roman" w:cs="Times New Roman" w:eastAsia="Times New Roman" w:hAnsi="Times New Roman"/>
          <w:sz w:val="13"/>
          <w:szCs w:val="13"/>
          <w:color w:val="auto"/>
        </w:rPr>
      </w:pPr>
      <w:r>
        <w:rPr>
          <w:rFonts w:ascii="Arial" w:cs="Arial" w:eastAsia="Arial" w:hAnsi="Arial"/>
          <w:sz w:val="13"/>
          <w:szCs w:val="13"/>
          <w:color w:val="auto"/>
        </w:rPr>
        <w:t>Reviews any conflicts of interest involving Related Persons, and oversees and administers the Company’s policy on Related Person transactions</w:t>
      </w:r>
    </w:p>
    <w:p>
      <w:pPr>
        <w:spacing w:after="0" w:line="11" w:lineRule="exact"/>
        <w:rPr>
          <w:rFonts w:ascii="Times New Roman" w:cs="Times New Roman" w:eastAsia="Times New Roman" w:hAnsi="Times New Roman"/>
          <w:sz w:val="13"/>
          <w:szCs w:val="13"/>
          <w:color w:val="auto"/>
        </w:rPr>
      </w:pPr>
    </w:p>
    <w:p>
      <w:pPr>
        <w:ind w:left="112" w:hanging="112"/>
        <w:spacing w:after="0"/>
        <w:tabs>
          <w:tab w:leader="none" w:pos="112" w:val="left"/>
        </w:tabs>
        <w:numPr>
          <w:ilvl w:val="0"/>
          <w:numId w:val="20"/>
        </w:numPr>
        <w:rPr>
          <w:rFonts w:ascii="Times New Roman" w:cs="Times New Roman" w:eastAsia="Times New Roman" w:hAnsi="Times New Roman"/>
          <w:sz w:val="13"/>
          <w:szCs w:val="13"/>
          <w:color w:val="auto"/>
        </w:rPr>
      </w:pPr>
      <w:r>
        <w:rPr>
          <w:rFonts w:ascii="Arial" w:cs="Arial" w:eastAsia="Arial" w:hAnsi="Arial"/>
          <w:sz w:val="13"/>
          <w:szCs w:val="13"/>
          <w:color w:val="auto"/>
        </w:rPr>
        <w:t>Leads the Board in its annual review of the Board’s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21590</wp:posOffset>
            </wp:positionV>
            <wp:extent cx="7141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8" w:space="720"/>
            <w:col w:w="8652"/>
          </w:cols>
          <w:pgMar w:left="320" w:top="814"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Candidates and Nominations</w:t>
      </w:r>
    </w:p>
    <w:p>
      <w:pPr>
        <w:spacing w:after="0" w:line="192"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To be considered for nomination to the Board, candidates must be persons of the highest integrity, have extensive and varied business experience and have demonstrated their ability to interact effectively with associates and peers. They preferably will also have experience and expertise in business areas related to the Company and its technologies, industries and customers. In addition, the Committee will seek out candidates with the ability to interact constructively with the existing Board membership, in order to enable the Board to act in the long-term interests of the Company’s shareholders. While the Committee has not established specific minimum qualifications for candidates, it may establish specific membership criteria as appropriate from time to time if the Board determines there is a need for specific skills and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228600</wp:posOffset>
            </wp:positionV>
            <wp:extent cx="714121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21" w:name="page22"/>
    <w:bookmarkEnd w:id="21"/>
    <w:p>
      <w:pPr>
        <w:jc w:val="both"/>
        <w:ind w:right="20"/>
        <w:spacing w:after="0" w:line="264" w:lineRule="auto"/>
        <w:rPr>
          <w:sz w:val="20"/>
          <w:szCs w:val="20"/>
          <w:color w:val="auto"/>
        </w:rPr>
      </w:pPr>
      <w:r>
        <w:rPr>
          <w:rFonts w:ascii="Arial" w:cs="Arial" w:eastAsia="Arial" w:hAnsi="Arial"/>
          <w:sz w:val="15"/>
          <w:szCs w:val="15"/>
          <w:color w:val="auto"/>
        </w:rPr>
        <w:t>Although the Committee does not have a formal policy on diversity, it seeks the most qualified candidates without regard to race, color, national origin, gender, religion, disability or sexual orientation. However, the Committee appreciates the benefits that diversity, including gender diversity, brings to a board of directors, and both the Committee and the full Board are committed to requiring the inclusion of women and underrepresented minorities in the initial pool of director search candidates.</w:t>
      </w:r>
    </w:p>
    <w:p>
      <w:pPr>
        <w:spacing w:after="0" w:line="150"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The Committee may identify new candidates for nomination based on recommendations from Company management, employees, non-management directors, shareholders and other third parties. It also has the authority to engage third party search firms to identify candidates, and it has done so from time to time. Consideration of a new candidate typically involves the Committee’s review of information pertaining to such candidate and a series of internal discussions, and may proceed to interviews with the candidate. New candidates are evaluated based on the above-described criteria in light of the specific needs of the Board and the Company at the time. Incumbent directors whose terms are set to expire are evaluated based on the above-described criteria, as well as a review of their overall past performance on the Board of Directors.</w:t>
      </w:r>
    </w:p>
    <w:p>
      <w:pPr>
        <w:spacing w:after="0" w:line="159"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The Committee will consider director candidates recommended by shareholders, and will evaluate such individuals in the same manner as other candidates proposed to the Committee. All candidates must meet the legal, regulatory and exchange requirements applicable to members of the Board of Directors. Shareholders who wish to recommend individuals for consideration as director candidates for the 2026 Annual Meeting of Shareholders should notify the Committee no later than August 31, 2025 in order to allow time for their recommendations to be considered by the Committee. Submissions are to be addressed to the Nominating and Corporate Governance Committee, c/o David M. Schatz, Corporate Secretary, ESCO Technologies Inc., 9900A Clayton Road, St. Louis, MO 63124-1186, which submissions will then be forwarded to the Committee. The Committee is not obligated to nominate any such individual for election.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The Compensation Committee’s basic responsibility is to assure that the Company’s directors, key executives and other senior officers are compensated in a manner consistent with and in furtherance of Company strategy, competitive practices, and the requirements of the appropriate regulatory bodies.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 w:type="dxa"/>
            <w:vAlign w:val="bottom"/>
            <w:tcBorders>
              <w:top w:val="single" w:sz="8" w:color="auto"/>
            </w:tcBorders>
            <w:shd w:val="clear" w:color="auto" w:fill="F3F3F4"/>
          </w:tcPr>
          <w:p>
            <w:pPr>
              <w:spacing w:after="0"/>
              <w:rPr>
                <w:sz w:val="15"/>
                <w:szCs w:val="15"/>
                <w:color w:val="auto"/>
              </w:rPr>
            </w:pPr>
          </w:p>
        </w:tc>
        <w:tc>
          <w:tcPr>
            <w:tcW w:w="2100" w:type="dxa"/>
            <w:vAlign w:val="bottom"/>
            <w:tcBorders>
              <w:top w:val="single" w:sz="8" w:color="auto"/>
            </w:tcBorders>
            <w:shd w:val="clear" w:color="auto" w:fill="F3F3F4"/>
          </w:tcPr>
          <w:p>
            <w:pPr>
              <w:spacing w:after="0"/>
              <w:rPr>
                <w:sz w:val="20"/>
                <w:szCs w:val="20"/>
                <w:color w:val="auto"/>
              </w:rPr>
            </w:pPr>
            <w:r>
              <w:rPr>
                <w:rFonts w:ascii="Arial" w:cs="Arial" w:eastAsia="Arial" w:hAnsi="Arial"/>
                <w:sz w:val="13"/>
                <w:szCs w:val="13"/>
                <w:b w:val="1"/>
                <w:bCs w:val="1"/>
                <w:color w:val="auto"/>
              </w:rPr>
              <w:t>CURRENT MEMBERS</w:t>
            </w:r>
          </w:p>
        </w:tc>
        <w:tc>
          <w:tcPr>
            <w:tcW w:w="400" w:type="dxa"/>
            <w:vAlign w:val="bottom"/>
            <w:tcBorders>
              <w:top w:val="single" w:sz="8" w:color="auto"/>
            </w:tcBorders>
            <w:shd w:val="clear" w:color="auto" w:fill="F3F3F4"/>
          </w:tcPr>
          <w:p>
            <w:pPr>
              <w:spacing w:after="0"/>
              <w:rPr>
                <w:sz w:val="15"/>
                <w:szCs w:val="15"/>
                <w:color w:val="auto"/>
              </w:rPr>
            </w:pPr>
          </w:p>
        </w:tc>
        <w:tc>
          <w:tcPr>
            <w:tcW w:w="100" w:type="dxa"/>
            <w:vAlign w:val="bottom"/>
            <w:tcBorders>
              <w:top w:val="single" w:sz="8" w:color="auto"/>
            </w:tcBorders>
            <w:shd w:val="clear" w:color="auto" w:fill="F3F3F4"/>
          </w:tcPr>
          <w:p>
            <w:pPr>
              <w:spacing w:after="0"/>
              <w:rPr>
                <w:sz w:val="20"/>
                <w:szCs w:val="20"/>
                <w:color w:val="auto"/>
              </w:rPr>
            </w:pPr>
            <w:r>
              <w:rPr>
                <w:rFonts w:ascii="Arial" w:cs="Arial" w:eastAsia="Arial" w:hAnsi="Arial"/>
                <w:sz w:val="13"/>
                <w:szCs w:val="13"/>
                <w:color w:val="auto"/>
              </w:rPr>
              <w:t>●</w:t>
            </w:r>
          </w:p>
        </w:tc>
        <w:tc>
          <w:tcPr>
            <w:tcW w:w="8560" w:type="dxa"/>
            <w:vAlign w:val="bottom"/>
            <w:tcBorders>
              <w:top w:val="single" w:sz="8" w:color="auto"/>
            </w:tcBorders>
            <w:gridSpan w:val="3"/>
            <w:shd w:val="clear" w:color="auto" w:fill="F3F3F4"/>
          </w:tcPr>
          <w:p>
            <w:pPr>
              <w:ind w:left="20"/>
              <w:spacing w:after="0"/>
              <w:rPr>
                <w:sz w:val="20"/>
                <w:szCs w:val="20"/>
                <w:color w:val="auto"/>
              </w:rPr>
            </w:pPr>
            <w:r>
              <w:rPr>
                <w:rFonts w:ascii="Arial" w:cs="Arial" w:eastAsia="Arial" w:hAnsi="Arial"/>
                <w:sz w:val="13"/>
                <w:szCs w:val="13"/>
                <w:color w:val="auto"/>
              </w:rPr>
              <w:t>Reviews and approves corporate goals and objectives relevant to the compensation of the Chief Executive Officer; evaluates the Chief</w:t>
            </w:r>
          </w:p>
        </w:tc>
        <w:tc>
          <w:tcPr>
            <w:tcW w:w="0" w:type="dxa"/>
            <w:vAlign w:val="bottom"/>
          </w:tcPr>
          <w:p>
            <w:pPr>
              <w:spacing w:after="0"/>
              <w:rPr>
                <w:sz w:val="1"/>
                <w:szCs w:val="1"/>
                <w:color w:val="auto"/>
              </w:rPr>
            </w:pPr>
          </w:p>
        </w:tc>
      </w:tr>
      <w:tr>
        <w:trPr>
          <w:trHeight w:val="151"/>
        </w:trPr>
        <w:tc>
          <w:tcPr>
            <w:tcW w:w="80" w:type="dxa"/>
            <w:vAlign w:val="bottom"/>
            <w:shd w:val="clear" w:color="auto" w:fill="F3F3F4"/>
          </w:tcPr>
          <w:p>
            <w:pPr>
              <w:spacing w:after="0"/>
              <w:rPr>
                <w:sz w:val="13"/>
                <w:szCs w:val="13"/>
                <w:color w:val="auto"/>
              </w:rPr>
            </w:pPr>
          </w:p>
        </w:tc>
        <w:tc>
          <w:tcPr>
            <w:tcW w:w="2100" w:type="dxa"/>
            <w:vAlign w:val="bottom"/>
            <w:vMerge w:val="restart"/>
            <w:shd w:val="clear" w:color="auto" w:fill="F3F3F4"/>
          </w:tcPr>
          <w:p>
            <w:pPr>
              <w:spacing w:after="0"/>
              <w:rPr>
                <w:sz w:val="20"/>
                <w:szCs w:val="20"/>
                <w:color w:val="auto"/>
              </w:rPr>
            </w:pPr>
            <w:r>
              <w:rPr>
                <w:rFonts w:ascii="Arial" w:cs="Arial" w:eastAsia="Arial" w:hAnsi="Arial"/>
                <w:sz w:val="13"/>
                <w:szCs w:val="13"/>
                <w:color w:val="auto"/>
              </w:rPr>
              <w:t>● Khilnani (Chair)</w:t>
            </w:r>
          </w:p>
        </w:tc>
        <w:tc>
          <w:tcPr>
            <w:tcW w:w="400" w:type="dxa"/>
            <w:vAlign w:val="bottom"/>
            <w:shd w:val="clear" w:color="auto" w:fill="F3F3F4"/>
          </w:tcPr>
          <w:p>
            <w:pPr>
              <w:spacing w:after="0"/>
              <w:rPr>
                <w:sz w:val="13"/>
                <w:szCs w:val="13"/>
                <w:color w:val="auto"/>
              </w:rPr>
            </w:pPr>
          </w:p>
        </w:tc>
        <w:tc>
          <w:tcPr>
            <w:tcW w:w="100" w:type="dxa"/>
            <w:vAlign w:val="bottom"/>
            <w:shd w:val="clear" w:color="auto" w:fill="F3F3F4"/>
          </w:tcPr>
          <w:p>
            <w:pPr>
              <w:spacing w:after="0"/>
              <w:rPr>
                <w:sz w:val="13"/>
                <w:szCs w:val="13"/>
                <w:color w:val="auto"/>
              </w:rPr>
            </w:pPr>
          </w:p>
        </w:tc>
        <w:tc>
          <w:tcPr>
            <w:tcW w:w="8560" w:type="dxa"/>
            <w:vAlign w:val="bottom"/>
            <w:gridSpan w:val="3"/>
            <w:shd w:val="clear" w:color="auto" w:fill="F3F3F4"/>
          </w:tcPr>
          <w:p>
            <w:pPr>
              <w:spacing w:after="0"/>
              <w:rPr>
                <w:sz w:val="20"/>
                <w:szCs w:val="20"/>
                <w:color w:val="auto"/>
              </w:rPr>
            </w:pPr>
            <w:r>
              <w:rPr>
                <w:rFonts w:ascii="Arial" w:cs="Arial" w:eastAsia="Arial" w:hAnsi="Arial"/>
                <w:sz w:val="13"/>
                <w:szCs w:val="13"/>
                <w:color w:val="auto"/>
              </w:rPr>
              <w:t>Executive Officer’s performance in light of these goals and objectives, and determines the Chief Executive Officer’s compensation based upon</w:t>
            </w:r>
          </w:p>
        </w:tc>
        <w:tc>
          <w:tcPr>
            <w:tcW w:w="0" w:type="dxa"/>
            <w:vAlign w:val="bottom"/>
          </w:tcPr>
          <w:p>
            <w:pPr>
              <w:spacing w:after="0"/>
              <w:rPr>
                <w:sz w:val="1"/>
                <w:szCs w:val="1"/>
                <w:color w:val="auto"/>
              </w:rPr>
            </w:pPr>
          </w:p>
        </w:tc>
      </w:tr>
      <w:tr>
        <w:trPr>
          <w:trHeight w:val="87"/>
        </w:trPr>
        <w:tc>
          <w:tcPr>
            <w:tcW w:w="80" w:type="dxa"/>
            <w:vAlign w:val="bottom"/>
            <w:shd w:val="clear" w:color="auto" w:fill="F3F3F4"/>
          </w:tcPr>
          <w:p>
            <w:pPr>
              <w:spacing w:after="0"/>
              <w:rPr>
                <w:sz w:val="7"/>
                <w:szCs w:val="7"/>
                <w:color w:val="auto"/>
              </w:rPr>
            </w:pPr>
          </w:p>
        </w:tc>
        <w:tc>
          <w:tcPr>
            <w:tcW w:w="2100" w:type="dxa"/>
            <w:vAlign w:val="bottom"/>
            <w:vMerge w:val="continue"/>
            <w:shd w:val="clear" w:color="auto" w:fill="F3F3F4"/>
          </w:tcPr>
          <w:p>
            <w:pPr>
              <w:spacing w:after="0"/>
              <w:rPr>
                <w:sz w:val="7"/>
                <w:szCs w:val="7"/>
                <w:color w:val="auto"/>
              </w:rPr>
            </w:pPr>
          </w:p>
        </w:tc>
        <w:tc>
          <w:tcPr>
            <w:tcW w:w="400" w:type="dxa"/>
            <w:vAlign w:val="bottom"/>
            <w:shd w:val="clear" w:color="auto" w:fill="F3F3F4"/>
          </w:tcPr>
          <w:p>
            <w:pPr>
              <w:spacing w:after="0"/>
              <w:rPr>
                <w:sz w:val="7"/>
                <w:szCs w:val="7"/>
                <w:color w:val="auto"/>
              </w:rPr>
            </w:pPr>
          </w:p>
        </w:tc>
        <w:tc>
          <w:tcPr>
            <w:tcW w:w="100" w:type="dxa"/>
            <w:vAlign w:val="bottom"/>
            <w:shd w:val="clear" w:color="auto" w:fill="F3F3F4"/>
          </w:tcPr>
          <w:p>
            <w:pPr>
              <w:spacing w:after="0"/>
              <w:rPr>
                <w:sz w:val="7"/>
                <w:szCs w:val="7"/>
                <w:color w:val="auto"/>
              </w:rPr>
            </w:pPr>
          </w:p>
        </w:tc>
        <w:tc>
          <w:tcPr>
            <w:tcW w:w="8560" w:type="dxa"/>
            <w:vAlign w:val="bottom"/>
            <w:gridSpan w:val="3"/>
            <w:vMerge w:val="restart"/>
            <w:shd w:val="clear" w:color="auto" w:fill="F3F3F4"/>
          </w:tcPr>
          <w:p>
            <w:pPr>
              <w:spacing w:after="0"/>
              <w:rPr>
                <w:sz w:val="20"/>
                <w:szCs w:val="20"/>
                <w:color w:val="auto"/>
              </w:rPr>
            </w:pPr>
            <w:r>
              <w:rPr>
                <w:rFonts w:ascii="Arial" w:cs="Arial" w:eastAsia="Arial" w:hAnsi="Arial"/>
                <w:sz w:val="13"/>
                <w:szCs w:val="13"/>
                <w:color w:val="auto"/>
              </w:rPr>
              <w:t>the evaluation in conjunction with the full Board</w:t>
            </w:r>
          </w:p>
        </w:tc>
        <w:tc>
          <w:tcPr>
            <w:tcW w:w="0" w:type="dxa"/>
            <w:vAlign w:val="bottom"/>
          </w:tcPr>
          <w:p>
            <w:pPr>
              <w:spacing w:after="0"/>
              <w:rPr>
                <w:sz w:val="1"/>
                <w:szCs w:val="1"/>
                <w:color w:val="auto"/>
              </w:rPr>
            </w:pPr>
          </w:p>
        </w:tc>
      </w:tr>
      <w:tr>
        <w:trPr>
          <w:trHeight w:val="72"/>
        </w:trPr>
        <w:tc>
          <w:tcPr>
            <w:tcW w:w="80" w:type="dxa"/>
            <w:vAlign w:val="bottom"/>
            <w:shd w:val="clear" w:color="auto" w:fill="F3F3F4"/>
          </w:tcPr>
          <w:p>
            <w:pPr>
              <w:spacing w:after="0"/>
              <w:rPr>
                <w:sz w:val="6"/>
                <w:szCs w:val="6"/>
                <w:color w:val="auto"/>
              </w:rPr>
            </w:pPr>
          </w:p>
        </w:tc>
        <w:tc>
          <w:tcPr>
            <w:tcW w:w="2100" w:type="dxa"/>
            <w:vAlign w:val="bottom"/>
            <w:vMerge w:val="restart"/>
            <w:shd w:val="clear" w:color="auto" w:fill="F3F3F4"/>
          </w:tcPr>
          <w:p>
            <w:pPr>
              <w:spacing w:after="0"/>
              <w:rPr>
                <w:sz w:val="20"/>
                <w:szCs w:val="20"/>
                <w:color w:val="auto"/>
              </w:rPr>
            </w:pPr>
            <w:r>
              <w:rPr>
                <w:rFonts w:ascii="Arial" w:cs="Arial" w:eastAsia="Arial" w:hAnsi="Arial"/>
                <w:sz w:val="13"/>
                <w:szCs w:val="13"/>
                <w:color w:val="auto"/>
              </w:rPr>
              <w:t>● Dewar</w:t>
            </w:r>
          </w:p>
        </w:tc>
        <w:tc>
          <w:tcPr>
            <w:tcW w:w="400" w:type="dxa"/>
            <w:vAlign w:val="bottom"/>
            <w:shd w:val="clear" w:color="auto" w:fill="F3F3F4"/>
          </w:tcPr>
          <w:p>
            <w:pPr>
              <w:spacing w:after="0"/>
              <w:rPr>
                <w:sz w:val="6"/>
                <w:szCs w:val="6"/>
                <w:color w:val="auto"/>
              </w:rPr>
            </w:pPr>
          </w:p>
        </w:tc>
        <w:tc>
          <w:tcPr>
            <w:tcW w:w="100" w:type="dxa"/>
            <w:vAlign w:val="bottom"/>
            <w:shd w:val="clear" w:color="auto" w:fill="F3F3F4"/>
          </w:tcPr>
          <w:p>
            <w:pPr>
              <w:spacing w:after="0"/>
              <w:rPr>
                <w:sz w:val="6"/>
                <w:szCs w:val="6"/>
                <w:color w:val="auto"/>
              </w:rPr>
            </w:pPr>
          </w:p>
        </w:tc>
        <w:tc>
          <w:tcPr>
            <w:tcW w:w="8560" w:type="dxa"/>
            <w:vAlign w:val="bottom"/>
            <w:gridSpan w:val="3"/>
            <w:vMerge w:val="continue"/>
            <w:shd w:val="clear" w:color="auto" w:fill="F3F3F4"/>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80" w:type="dxa"/>
            <w:vAlign w:val="bottom"/>
            <w:shd w:val="clear" w:color="auto" w:fill="F3F3F4"/>
          </w:tcPr>
          <w:p>
            <w:pPr>
              <w:spacing w:after="0"/>
              <w:rPr>
                <w:sz w:val="12"/>
                <w:szCs w:val="12"/>
                <w:color w:val="auto"/>
              </w:rPr>
            </w:pPr>
          </w:p>
        </w:tc>
        <w:tc>
          <w:tcPr>
            <w:tcW w:w="2100" w:type="dxa"/>
            <w:vAlign w:val="bottom"/>
            <w:vMerge w:val="continue"/>
            <w:shd w:val="clear" w:color="auto" w:fill="F3F3F4"/>
          </w:tcPr>
          <w:p>
            <w:pPr>
              <w:spacing w:after="0"/>
              <w:rPr>
                <w:sz w:val="12"/>
                <w:szCs w:val="12"/>
                <w:color w:val="auto"/>
              </w:rPr>
            </w:pPr>
          </w:p>
        </w:tc>
        <w:tc>
          <w:tcPr>
            <w:tcW w:w="400" w:type="dxa"/>
            <w:vAlign w:val="bottom"/>
            <w:shd w:val="clear" w:color="auto" w:fill="F3F3F4"/>
          </w:tcPr>
          <w:p>
            <w:pPr>
              <w:spacing w:after="0"/>
              <w:rPr>
                <w:sz w:val="12"/>
                <w:szCs w:val="12"/>
                <w:color w:val="auto"/>
              </w:rPr>
            </w:pPr>
          </w:p>
        </w:tc>
        <w:tc>
          <w:tcPr>
            <w:tcW w:w="8660" w:type="dxa"/>
            <w:vAlign w:val="bottom"/>
            <w:gridSpan w:val="4"/>
            <w:vMerge w:val="restart"/>
            <w:shd w:val="clear" w:color="auto" w:fill="F3F3F4"/>
          </w:tcPr>
          <w:p>
            <w:pPr>
              <w:spacing w:after="0"/>
              <w:rPr>
                <w:sz w:val="20"/>
                <w:szCs w:val="20"/>
                <w:color w:val="auto"/>
              </w:rPr>
            </w:pPr>
            <w:r>
              <w:rPr>
                <w:rFonts w:ascii="Arial" w:cs="Arial" w:eastAsia="Arial" w:hAnsi="Arial"/>
                <w:sz w:val="13"/>
                <w:szCs w:val="13"/>
                <w:color w:val="auto"/>
              </w:rPr>
              <w:t>● Approves and evaluates the compensation plans for senior management</w:t>
            </w:r>
          </w:p>
        </w:tc>
        <w:tc>
          <w:tcPr>
            <w:tcW w:w="0" w:type="dxa"/>
            <w:vAlign w:val="bottom"/>
          </w:tcPr>
          <w:p>
            <w:pPr>
              <w:spacing w:after="0"/>
              <w:rPr>
                <w:sz w:val="1"/>
                <w:szCs w:val="1"/>
                <w:color w:val="auto"/>
              </w:rPr>
            </w:pPr>
          </w:p>
        </w:tc>
      </w:tr>
      <w:tr>
        <w:trPr>
          <w:trHeight w:val="88"/>
        </w:trPr>
        <w:tc>
          <w:tcPr>
            <w:tcW w:w="80" w:type="dxa"/>
            <w:vAlign w:val="bottom"/>
            <w:shd w:val="clear" w:color="auto" w:fill="F3F3F4"/>
          </w:tcPr>
          <w:p>
            <w:pPr>
              <w:spacing w:after="0"/>
              <w:rPr>
                <w:sz w:val="7"/>
                <w:szCs w:val="7"/>
                <w:color w:val="auto"/>
              </w:rPr>
            </w:pPr>
          </w:p>
        </w:tc>
        <w:tc>
          <w:tcPr>
            <w:tcW w:w="2100" w:type="dxa"/>
            <w:vAlign w:val="bottom"/>
            <w:vMerge w:val="restart"/>
            <w:shd w:val="clear" w:color="auto" w:fill="F3F3F4"/>
          </w:tcPr>
          <w:p>
            <w:pPr>
              <w:spacing w:after="0"/>
              <w:rPr>
                <w:sz w:val="20"/>
                <w:szCs w:val="20"/>
                <w:color w:val="auto"/>
              </w:rPr>
            </w:pPr>
            <w:r>
              <w:rPr>
                <w:rFonts w:ascii="Arial" w:cs="Arial" w:eastAsia="Arial" w:hAnsi="Arial"/>
                <w:sz w:val="13"/>
                <w:szCs w:val="13"/>
                <w:color w:val="auto"/>
              </w:rPr>
              <w:t>● Phillippy</w:t>
            </w:r>
          </w:p>
        </w:tc>
        <w:tc>
          <w:tcPr>
            <w:tcW w:w="400" w:type="dxa"/>
            <w:vAlign w:val="bottom"/>
            <w:shd w:val="clear" w:color="auto" w:fill="F3F3F4"/>
          </w:tcPr>
          <w:p>
            <w:pPr>
              <w:spacing w:after="0"/>
              <w:rPr>
                <w:sz w:val="7"/>
                <w:szCs w:val="7"/>
                <w:color w:val="auto"/>
              </w:rPr>
            </w:pPr>
          </w:p>
        </w:tc>
        <w:tc>
          <w:tcPr>
            <w:tcW w:w="8660" w:type="dxa"/>
            <w:vAlign w:val="bottom"/>
            <w:gridSpan w:val="4"/>
            <w:vMerge w:val="continue"/>
            <w:shd w:val="clear" w:color="auto" w:fill="F3F3F4"/>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shd w:val="clear" w:color="auto" w:fill="F3F3F4"/>
          </w:tcPr>
          <w:p>
            <w:pPr>
              <w:spacing w:after="0"/>
              <w:rPr>
                <w:sz w:val="10"/>
                <w:szCs w:val="10"/>
                <w:color w:val="auto"/>
              </w:rPr>
            </w:pPr>
          </w:p>
        </w:tc>
        <w:tc>
          <w:tcPr>
            <w:tcW w:w="2100" w:type="dxa"/>
            <w:vAlign w:val="bottom"/>
            <w:vMerge w:val="continue"/>
            <w:shd w:val="clear" w:color="auto" w:fill="F3F3F4"/>
          </w:tcPr>
          <w:p>
            <w:pPr>
              <w:spacing w:after="0"/>
              <w:rPr>
                <w:sz w:val="10"/>
                <w:szCs w:val="10"/>
                <w:color w:val="auto"/>
              </w:rPr>
            </w:pPr>
          </w:p>
        </w:tc>
        <w:tc>
          <w:tcPr>
            <w:tcW w:w="400" w:type="dxa"/>
            <w:vAlign w:val="bottom"/>
            <w:shd w:val="clear" w:color="auto" w:fill="F3F3F4"/>
          </w:tcPr>
          <w:p>
            <w:pPr>
              <w:spacing w:after="0"/>
              <w:rPr>
                <w:sz w:val="10"/>
                <w:szCs w:val="10"/>
                <w:color w:val="auto"/>
              </w:rPr>
            </w:pPr>
          </w:p>
        </w:tc>
        <w:tc>
          <w:tcPr>
            <w:tcW w:w="100" w:type="dxa"/>
            <w:vAlign w:val="bottom"/>
            <w:vMerge w:val="restart"/>
            <w:shd w:val="clear" w:color="auto" w:fill="F3F3F4"/>
          </w:tcPr>
          <w:p>
            <w:pPr>
              <w:spacing w:after="0"/>
              <w:rPr>
                <w:sz w:val="20"/>
                <w:szCs w:val="20"/>
                <w:color w:val="auto"/>
              </w:rPr>
            </w:pPr>
            <w:r>
              <w:rPr>
                <w:rFonts w:ascii="Arial" w:cs="Arial" w:eastAsia="Arial" w:hAnsi="Arial"/>
                <w:sz w:val="13"/>
                <w:szCs w:val="13"/>
                <w:color w:val="auto"/>
              </w:rPr>
              <w:t>●</w:t>
            </w:r>
          </w:p>
        </w:tc>
        <w:tc>
          <w:tcPr>
            <w:tcW w:w="8560" w:type="dxa"/>
            <w:vAlign w:val="bottom"/>
            <w:gridSpan w:val="3"/>
            <w:vMerge w:val="restart"/>
            <w:shd w:val="clear" w:color="auto" w:fill="F3F3F4"/>
          </w:tcPr>
          <w:p>
            <w:pPr>
              <w:ind w:left="20"/>
              <w:spacing w:after="0"/>
              <w:rPr>
                <w:sz w:val="20"/>
                <w:szCs w:val="20"/>
                <w:color w:val="auto"/>
              </w:rPr>
            </w:pPr>
            <w:r>
              <w:rPr>
                <w:rFonts w:ascii="Arial" w:cs="Arial" w:eastAsia="Arial" w:hAnsi="Arial"/>
                <w:sz w:val="13"/>
                <w:szCs w:val="13"/>
                <w:color w:val="auto"/>
              </w:rPr>
              <w:t>Reviews, approves and evaluates incentive compensation plans, equity-based plans and other compensation plans, to ensure that they provide</w:t>
            </w:r>
          </w:p>
        </w:tc>
        <w:tc>
          <w:tcPr>
            <w:tcW w:w="0" w:type="dxa"/>
            <w:vAlign w:val="bottom"/>
          </w:tcPr>
          <w:p>
            <w:pPr>
              <w:spacing w:after="0"/>
              <w:rPr>
                <w:sz w:val="1"/>
                <w:szCs w:val="1"/>
                <w:color w:val="auto"/>
              </w:rPr>
            </w:pPr>
          </w:p>
        </w:tc>
      </w:tr>
      <w:tr>
        <w:trPr>
          <w:trHeight w:val="64"/>
        </w:trPr>
        <w:tc>
          <w:tcPr>
            <w:tcW w:w="80" w:type="dxa"/>
            <w:vAlign w:val="bottom"/>
            <w:shd w:val="clear" w:color="auto" w:fill="F3F3F4"/>
          </w:tcPr>
          <w:p>
            <w:pPr>
              <w:spacing w:after="0"/>
              <w:rPr>
                <w:sz w:val="5"/>
                <w:szCs w:val="5"/>
                <w:color w:val="auto"/>
              </w:rPr>
            </w:pPr>
          </w:p>
        </w:tc>
        <w:tc>
          <w:tcPr>
            <w:tcW w:w="2100" w:type="dxa"/>
            <w:vAlign w:val="bottom"/>
            <w:vMerge w:val="restart"/>
            <w:shd w:val="clear" w:color="auto" w:fill="F3F3F4"/>
          </w:tcPr>
          <w:p>
            <w:pPr>
              <w:spacing w:after="0"/>
              <w:rPr>
                <w:sz w:val="20"/>
                <w:szCs w:val="20"/>
                <w:color w:val="auto"/>
              </w:rPr>
            </w:pPr>
            <w:r>
              <w:rPr>
                <w:rFonts w:ascii="Arial" w:cs="Arial" w:eastAsia="Arial" w:hAnsi="Arial"/>
                <w:sz w:val="13"/>
                <w:szCs w:val="13"/>
                <w:color w:val="auto"/>
              </w:rPr>
              <w:t>● Valdez</w:t>
            </w:r>
          </w:p>
        </w:tc>
        <w:tc>
          <w:tcPr>
            <w:tcW w:w="400" w:type="dxa"/>
            <w:vAlign w:val="bottom"/>
            <w:shd w:val="clear" w:color="auto" w:fill="F3F3F4"/>
          </w:tcPr>
          <w:p>
            <w:pPr>
              <w:spacing w:after="0"/>
              <w:rPr>
                <w:sz w:val="5"/>
                <w:szCs w:val="5"/>
                <w:color w:val="auto"/>
              </w:rPr>
            </w:pPr>
          </w:p>
        </w:tc>
        <w:tc>
          <w:tcPr>
            <w:tcW w:w="100" w:type="dxa"/>
            <w:vAlign w:val="bottom"/>
            <w:vMerge w:val="continue"/>
            <w:shd w:val="clear" w:color="auto" w:fill="F3F3F4"/>
          </w:tcPr>
          <w:p>
            <w:pPr>
              <w:spacing w:after="0"/>
              <w:rPr>
                <w:sz w:val="5"/>
                <w:szCs w:val="5"/>
                <w:color w:val="auto"/>
              </w:rPr>
            </w:pPr>
          </w:p>
        </w:tc>
        <w:tc>
          <w:tcPr>
            <w:tcW w:w="8560" w:type="dxa"/>
            <w:vAlign w:val="bottom"/>
            <w:gridSpan w:val="3"/>
            <w:vMerge w:val="continue"/>
            <w:shd w:val="clear" w:color="auto" w:fill="F3F3F4"/>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80" w:type="dxa"/>
            <w:vAlign w:val="bottom"/>
            <w:shd w:val="clear" w:color="auto" w:fill="F3F3F4"/>
          </w:tcPr>
          <w:p>
            <w:pPr>
              <w:spacing w:after="0"/>
              <w:rPr>
                <w:sz w:val="13"/>
                <w:szCs w:val="13"/>
                <w:color w:val="auto"/>
              </w:rPr>
            </w:pPr>
          </w:p>
        </w:tc>
        <w:tc>
          <w:tcPr>
            <w:tcW w:w="2100" w:type="dxa"/>
            <w:vAlign w:val="bottom"/>
            <w:vMerge w:val="continue"/>
            <w:shd w:val="clear" w:color="auto" w:fill="F3F3F4"/>
          </w:tcPr>
          <w:p>
            <w:pPr>
              <w:spacing w:after="0"/>
              <w:rPr>
                <w:sz w:val="13"/>
                <w:szCs w:val="13"/>
                <w:color w:val="auto"/>
              </w:rPr>
            </w:pPr>
          </w:p>
        </w:tc>
        <w:tc>
          <w:tcPr>
            <w:tcW w:w="400" w:type="dxa"/>
            <w:vAlign w:val="bottom"/>
            <w:shd w:val="clear" w:color="auto" w:fill="F3F3F4"/>
          </w:tcPr>
          <w:p>
            <w:pPr>
              <w:spacing w:after="0"/>
              <w:rPr>
                <w:sz w:val="13"/>
                <w:szCs w:val="13"/>
                <w:color w:val="auto"/>
              </w:rPr>
            </w:pPr>
          </w:p>
        </w:tc>
        <w:tc>
          <w:tcPr>
            <w:tcW w:w="100" w:type="dxa"/>
            <w:vAlign w:val="bottom"/>
            <w:shd w:val="clear" w:color="auto" w:fill="F3F3F4"/>
          </w:tcPr>
          <w:p>
            <w:pPr>
              <w:spacing w:after="0"/>
              <w:rPr>
                <w:sz w:val="13"/>
                <w:szCs w:val="13"/>
                <w:color w:val="auto"/>
              </w:rPr>
            </w:pPr>
          </w:p>
        </w:tc>
        <w:tc>
          <w:tcPr>
            <w:tcW w:w="8560" w:type="dxa"/>
            <w:vAlign w:val="bottom"/>
            <w:gridSpan w:val="3"/>
            <w:shd w:val="clear" w:color="auto" w:fill="F3F3F4"/>
          </w:tcPr>
          <w:p>
            <w:pPr>
              <w:spacing w:after="0"/>
              <w:rPr>
                <w:sz w:val="20"/>
                <w:szCs w:val="20"/>
                <w:color w:val="auto"/>
              </w:rPr>
            </w:pPr>
            <w:r>
              <w:rPr>
                <w:rFonts w:ascii="Arial" w:cs="Arial" w:eastAsia="Arial" w:hAnsi="Arial"/>
                <w:sz w:val="13"/>
                <w:szCs w:val="13"/>
                <w:color w:val="auto"/>
              </w:rPr>
              <w:t>compensation and incentives consistent with the strategy of the Company and competitive practice</w:t>
            </w:r>
          </w:p>
        </w:tc>
        <w:tc>
          <w:tcPr>
            <w:tcW w:w="0" w:type="dxa"/>
            <w:vAlign w:val="bottom"/>
          </w:tcPr>
          <w:p>
            <w:pPr>
              <w:spacing w:after="0"/>
              <w:rPr>
                <w:sz w:val="1"/>
                <w:szCs w:val="1"/>
                <w:color w:val="auto"/>
              </w:rPr>
            </w:pPr>
          </w:p>
        </w:tc>
      </w:tr>
      <w:tr>
        <w:trPr>
          <w:trHeight w:val="215"/>
        </w:trPr>
        <w:tc>
          <w:tcPr>
            <w:tcW w:w="80" w:type="dxa"/>
            <w:vAlign w:val="bottom"/>
            <w:shd w:val="clear" w:color="auto" w:fill="F3F3F4"/>
          </w:tcPr>
          <w:p>
            <w:pPr>
              <w:spacing w:after="0"/>
              <w:rPr>
                <w:sz w:val="18"/>
                <w:szCs w:val="18"/>
                <w:color w:val="auto"/>
              </w:rPr>
            </w:pPr>
          </w:p>
        </w:tc>
        <w:tc>
          <w:tcPr>
            <w:tcW w:w="2100" w:type="dxa"/>
            <w:vAlign w:val="bottom"/>
            <w:shd w:val="clear" w:color="auto" w:fill="F3F3F4"/>
          </w:tcPr>
          <w:p>
            <w:pPr>
              <w:spacing w:after="0"/>
              <w:rPr>
                <w:sz w:val="20"/>
                <w:szCs w:val="20"/>
                <w:color w:val="auto"/>
              </w:rPr>
            </w:pPr>
            <w:r>
              <w:rPr>
                <w:rFonts w:ascii="Arial" w:cs="Arial" w:eastAsia="Arial" w:hAnsi="Arial"/>
                <w:sz w:val="13"/>
                <w:szCs w:val="13"/>
                <w:color w:val="auto"/>
              </w:rPr>
              <w:t>Four meetings in fiscal 2024</w:t>
            </w:r>
          </w:p>
        </w:tc>
        <w:tc>
          <w:tcPr>
            <w:tcW w:w="400" w:type="dxa"/>
            <w:vAlign w:val="bottom"/>
            <w:shd w:val="clear" w:color="auto" w:fill="F3F3F4"/>
          </w:tcPr>
          <w:p>
            <w:pPr>
              <w:spacing w:after="0"/>
              <w:rPr>
                <w:sz w:val="18"/>
                <w:szCs w:val="18"/>
                <w:color w:val="auto"/>
              </w:rPr>
            </w:pPr>
          </w:p>
        </w:tc>
        <w:tc>
          <w:tcPr>
            <w:tcW w:w="100" w:type="dxa"/>
            <w:vAlign w:val="bottom"/>
            <w:shd w:val="clear" w:color="auto" w:fill="F3F3F4"/>
          </w:tcPr>
          <w:p>
            <w:pPr>
              <w:spacing w:after="0"/>
              <w:rPr>
                <w:sz w:val="20"/>
                <w:szCs w:val="20"/>
                <w:color w:val="auto"/>
              </w:rPr>
            </w:pPr>
            <w:r>
              <w:rPr>
                <w:rFonts w:ascii="Arial" w:cs="Arial" w:eastAsia="Arial" w:hAnsi="Arial"/>
                <w:sz w:val="13"/>
                <w:szCs w:val="13"/>
                <w:color w:val="auto"/>
              </w:rPr>
              <w:t>●</w:t>
            </w:r>
          </w:p>
        </w:tc>
        <w:tc>
          <w:tcPr>
            <w:tcW w:w="8560" w:type="dxa"/>
            <w:vAlign w:val="bottom"/>
            <w:gridSpan w:val="3"/>
            <w:shd w:val="clear" w:color="auto" w:fill="F3F3F4"/>
          </w:tcPr>
          <w:p>
            <w:pPr>
              <w:ind w:left="20"/>
              <w:spacing w:after="0"/>
              <w:rPr>
                <w:sz w:val="20"/>
                <w:szCs w:val="20"/>
                <w:color w:val="auto"/>
              </w:rPr>
            </w:pPr>
            <w:r>
              <w:rPr>
                <w:rFonts w:ascii="Arial" w:cs="Arial" w:eastAsia="Arial" w:hAnsi="Arial"/>
                <w:sz w:val="13"/>
                <w:szCs w:val="13"/>
                <w:color w:val="auto"/>
              </w:rPr>
              <w:t>Reviews and approves the compensation of the Company’s non-management directors in conjunction with the full Board</w:t>
            </w:r>
          </w:p>
        </w:tc>
        <w:tc>
          <w:tcPr>
            <w:tcW w:w="0" w:type="dxa"/>
            <w:vAlign w:val="bottom"/>
          </w:tcPr>
          <w:p>
            <w:pPr>
              <w:spacing w:after="0"/>
              <w:rPr>
                <w:sz w:val="1"/>
                <w:szCs w:val="1"/>
                <w:color w:val="auto"/>
              </w:rPr>
            </w:pPr>
          </w:p>
        </w:tc>
      </w:tr>
      <w:tr>
        <w:trPr>
          <w:trHeight w:val="215"/>
        </w:trPr>
        <w:tc>
          <w:tcPr>
            <w:tcW w:w="80" w:type="dxa"/>
            <w:vAlign w:val="bottom"/>
            <w:shd w:val="clear" w:color="auto" w:fill="F3F3F4"/>
          </w:tcPr>
          <w:p>
            <w:pPr>
              <w:spacing w:after="0"/>
              <w:rPr>
                <w:sz w:val="18"/>
                <w:szCs w:val="18"/>
                <w:color w:val="auto"/>
              </w:rPr>
            </w:pPr>
          </w:p>
        </w:tc>
        <w:tc>
          <w:tcPr>
            <w:tcW w:w="2100" w:type="dxa"/>
            <w:vAlign w:val="bottom"/>
            <w:shd w:val="clear" w:color="auto" w:fill="F3F3F4"/>
          </w:tcPr>
          <w:p>
            <w:pPr>
              <w:spacing w:after="0"/>
              <w:rPr>
                <w:sz w:val="18"/>
                <w:szCs w:val="18"/>
                <w:color w:val="auto"/>
              </w:rPr>
            </w:pPr>
          </w:p>
        </w:tc>
        <w:tc>
          <w:tcPr>
            <w:tcW w:w="500" w:type="dxa"/>
            <w:vAlign w:val="bottom"/>
            <w:gridSpan w:val="2"/>
            <w:shd w:val="clear" w:color="auto" w:fill="F3F3F4"/>
          </w:tcPr>
          <w:p>
            <w:pPr>
              <w:ind w:left="400"/>
              <w:spacing w:after="0"/>
              <w:rPr>
                <w:sz w:val="20"/>
                <w:szCs w:val="20"/>
                <w:color w:val="auto"/>
              </w:rPr>
            </w:pPr>
            <w:r>
              <w:rPr>
                <w:rFonts w:ascii="Arial" w:cs="Arial" w:eastAsia="Arial" w:hAnsi="Arial"/>
                <w:sz w:val="13"/>
                <w:szCs w:val="13"/>
                <w:color w:val="auto"/>
              </w:rPr>
              <w:t>●</w:t>
            </w:r>
          </w:p>
        </w:tc>
        <w:tc>
          <w:tcPr>
            <w:tcW w:w="8560" w:type="dxa"/>
            <w:vAlign w:val="bottom"/>
            <w:gridSpan w:val="3"/>
            <w:shd w:val="clear" w:color="auto" w:fill="F3F3F4"/>
          </w:tcPr>
          <w:p>
            <w:pPr>
              <w:ind w:left="20"/>
              <w:spacing w:after="0"/>
              <w:rPr>
                <w:sz w:val="20"/>
                <w:szCs w:val="20"/>
                <w:color w:val="auto"/>
              </w:rPr>
            </w:pPr>
            <w:r>
              <w:rPr>
                <w:rFonts w:ascii="Arial" w:cs="Arial" w:eastAsia="Arial" w:hAnsi="Arial"/>
                <w:sz w:val="13"/>
                <w:szCs w:val="13"/>
                <w:color w:val="auto"/>
              </w:rPr>
              <w:t>Reviews, approves and evaluates material benefit programs, including new programs and material changes to existing programs</w:t>
            </w:r>
          </w:p>
        </w:tc>
        <w:tc>
          <w:tcPr>
            <w:tcW w:w="0" w:type="dxa"/>
            <w:vAlign w:val="bottom"/>
          </w:tcPr>
          <w:p>
            <w:pPr>
              <w:spacing w:after="0"/>
              <w:rPr>
                <w:sz w:val="1"/>
                <w:szCs w:val="1"/>
                <w:color w:val="auto"/>
              </w:rPr>
            </w:pPr>
          </w:p>
        </w:tc>
      </w:tr>
      <w:tr>
        <w:trPr>
          <w:trHeight w:val="215"/>
        </w:trPr>
        <w:tc>
          <w:tcPr>
            <w:tcW w:w="80" w:type="dxa"/>
            <w:vAlign w:val="bottom"/>
            <w:shd w:val="clear" w:color="auto" w:fill="F3F3F4"/>
          </w:tcPr>
          <w:p>
            <w:pPr>
              <w:spacing w:after="0"/>
              <w:rPr>
                <w:sz w:val="18"/>
                <w:szCs w:val="18"/>
                <w:color w:val="auto"/>
              </w:rPr>
            </w:pPr>
          </w:p>
        </w:tc>
        <w:tc>
          <w:tcPr>
            <w:tcW w:w="2100" w:type="dxa"/>
            <w:vAlign w:val="bottom"/>
            <w:shd w:val="clear" w:color="auto" w:fill="F3F3F4"/>
          </w:tcPr>
          <w:p>
            <w:pPr>
              <w:spacing w:after="0"/>
              <w:rPr>
                <w:sz w:val="18"/>
                <w:szCs w:val="18"/>
                <w:color w:val="auto"/>
              </w:rPr>
            </w:pPr>
          </w:p>
        </w:tc>
        <w:tc>
          <w:tcPr>
            <w:tcW w:w="500" w:type="dxa"/>
            <w:vAlign w:val="bottom"/>
            <w:gridSpan w:val="2"/>
            <w:shd w:val="clear" w:color="auto" w:fill="F3F3F4"/>
          </w:tcPr>
          <w:p>
            <w:pPr>
              <w:ind w:left="400"/>
              <w:spacing w:after="0"/>
              <w:rPr>
                <w:sz w:val="20"/>
                <w:szCs w:val="20"/>
                <w:color w:val="auto"/>
              </w:rPr>
            </w:pPr>
            <w:r>
              <w:rPr>
                <w:rFonts w:ascii="Arial" w:cs="Arial" w:eastAsia="Arial" w:hAnsi="Arial"/>
                <w:sz w:val="13"/>
                <w:szCs w:val="13"/>
                <w:color w:val="auto"/>
              </w:rPr>
              <w:t>●</w:t>
            </w:r>
          </w:p>
        </w:tc>
        <w:tc>
          <w:tcPr>
            <w:tcW w:w="8560" w:type="dxa"/>
            <w:vAlign w:val="bottom"/>
            <w:gridSpan w:val="3"/>
            <w:shd w:val="clear" w:color="auto" w:fill="F3F3F4"/>
          </w:tcPr>
          <w:p>
            <w:pPr>
              <w:ind w:left="20"/>
              <w:spacing w:after="0"/>
              <w:rPr>
                <w:sz w:val="20"/>
                <w:szCs w:val="20"/>
                <w:color w:val="auto"/>
              </w:rPr>
            </w:pPr>
            <w:r>
              <w:rPr>
                <w:rFonts w:ascii="Arial" w:cs="Arial" w:eastAsia="Arial" w:hAnsi="Arial"/>
                <w:sz w:val="13"/>
                <w:szCs w:val="13"/>
                <w:color w:val="auto"/>
              </w:rPr>
              <w:t>Reviews the performance and development of, and succession planning for, Company senior management</w:t>
            </w:r>
          </w:p>
        </w:tc>
        <w:tc>
          <w:tcPr>
            <w:tcW w:w="0" w:type="dxa"/>
            <w:vAlign w:val="bottom"/>
          </w:tcPr>
          <w:p>
            <w:pPr>
              <w:spacing w:after="0"/>
              <w:rPr>
                <w:sz w:val="1"/>
                <w:szCs w:val="1"/>
                <w:color w:val="auto"/>
              </w:rPr>
            </w:pPr>
          </w:p>
        </w:tc>
      </w:tr>
      <w:tr>
        <w:trPr>
          <w:trHeight w:val="231"/>
        </w:trPr>
        <w:tc>
          <w:tcPr>
            <w:tcW w:w="80" w:type="dxa"/>
            <w:vAlign w:val="bottom"/>
            <w:shd w:val="clear" w:color="auto" w:fill="F3F3F4"/>
          </w:tcPr>
          <w:p>
            <w:pPr>
              <w:spacing w:after="0"/>
              <w:rPr>
                <w:sz w:val="20"/>
                <w:szCs w:val="20"/>
                <w:color w:val="auto"/>
              </w:rPr>
            </w:pPr>
          </w:p>
        </w:tc>
        <w:tc>
          <w:tcPr>
            <w:tcW w:w="2100" w:type="dxa"/>
            <w:vAlign w:val="bottom"/>
            <w:shd w:val="clear" w:color="auto" w:fill="F3F3F4"/>
          </w:tcPr>
          <w:p>
            <w:pPr>
              <w:spacing w:after="0"/>
              <w:rPr>
                <w:sz w:val="20"/>
                <w:szCs w:val="20"/>
                <w:color w:val="auto"/>
              </w:rPr>
            </w:pPr>
          </w:p>
        </w:tc>
        <w:tc>
          <w:tcPr>
            <w:tcW w:w="400" w:type="dxa"/>
            <w:vAlign w:val="bottom"/>
            <w:shd w:val="clear" w:color="auto" w:fill="F3F3F4"/>
          </w:tcPr>
          <w:p>
            <w:pPr>
              <w:spacing w:after="0"/>
              <w:rPr>
                <w:sz w:val="20"/>
                <w:szCs w:val="20"/>
                <w:color w:val="auto"/>
              </w:rPr>
            </w:pPr>
          </w:p>
        </w:tc>
        <w:tc>
          <w:tcPr>
            <w:tcW w:w="8660" w:type="dxa"/>
            <w:vAlign w:val="bottom"/>
            <w:gridSpan w:val="4"/>
            <w:shd w:val="clear" w:color="auto" w:fill="F3F3F4"/>
          </w:tcPr>
          <w:p>
            <w:pPr>
              <w:spacing w:after="0"/>
              <w:rPr>
                <w:sz w:val="20"/>
                <w:szCs w:val="20"/>
                <w:color w:val="auto"/>
              </w:rPr>
            </w:pPr>
            <w:r>
              <w:rPr>
                <w:rFonts w:ascii="Arial" w:cs="Arial" w:eastAsia="Arial" w:hAnsi="Arial"/>
                <w:sz w:val="13"/>
                <w:szCs w:val="13"/>
                <w:color w:val="auto"/>
              </w:rPr>
              <w:t>● Oversees the Company’s Charitable Contributions Program</w:t>
            </w:r>
          </w:p>
        </w:tc>
        <w:tc>
          <w:tcPr>
            <w:tcW w:w="0" w:type="dxa"/>
            <w:vAlign w:val="bottom"/>
          </w:tcPr>
          <w:p>
            <w:pPr>
              <w:spacing w:after="0"/>
              <w:rPr>
                <w:sz w:val="1"/>
                <w:szCs w:val="1"/>
                <w:color w:val="auto"/>
              </w:rPr>
            </w:pPr>
          </w:p>
        </w:tc>
      </w:tr>
      <w:tr>
        <w:trPr>
          <w:trHeight w:val="190"/>
        </w:trPr>
        <w:tc>
          <w:tcPr>
            <w:tcW w:w="80" w:type="dxa"/>
            <w:vAlign w:val="bottom"/>
            <w:shd w:val="clear" w:color="auto" w:fill="F3F3F4"/>
          </w:tcPr>
          <w:p>
            <w:pPr>
              <w:spacing w:after="0"/>
              <w:rPr>
                <w:sz w:val="16"/>
                <w:szCs w:val="16"/>
                <w:color w:val="auto"/>
              </w:rPr>
            </w:pPr>
          </w:p>
        </w:tc>
        <w:tc>
          <w:tcPr>
            <w:tcW w:w="2100" w:type="dxa"/>
            <w:vAlign w:val="bottom"/>
            <w:shd w:val="clear" w:color="auto" w:fill="F3F3F4"/>
          </w:tcPr>
          <w:p>
            <w:pPr>
              <w:spacing w:after="0"/>
              <w:rPr>
                <w:sz w:val="16"/>
                <w:szCs w:val="16"/>
                <w:color w:val="auto"/>
              </w:rPr>
            </w:pPr>
          </w:p>
        </w:tc>
        <w:tc>
          <w:tcPr>
            <w:tcW w:w="400" w:type="dxa"/>
            <w:vAlign w:val="bottom"/>
            <w:shd w:val="clear" w:color="auto" w:fill="F3F3F4"/>
          </w:tcPr>
          <w:p>
            <w:pPr>
              <w:spacing w:after="0"/>
              <w:rPr>
                <w:sz w:val="16"/>
                <w:szCs w:val="16"/>
                <w:color w:val="auto"/>
              </w:rPr>
            </w:pPr>
          </w:p>
        </w:tc>
        <w:tc>
          <w:tcPr>
            <w:tcW w:w="100" w:type="dxa"/>
            <w:vAlign w:val="bottom"/>
            <w:shd w:val="clear" w:color="auto" w:fill="F3F3F4"/>
          </w:tcPr>
          <w:p>
            <w:pPr>
              <w:spacing w:after="0"/>
              <w:rPr>
                <w:sz w:val="20"/>
                <w:szCs w:val="20"/>
                <w:color w:val="auto"/>
              </w:rPr>
            </w:pPr>
            <w:r>
              <w:rPr>
                <w:rFonts w:ascii="Arial" w:cs="Arial" w:eastAsia="Arial" w:hAnsi="Arial"/>
                <w:sz w:val="13"/>
                <w:szCs w:val="13"/>
                <w:color w:val="auto"/>
              </w:rPr>
              <w:t>●</w:t>
            </w:r>
          </w:p>
        </w:tc>
        <w:tc>
          <w:tcPr>
            <w:tcW w:w="8560" w:type="dxa"/>
            <w:vAlign w:val="bottom"/>
            <w:gridSpan w:val="3"/>
            <w:shd w:val="clear" w:color="auto" w:fill="F3F3F4"/>
          </w:tcPr>
          <w:p>
            <w:pPr>
              <w:ind w:left="20"/>
              <w:spacing w:after="0"/>
              <w:rPr>
                <w:sz w:val="20"/>
                <w:szCs w:val="20"/>
                <w:color w:val="auto"/>
              </w:rPr>
            </w:pPr>
            <w:r>
              <w:rPr>
                <w:rFonts w:ascii="Arial" w:cs="Arial" w:eastAsia="Arial" w:hAnsi="Arial"/>
                <w:sz w:val="13"/>
                <w:szCs w:val="13"/>
                <w:color w:val="auto"/>
              </w:rPr>
              <w:t>Reviews and discusses with management the Company’s annual Compensation Discussion and Analysis, and recommends its inclusion in the</w:t>
            </w:r>
          </w:p>
        </w:tc>
        <w:tc>
          <w:tcPr>
            <w:tcW w:w="0" w:type="dxa"/>
            <w:vAlign w:val="bottom"/>
          </w:tcPr>
          <w:p>
            <w:pPr>
              <w:spacing w:after="0"/>
              <w:rPr>
                <w:sz w:val="1"/>
                <w:szCs w:val="1"/>
                <w:color w:val="auto"/>
              </w:rPr>
            </w:pPr>
          </w:p>
        </w:tc>
      </w:tr>
      <w:tr>
        <w:trPr>
          <w:trHeight w:val="186"/>
        </w:trPr>
        <w:tc>
          <w:tcPr>
            <w:tcW w:w="80" w:type="dxa"/>
            <w:vAlign w:val="bottom"/>
            <w:tcBorders>
              <w:bottom w:val="single" w:sz="8" w:color="auto"/>
            </w:tcBorders>
            <w:shd w:val="clear" w:color="auto" w:fill="F3F3F4"/>
          </w:tcPr>
          <w:p>
            <w:pPr>
              <w:spacing w:after="0"/>
              <w:rPr>
                <w:sz w:val="16"/>
                <w:szCs w:val="16"/>
                <w:color w:val="auto"/>
              </w:rPr>
            </w:pPr>
          </w:p>
        </w:tc>
        <w:tc>
          <w:tcPr>
            <w:tcW w:w="2100" w:type="dxa"/>
            <w:vAlign w:val="bottom"/>
            <w:tcBorders>
              <w:bottom w:val="single" w:sz="8" w:color="auto"/>
            </w:tcBorders>
            <w:shd w:val="clear" w:color="auto" w:fill="F3F3F4"/>
          </w:tcPr>
          <w:p>
            <w:pPr>
              <w:spacing w:after="0"/>
              <w:rPr>
                <w:sz w:val="16"/>
                <w:szCs w:val="16"/>
                <w:color w:val="auto"/>
              </w:rPr>
            </w:pPr>
          </w:p>
        </w:tc>
        <w:tc>
          <w:tcPr>
            <w:tcW w:w="400" w:type="dxa"/>
            <w:vAlign w:val="bottom"/>
            <w:tcBorders>
              <w:bottom w:val="single" w:sz="8" w:color="auto"/>
            </w:tcBorders>
            <w:shd w:val="clear" w:color="auto" w:fill="F3F3F4"/>
          </w:tcPr>
          <w:p>
            <w:pPr>
              <w:spacing w:after="0"/>
              <w:rPr>
                <w:sz w:val="16"/>
                <w:szCs w:val="16"/>
                <w:color w:val="auto"/>
              </w:rPr>
            </w:pPr>
          </w:p>
        </w:tc>
        <w:tc>
          <w:tcPr>
            <w:tcW w:w="100" w:type="dxa"/>
            <w:vAlign w:val="bottom"/>
            <w:tcBorders>
              <w:bottom w:val="single" w:sz="8" w:color="auto"/>
            </w:tcBorders>
            <w:shd w:val="clear" w:color="auto" w:fill="F3F3F4"/>
          </w:tcPr>
          <w:p>
            <w:pPr>
              <w:spacing w:after="0"/>
              <w:rPr>
                <w:sz w:val="16"/>
                <w:szCs w:val="16"/>
                <w:color w:val="auto"/>
              </w:rPr>
            </w:pPr>
          </w:p>
        </w:tc>
        <w:tc>
          <w:tcPr>
            <w:tcW w:w="8560" w:type="dxa"/>
            <w:vAlign w:val="bottom"/>
            <w:tcBorders>
              <w:bottom w:val="single" w:sz="8" w:color="auto"/>
            </w:tcBorders>
            <w:gridSpan w:val="3"/>
            <w:shd w:val="clear" w:color="auto" w:fill="F3F3F4"/>
          </w:tcPr>
          <w:p>
            <w:pPr>
              <w:spacing w:after="0" w:line="147" w:lineRule="exact"/>
              <w:rPr>
                <w:sz w:val="20"/>
                <w:szCs w:val="20"/>
                <w:color w:val="auto"/>
              </w:rPr>
            </w:pPr>
            <w:r>
              <w:rPr>
                <w:rFonts w:ascii="Arial" w:cs="Arial" w:eastAsia="Arial" w:hAnsi="Arial"/>
                <w:sz w:val="13"/>
                <w:szCs w:val="13"/>
                <w:color w:val="auto"/>
              </w:rPr>
              <w:t xml:space="preserve">Company’s annual proxy statement and the Company’s Form 10-K filed with the SEC (see </w:t>
            </w:r>
            <w:r>
              <w:rPr>
                <w:rFonts w:ascii="Arial" w:cs="Arial" w:eastAsia="Arial" w:hAnsi="Arial"/>
                <w:sz w:val="13"/>
                <w:szCs w:val="13"/>
                <w:b w:val="1"/>
                <w:bCs w:val="1"/>
                <w:i w:val="1"/>
                <w:iCs w:val="1"/>
                <w:color w:val="auto"/>
              </w:rPr>
              <w:t>Compensation Committee Report</w:t>
            </w:r>
            <w:r>
              <w:rPr>
                <w:rFonts w:ascii="Arial" w:cs="Arial" w:eastAsia="Arial" w:hAnsi="Arial"/>
                <w:sz w:val="13"/>
                <w:szCs w:val="13"/>
                <w:color w:val="auto"/>
              </w:rPr>
              <w:t xml:space="preserve"> on page 24)</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During fiscal 2024, none of the members of the Compensation Committee (i) was an officer or employee of the Company; (ii) was formerly an officer of the Company; or</w:t>
      </w:r>
    </w:p>
    <w:p>
      <w:pPr>
        <w:spacing w:after="0" w:line="18" w:lineRule="exact"/>
        <w:rPr>
          <w:sz w:val="20"/>
          <w:szCs w:val="20"/>
          <w:color w:val="auto"/>
        </w:rPr>
      </w:pPr>
    </w:p>
    <w:p>
      <w:pPr>
        <w:jc w:val="both"/>
        <w:ind w:right="20" w:firstLine="1"/>
        <w:spacing w:after="0" w:line="254" w:lineRule="auto"/>
        <w:tabs>
          <w:tab w:leader="none" w:pos="258" w:val="left"/>
        </w:tabs>
        <w:numPr>
          <w:ilvl w:val="0"/>
          <w:numId w:val="21"/>
        </w:numPr>
        <w:rPr>
          <w:rFonts w:ascii="Arial" w:cs="Arial" w:eastAsia="Arial" w:hAnsi="Arial"/>
          <w:sz w:val="15"/>
          <w:szCs w:val="15"/>
          <w:color w:val="auto"/>
        </w:rPr>
      </w:pPr>
      <w:r>
        <w:rPr>
          <w:rFonts w:ascii="Arial" w:cs="Arial" w:eastAsia="Arial" w:hAnsi="Arial"/>
          <w:sz w:val="15"/>
          <w:szCs w:val="15"/>
          <w:color w:val="auto"/>
        </w:rPr>
        <w:t>had any other relationship requiring disclosure under any paragraph of Item 404 or under Item 407(e)(4) of SEC Regulation S-K. In addition, during fiscal 2023, none of the Company’s executive officers served as a member of the board of directors or compensation committee of any entity that had one or more executive officers serving as a member of the Company’s Board of Directors or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236220</wp:posOffset>
            </wp:positionV>
            <wp:extent cx="714121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22" w:name="page23"/>
    <w:bookmarkEnd w:id="22"/>
    <w:p>
      <w:pPr>
        <w:spacing w:after="0"/>
        <w:rPr>
          <w:sz w:val="20"/>
          <w:szCs w:val="20"/>
          <w:color w:val="auto"/>
        </w:rPr>
      </w:pPr>
      <w:r>
        <w:rPr>
          <w:rFonts w:ascii="Arial" w:cs="Arial" w:eastAsia="Arial" w:hAnsi="Arial"/>
          <w:sz w:val="21"/>
          <w:szCs w:val="21"/>
          <w:b w:val="1"/>
          <w:bCs w:val="1"/>
          <w:color w:val="auto"/>
        </w:rPr>
        <w:t>CORPORATE GOVERNANCE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71412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Company’s management is responsible for managing the Company’s risks on a day-to-day basis, and has adopted an ongoing enterprise risk management process that it uses to identify and assess Company risks. Management has identified risks in four general areas: Financial and Reporting; Legal and Compliance; Operational; and Strategic. Periodically, management advises the Board and the appropriate Board committee of the risks identified; management’s assessment of those risks at the business unit and corporate levels; its plans for the management of these identified risks or the mitigation of their effects; and the results of the implementation of those plans.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While the Board as a whole has responsibility for and is involved in the oversight of management’s risk management processes, plans and controls, some of the identified risks are given further review by the Board committee most closely associated with the identified risks. For example, the Audit Committee provides additional review of the risks in the areas of accounting and auditing, liquidity, credit, tax, information security and cybersecurity. Similarly, the Compensation Committee provides additional review of risks in the area of compensation and benefits and human resource planning. The Governance Committee devotes additional time to the review of risks associated with corporate governance, ethics, legal and ESG issues.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Policies and Management Oversight</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 xml:space="preserve">The Board of Directors has adopted Corporate Governance Guidelines to guide its actions, as well as a Code of Conduct applicable to all of the Company’s directors, officers and employees. Additionally, the Board has adopted a Code of Ethics for Senior Financial Officers applicable to the Company’s Chief Executive Officer, Chief Financial Officer, Chief Accounting Officer, Controller and persons performing similar duties. These documents are posted on the Company’s web site, </w:t>
      </w:r>
      <w:r>
        <w:rPr>
          <w:rFonts w:ascii="Arial" w:cs="Arial" w:eastAsia="Arial" w:hAnsi="Arial"/>
          <w:sz w:val="15"/>
          <w:szCs w:val="15"/>
          <w:u w:val="single" w:color="auto"/>
          <w:color w:val="auto"/>
        </w:rPr>
        <w:t>www.escotechnologies.com</w:t>
      </w:r>
      <w:r>
        <w:rPr>
          <w:rFonts w:ascii="Arial" w:cs="Arial" w:eastAsia="Arial" w:hAnsi="Arial"/>
          <w:sz w:val="15"/>
          <w:szCs w:val="15"/>
          <w:color w:val="auto"/>
        </w:rPr>
        <w:t xml:space="preserve">, under the </w:t>
      </w:r>
      <w:r>
        <w:rPr>
          <w:rFonts w:ascii="Arial" w:cs="Arial" w:eastAsia="Arial" w:hAnsi="Arial"/>
          <w:sz w:val="15"/>
          <w:szCs w:val="15"/>
          <w:b w:val="1"/>
          <w:bCs w:val="1"/>
          <w:i w:val="1"/>
          <w:iCs w:val="1"/>
          <w:color w:val="auto"/>
        </w:rPr>
        <w:t>Investor Center/Governance Documents</w:t>
      </w:r>
      <w:r>
        <w:rPr>
          <w:rFonts w:ascii="Arial" w:cs="Arial" w:eastAsia="Arial" w:hAnsi="Arial"/>
          <w:sz w:val="15"/>
          <w:szCs w:val="15"/>
          <w:color w:val="auto"/>
        </w:rPr>
        <w:t xml:space="preserve"> tab, and a copy of any of these documents is also available in print to any shareholder who requests it.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and Clawback Policies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In furtherance of the Corporate Governance Guidelines and the Code of Conduct, and in coordination with applicable securities-related laws and regulations, the Board of Directors has adopted robust policies regarding Insider Trading, including prohibitions against hedging and (for certain senior Company officials) pledging transactions involving Company stock, and policies permitting the Company to “claw back” all or part of the values of certain Company equity awards to executives or senior personnel in certain cases. Further information about these policies is set forth under </w:t>
      </w:r>
      <w:r>
        <w:rPr>
          <w:rFonts w:ascii="Arial" w:cs="Arial" w:eastAsia="Arial" w:hAnsi="Arial"/>
          <w:sz w:val="15"/>
          <w:szCs w:val="15"/>
          <w:b w:val="1"/>
          <w:bCs w:val="1"/>
          <w:i w:val="1"/>
          <w:iCs w:val="1"/>
          <w:color w:val="auto"/>
        </w:rPr>
        <w:t>Insider Trading Policy; Anti-Hedging and Anti-Pledging Policies</w:t>
      </w:r>
      <w:r>
        <w:rPr>
          <w:rFonts w:ascii="Arial" w:cs="Arial" w:eastAsia="Arial" w:hAnsi="Arial"/>
          <w:sz w:val="15"/>
          <w:szCs w:val="15"/>
          <w:color w:val="auto"/>
        </w:rPr>
        <w:t xml:space="preserve"> and </w:t>
      </w:r>
      <w:r>
        <w:rPr>
          <w:rFonts w:ascii="Arial" w:cs="Arial" w:eastAsia="Arial" w:hAnsi="Arial"/>
          <w:sz w:val="15"/>
          <w:szCs w:val="15"/>
          <w:b w:val="1"/>
          <w:bCs w:val="1"/>
          <w:i w:val="1"/>
          <w:iCs w:val="1"/>
          <w:color w:val="auto"/>
        </w:rPr>
        <w:t xml:space="preserve">Clawback Policy </w:t>
      </w:r>
      <w:r>
        <w:rPr>
          <w:rFonts w:ascii="Arial" w:cs="Arial" w:eastAsia="Arial" w:hAnsi="Arial"/>
          <w:sz w:val="15"/>
          <w:szCs w:val="15"/>
          <w:color w:val="auto"/>
        </w:rPr>
        <w:t>beginning on</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page 34</w:t>
      </w:r>
      <w:r>
        <w:rPr>
          <w:rFonts w:ascii="Arial" w:cs="Arial" w:eastAsia="Arial" w:hAnsi="Arial"/>
          <w:sz w:val="15"/>
          <w:szCs w:val="15"/>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Global information technology security threats and targeted computer crime are increasing in frequency and sophistication. As these risks increase, the Company has enhanced its use of technologies and internal controls to protect our systems, networks and data. The Company’s cybersecurity program includes employee training and testing, information security policies and procedures, third-party monitoring of our networks and systems, and maintenance of backup and other protective systems. Governmental authorities, including the United States government, have increasingly focused on cybersecurity requirements for government contractors. The Company’s subsidiaries that serve in these capacities are increasingly focused on cybersecurity as they seek to comply with the US Department of Defense Cybersecurity Maturity Model Certification (CMMC) program and related governmental mandates.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Audit Committee annually reviews the major financial risk exposures including cyber security and policies or controls management has implemented to manage and mitigate risks, and quarterly reviews management’s assessment and oversight of cybersecurity and information technologies risks and any required remediation actions. The full Board annually reviews the Company’s cybersecurity initiatives.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Succession Planning</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Compensation Committee of the Board conducts an annual review of the Company’s long-term succession plan for the CEO. Having this succession plan in place enabled the Board to name Mr. Sayler as the successor to Victor L. Richey as CEO in late 2022 promptly after Mr. Richey notified the Board of his decision to retire. Additionally, the Board has in place an emergency succession plan for the CEO in order to minimize the uncertainty associated with an emergency succession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223520</wp:posOffset>
            </wp:positionV>
            <wp:extent cx="7141210"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Independence and Related Person Determinations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All of the Company’s directors except Mr. Sayler are and will be independent of Company management. Additionally, all of the members of the Audit Committee, the Compensation Committee and the Governance Committee are independent as defined by the New York Stock Exchange and set forth in the Company’s Corporate Governance Guidelines.</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Company has implemented a written policy not only to ensure that all non-management directors meet the independence standards defined under the Company’s Corporate Governance Guidelines and the listing standards of the NYSE but to ensure that all Company transactions in which a “Related Person” has or will have a direct or indirect interest will be at arm’s length and on terms generally available to an unaffiliated third-party under the same or similar circumstances. “Related Persons” include the Company’s directors, director nominees and executive officers, holders of 5% or more of the Company’s stock, and the immediate family members of each. The policy contains procedures requiring Related Persons to notify the Company of any such transaction and for the Governance Committee to review the material facts of the proposed transaction and determine whether to approve or disapprove the transaction. The Committee will consider whether the transaction is on terms no less favorable than terms generally available to an unaffiliated third-party under the same or similar circumstances. If advance Committee approval is not feasible or is not obtained, the policy requires submission of the transaction to the Committee after the fact, and the Committee is empowered to approve, ratify, amend, rescind or terminate the transaction. In such event, the Committee will also request the General Counsel to evaluate the Company’s controls and procedures to ascertain whether any changes to the policy are recommended.</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Company has developed and implemented processes and controls to obtain information about Related Person transactions for the purpose of determining, based on the facts and circumstances, whether a Related Person has a direct or indirect material interest in the transaction. Pursuant to these processes and controls, all directors and executive officers must annually complete, sign and submit a Directors’ and Officers’ Questionnaire and a Conflict of Interest Questionnaire that are designed to identify Related Person transactions and both actual and potential conflicts of interest, and are required to update their responses in the event of any changes. Additionally, the holders of 5% or more of the Company’s shares (all of whom are institutional investors), are annually requested to respond to certain questions designed to identify direct or indirect material interests by such 5% or more shareholder in any transactions with the Company.</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Based on its review and processes, the Company has determined that except for the matters described in the following paragraphs there has been no transaction since the beginning of the Company’s 2024 fiscal year, and there is no transaction currently proposed, in which the Company was or is to be a participant and in which any Related Person had or will have a direct or indirect material interest.</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One of the Company’s directors, David A. Campbell, is the President, Chief Executive Officer and Chairman of the Board of Evergy, Inc. (Evergy), which through its operating subsidiaries is a customer of the Company’s subsidiary Doble Engineering Company and its subsidiaries and affiliates (together, Doble). Accordingly, the Board has affirmatively considered whether this relationship might affect Mr. Campbell’s independence as a director of the Company. The Board determined that Doble, among other things, sells and leases equipment and software to Evergy, repairs and calibrates the equipment and maintains the software, and provides testing, training and consulting services to Evergy, all in the ordinary course of their respective businesses; that the total amount of these transactions was less than $932,000 during 2023 (the last year for which information was available for Evergy), which is approximately 0.096% of the Company’s 2023 revenues and approximately 0.04% of Evergy’s spend for 2023; that Mr. Campbell was not personally involved in these transactions; and that all transactions between Doble and Evergy are intended to be and have been consistent with Doble’s normal commercial terms offered to its customers.</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addition, another of the Company’s directors, Penelope M. Conner, is the Executive Vice President of Customer Experience and Energy Strategy of Eversource Energy (Eversource), which through its operating subsidiaries is a customer of Doble. Accordingly, the Board has affirmatively considered whether this relationship might affect Ms. Conner’s independence as a director of the Company. The Board determined that Doble, among other things, sells and leases equipment and software to Eversource, repairs and calibrates the equipment and maintains the software, and provides testing, training and consulting services to Eversource, all in the ordinary course of their respective businesses; that the total amount of these transactions was less than $3,578,000 during 2023 (the last year for which information was available for Eversource), which is approximately 0.369% of the Company’s 2023 revenues and approximately 0.076% of Eversource’s spend for 2023; that Ms. Conner was not personally involved in these transactions; and that all transactions between Doble and Eversource are intended to be and have been consistent with Doble’s normal commercial terms offered to its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237490</wp:posOffset>
            </wp:positionV>
            <wp:extent cx="7141210"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24" w:name="page25"/>
    <w:bookmarkEnd w:id="24"/>
    <w:p>
      <w:pPr>
        <w:jc w:val="both"/>
        <w:ind w:left="20" w:right="20"/>
        <w:spacing w:after="0" w:line="255" w:lineRule="auto"/>
        <w:rPr>
          <w:sz w:val="20"/>
          <w:szCs w:val="20"/>
          <w:color w:val="auto"/>
        </w:rPr>
      </w:pPr>
      <w:r>
        <w:rPr>
          <w:rFonts w:ascii="Arial" w:cs="Arial" w:eastAsia="Arial" w:hAnsi="Arial"/>
          <w:sz w:val="15"/>
          <w:szCs w:val="15"/>
          <w:color w:val="auto"/>
        </w:rPr>
        <w:t>Based on its review and consideration of these facts, Mr. Campbell’s and Ms. Conner’s oral and written representations and the Federal Energy Regulatory Commission’s approval of Mr. Campbell’s and Ms. Conner’s directorships, the Board determined that the relationships between the Company and Evergy and between the Company and Eversource are not material, that the relationships will not affect Mr. Campbell’s or Ms. Conner’s independent judgment on matters affecting the Company, and that Mr. Campbell and Ms. Conner are each independent under the standards of both the New York Stock Exchange and the Company’s Corporate Governance Guidelines.</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200"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5"/>
          <w:szCs w:val="15"/>
          <w:color w:val="auto"/>
        </w:rPr>
        <w:t>Interested parties desiring to communicate concerns regarding the Company to the Chair of the Board or to the non management Directors as a group may direct correspondence to: Mr. Robert J. Phillippy, Chair, ESCO Technologies Board of Directors, ESCO Technologies Inc., 9900A Clayton Road, St. Louis, MO 63124-1186. Alternatively, interested parties who wish to communicate with an individual director or any group of directors may write to such director(s) at ESCO Technologies Inc., 9900A Clayton Road, St. Louis, MO 63124-1186, Attn: Secretary. All such letters will be forwarded promptly to the relevant director(s).</w:t>
      </w:r>
    </w:p>
    <w:p>
      <w:pPr>
        <w:spacing w:after="0" w:line="3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7141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67" w:lineRule="exact"/>
        <w:rPr>
          <w:sz w:val="20"/>
          <w:szCs w:val="20"/>
          <w:color w:val="auto"/>
        </w:rPr>
      </w:pPr>
    </w:p>
    <w:p>
      <w:pPr>
        <w:jc w:val="both"/>
        <w:ind w:left="20" w:right="20"/>
        <w:spacing w:after="0" w:line="251" w:lineRule="auto"/>
        <w:rPr>
          <w:sz w:val="20"/>
          <w:szCs w:val="20"/>
          <w:color w:val="auto"/>
        </w:rPr>
      </w:pPr>
      <w:r>
        <w:rPr>
          <w:rFonts w:ascii="Arial" w:cs="Arial" w:eastAsia="Arial" w:hAnsi="Arial"/>
          <w:sz w:val="15"/>
          <w:szCs w:val="15"/>
          <w:color w:val="auto"/>
        </w:rPr>
        <w:t>The responsibilities and the substantial time commitment of a director at a public company require that the Company provide reasonable compensation to incentivize the directors’ performance and ensure their willingness to continue to serve. The Company strives to engage and retain well-qualified directors with significant experience at companies of similar size and complexity. To ensure this is achieved, the Company regularly reviews the compensation provided to its directors. The Company’s non-employee directors are compensated pursuant to the Sub-Plan for Compensation of Non-Employee Directors under the 2018 Omnibus Incentive Plan (the Director Compensation Plan) based upon their respective levels of Board participation and responsibilities. The Compensation Committee obtains competitive market and peer data and periodically retains a compensation consultant to evaluate the competitiveness of its director compensation. The Committee approves the directors’ compensation, but any changes are ratified by the full Board. As an employee of the Company, Mr. Sayler does not receive compensation for his service as a director.</w:t>
      </w:r>
    </w:p>
    <w:p>
      <w:pPr>
        <w:spacing w:after="0" w:line="340" w:lineRule="exact"/>
        <w:rPr>
          <w:sz w:val="20"/>
          <w:szCs w:val="20"/>
          <w:color w:val="auto"/>
        </w:rPr>
      </w:pPr>
    </w:p>
    <w:p>
      <w:pPr>
        <w:jc w:val="both"/>
        <w:ind w:left="20" w:right="20"/>
        <w:spacing w:after="0" w:line="282" w:lineRule="auto"/>
        <w:rPr>
          <w:sz w:val="20"/>
          <w:szCs w:val="20"/>
          <w:color w:val="auto"/>
        </w:rPr>
      </w:pPr>
      <w:r>
        <w:rPr>
          <w:rFonts w:ascii="Arial" w:cs="Arial" w:eastAsia="Arial" w:hAnsi="Arial"/>
          <w:sz w:val="15"/>
          <w:szCs w:val="15"/>
          <w:color w:val="auto"/>
        </w:rPr>
        <w:t>The annual compensation for non-employee directors is based on a calendar year and is paid or awarded, as the case may be, on and as of the first NYSE trading day after each Annual Meeting of Shareholders.</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Components of 2024 and 2025 Director Compensation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560" w:type="dxa"/>
            <w:vAlign w:val="bottom"/>
          </w:tcPr>
          <w:p>
            <w:pPr>
              <w:ind w:left="80"/>
              <w:spacing w:after="0"/>
              <w:rPr>
                <w:sz w:val="20"/>
                <w:szCs w:val="20"/>
                <w:color w:val="auto"/>
              </w:rPr>
            </w:pPr>
            <w:r>
              <w:rPr>
                <w:rFonts w:ascii="Arial" w:cs="Arial" w:eastAsia="Arial" w:hAnsi="Arial"/>
                <w:sz w:val="12"/>
                <w:szCs w:val="12"/>
                <w:b w:val="1"/>
                <w:bCs w:val="1"/>
                <w:color w:val="auto"/>
              </w:rPr>
              <w:t>Cash Compensation</w:t>
            </w:r>
          </w:p>
        </w:tc>
        <w:tc>
          <w:tcPr>
            <w:tcW w:w="340" w:type="dxa"/>
            <w:vAlign w:val="bottom"/>
          </w:tcPr>
          <w:p>
            <w:pPr>
              <w:spacing w:after="0"/>
              <w:rPr>
                <w:sz w:val="14"/>
                <w:szCs w:val="14"/>
                <w:color w:val="auto"/>
              </w:rPr>
            </w:pPr>
          </w:p>
        </w:tc>
        <w:tc>
          <w:tcPr>
            <w:tcW w:w="1240" w:type="dxa"/>
            <w:vAlign w:val="bottom"/>
          </w:tcPr>
          <w:p>
            <w:pPr>
              <w:jc w:val="right"/>
              <w:ind w:right="595"/>
              <w:spacing w:after="0"/>
              <w:rPr>
                <w:sz w:val="20"/>
                <w:szCs w:val="20"/>
                <w:color w:val="auto"/>
              </w:rPr>
            </w:pPr>
            <w:r>
              <w:rPr>
                <w:rFonts w:ascii="Arial" w:cs="Arial" w:eastAsia="Arial" w:hAnsi="Arial"/>
                <w:sz w:val="12"/>
                <w:szCs w:val="12"/>
                <w:b w:val="1"/>
                <w:bCs w:val="1"/>
                <w:color w:val="auto"/>
              </w:rPr>
              <w:t>2024</w:t>
            </w:r>
          </w:p>
        </w:tc>
        <w:tc>
          <w:tcPr>
            <w:tcW w:w="240" w:type="dxa"/>
            <w:vAlign w:val="bottom"/>
          </w:tcPr>
          <w:p>
            <w:pPr>
              <w:spacing w:after="0"/>
              <w:rPr>
                <w:sz w:val="14"/>
                <w:szCs w:val="14"/>
                <w:color w:val="auto"/>
              </w:rPr>
            </w:pPr>
          </w:p>
        </w:tc>
        <w:tc>
          <w:tcPr>
            <w:tcW w:w="860" w:type="dxa"/>
            <w:vAlign w:val="bottom"/>
          </w:tcPr>
          <w:p>
            <w:pPr>
              <w:jc w:val="right"/>
              <w:ind w:right="355"/>
              <w:spacing w:after="0"/>
              <w:rPr>
                <w:sz w:val="20"/>
                <w:szCs w:val="20"/>
                <w:color w:val="auto"/>
              </w:rPr>
            </w:pPr>
            <w:r>
              <w:rPr>
                <w:rFonts w:ascii="Arial" w:cs="Arial" w:eastAsia="Arial" w:hAnsi="Arial"/>
                <w:sz w:val="12"/>
                <w:szCs w:val="12"/>
                <w:b w:val="1"/>
                <w:bCs w:val="1"/>
                <w:color w:val="auto"/>
              </w:rPr>
              <w:t>2025</w:t>
            </w:r>
          </w:p>
        </w:tc>
      </w:tr>
      <w:tr>
        <w:trPr>
          <w:trHeight w:val="32"/>
        </w:trPr>
        <w:tc>
          <w:tcPr>
            <w:tcW w:w="8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0"/>
        </w:trPr>
        <w:tc>
          <w:tcPr>
            <w:tcW w:w="8560" w:type="dxa"/>
            <w:vAlign w:val="bottom"/>
            <w:tcBorders>
              <w:bottom w:val="single" w:sz="8" w:color="auto"/>
            </w:tcBorders>
            <w:shd w:val="clear" w:color="auto" w:fill="F3F3F4"/>
          </w:tcPr>
          <w:p>
            <w:pPr>
              <w:ind w:left="80"/>
              <w:spacing w:after="0"/>
              <w:rPr>
                <w:sz w:val="20"/>
                <w:szCs w:val="20"/>
                <w:color w:val="auto"/>
              </w:rPr>
            </w:pPr>
            <w:r>
              <w:rPr>
                <w:rFonts w:ascii="Arial" w:cs="Arial" w:eastAsia="Arial" w:hAnsi="Arial"/>
                <w:sz w:val="13"/>
                <w:szCs w:val="13"/>
                <w:b w:val="1"/>
                <w:bCs w:val="1"/>
                <w:color w:val="auto"/>
              </w:rPr>
              <w:t xml:space="preserve">Annual Retainer </w:t>
            </w:r>
            <w:r>
              <w:rPr>
                <w:rFonts w:ascii="Arial" w:cs="Arial" w:eastAsia="Arial" w:hAnsi="Arial"/>
                <w:sz w:val="13"/>
                <w:szCs w:val="13"/>
                <w:color w:val="auto"/>
              </w:rPr>
              <w:t>(all non-management directors)</w:t>
            </w:r>
          </w:p>
        </w:tc>
        <w:tc>
          <w:tcPr>
            <w:tcW w:w="34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F3F3F4"/>
          </w:tcPr>
          <w:p>
            <w:pPr>
              <w:jc w:val="right"/>
              <w:ind w:right="155"/>
              <w:spacing w:after="0"/>
              <w:rPr>
                <w:sz w:val="20"/>
                <w:szCs w:val="20"/>
                <w:color w:val="auto"/>
              </w:rPr>
            </w:pPr>
            <w:r>
              <w:rPr>
                <w:rFonts w:ascii="Arial" w:cs="Arial" w:eastAsia="Arial" w:hAnsi="Arial"/>
                <w:sz w:val="13"/>
                <w:szCs w:val="13"/>
                <w:color w:val="auto"/>
              </w:rPr>
              <w:t>50,000</w:t>
            </w:r>
            <w:r>
              <w:rPr>
                <w:rFonts w:ascii="Arial" w:cs="Arial" w:eastAsia="Arial" w:hAnsi="Arial"/>
                <w:sz w:val="22"/>
                <w:szCs w:val="22"/>
                <w:color w:val="auto"/>
                <w:vertAlign w:val="superscript"/>
              </w:rPr>
              <w:t>1</w:t>
            </w:r>
          </w:p>
        </w:tc>
        <w:tc>
          <w:tcPr>
            <w:tcW w:w="240" w:type="dxa"/>
            <w:vAlign w:val="bottom"/>
            <w:tcBorders>
              <w:bottom w:val="single" w:sz="8" w:color="auto"/>
            </w:tcBorders>
            <w:shd w:val="clear" w:color="auto" w:fill="F3F3F4"/>
          </w:tcPr>
          <w:p>
            <w:pPr>
              <w:jc w:val="right"/>
              <w:ind w:right="93"/>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F3F3F4"/>
          </w:tcPr>
          <w:p>
            <w:pPr>
              <w:jc w:val="right"/>
              <w:ind w:right="15"/>
              <w:spacing w:after="0"/>
              <w:rPr>
                <w:sz w:val="20"/>
                <w:szCs w:val="20"/>
                <w:color w:val="auto"/>
              </w:rPr>
            </w:pPr>
            <w:r>
              <w:rPr>
                <w:rFonts w:ascii="Arial" w:cs="Arial" w:eastAsia="Arial" w:hAnsi="Arial"/>
                <w:sz w:val="13"/>
                <w:szCs w:val="13"/>
                <w:color w:val="auto"/>
              </w:rPr>
              <w:t>50,000</w:t>
            </w:r>
          </w:p>
        </w:tc>
      </w:tr>
      <w:tr>
        <w:trPr>
          <w:trHeight w:val="250"/>
        </w:trPr>
        <w:tc>
          <w:tcPr>
            <w:tcW w:w="8560" w:type="dxa"/>
            <w:vAlign w:val="bottom"/>
            <w:tcBorders>
              <w:bottom w:val="single" w:sz="8" w:color="F3F3F4"/>
            </w:tcBorders>
            <w:shd w:val="clear" w:color="auto" w:fill="F3F3F4"/>
          </w:tcPr>
          <w:p>
            <w:pPr>
              <w:ind w:left="80"/>
              <w:spacing w:after="0"/>
              <w:rPr>
                <w:sz w:val="20"/>
                <w:szCs w:val="20"/>
                <w:color w:val="auto"/>
              </w:rPr>
            </w:pPr>
            <w:r>
              <w:rPr>
                <w:rFonts w:ascii="Arial" w:cs="Arial" w:eastAsia="Arial" w:hAnsi="Arial"/>
                <w:sz w:val="13"/>
                <w:szCs w:val="13"/>
                <w:b w:val="1"/>
                <w:bCs w:val="1"/>
                <w:color w:val="auto"/>
              </w:rPr>
              <w:t>Chair of the Board</w:t>
            </w:r>
          </w:p>
        </w:tc>
        <w:tc>
          <w:tcPr>
            <w:tcW w:w="340" w:type="dxa"/>
            <w:vAlign w:val="bottom"/>
            <w:tcBorders>
              <w:bottom w:val="single" w:sz="8" w:color="F3F3F4"/>
            </w:tcBorders>
            <w:shd w:val="clear" w:color="auto" w:fill="F3F3F4"/>
          </w:tcPr>
          <w:p>
            <w:pPr>
              <w:spacing w:after="0"/>
              <w:rPr>
                <w:sz w:val="21"/>
                <w:szCs w:val="21"/>
                <w:color w:val="auto"/>
              </w:rPr>
            </w:pPr>
          </w:p>
        </w:tc>
        <w:tc>
          <w:tcPr>
            <w:tcW w:w="1240" w:type="dxa"/>
            <w:vAlign w:val="bottom"/>
            <w:tcBorders>
              <w:bottom w:val="single" w:sz="8" w:color="F3F3F4"/>
            </w:tcBorders>
            <w:shd w:val="clear" w:color="auto" w:fill="F3F3F4"/>
          </w:tcPr>
          <w:p>
            <w:pPr>
              <w:jc w:val="right"/>
              <w:ind w:right="155"/>
              <w:spacing w:after="0"/>
              <w:rPr>
                <w:sz w:val="20"/>
                <w:szCs w:val="20"/>
                <w:color w:val="auto"/>
              </w:rPr>
            </w:pPr>
            <w:r>
              <w:rPr>
                <w:rFonts w:ascii="Arial" w:cs="Arial" w:eastAsia="Arial" w:hAnsi="Arial"/>
                <w:sz w:val="13"/>
                <w:szCs w:val="13"/>
                <w:color w:val="auto"/>
              </w:rPr>
              <w:t>85,000</w:t>
            </w:r>
          </w:p>
        </w:tc>
        <w:tc>
          <w:tcPr>
            <w:tcW w:w="240" w:type="dxa"/>
            <w:vAlign w:val="bottom"/>
            <w:tcBorders>
              <w:bottom w:val="single" w:sz="8" w:color="F3F3F4"/>
            </w:tcBorders>
            <w:shd w:val="clear" w:color="auto" w:fill="F3F3F4"/>
          </w:tcPr>
          <w:p>
            <w:pPr>
              <w:spacing w:after="0"/>
              <w:rPr>
                <w:sz w:val="21"/>
                <w:szCs w:val="21"/>
                <w:color w:val="auto"/>
              </w:rPr>
            </w:pPr>
          </w:p>
        </w:tc>
        <w:tc>
          <w:tcPr>
            <w:tcW w:w="860" w:type="dxa"/>
            <w:vAlign w:val="bottom"/>
            <w:tcBorders>
              <w:bottom w:val="single" w:sz="8" w:color="F3F3F4"/>
            </w:tcBorders>
            <w:shd w:val="clear" w:color="auto" w:fill="F3F3F4"/>
          </w:tcPr>
          <w:p>
            <w:pPr>
              <w:jc w:val="right"/>
              <w:ind w:right="15"/>
              <w:spacing w:after="0"/>
              <w:rPr>
                <w:sz w:val="20"/>
                <w:szCs w:val="20"/>
                <w:color w:val="auto"/>
              </w:rPr>
            </w:pPr>
            <w:r>
              <w:rPr>
                <w:rFonts w:ascii="Arial" w:cs="Arial" w:eastAsia="Arial" w:hAnsi="Arial"/>
                <w:sz w:val="13"/>
                <w:szCs w:val="13"/>
                <w:color w:val="auto"/>
              </w:rPr>
              <w:t>85,000</w:t>
            </w:r>
          </w:p>
        </w:tc>
      </w:tr>
      <w:tr>
        <w:trPr>
          <w:trHeight w:val="207"/>
        </w:trPr>
        <w:tc>
          <w:tcPr>
            <w:tcW w:w="8560" w:type="dxa"/>
            <w:vAlign w:val="bottom"/>
            <w:tcBorders>
              <w:top w:val="single" w:sz="8" w:color="auto"/>
            </w:tcBorders>
            <w:shd w:val="clear" w:color="auto" w:fill="F3F3F4"/>
          </w:tcPr>
          <w:p>
            <w:pPr>
              <w:ind w:left="80"/>
              <w:spacing w:after="0"/>
              <w:rPr>
                <w:sz w:val="20"/>
                <w:szCs w:val="20"/>
                <w:color w:val="auto"/>
              </w:rPr>
            </w:pPr>
            <w:r>
              <w:rPr>
                <w:rFonts w:ascii="Arial" w:cs="Arial" w:eastAsia="Arial" w:hAnsi="Arial"/>
                <w:sz w:val="13"/>
                <w:szCs w:val="13"/>
                <w:b w:val="1"/>
                <w:bCs w:val="1"/>
                <w:color w:val="auto"/>
              </w:rPr>
              <w:t>Committee Chairs:</w:t>
            </w:r>
          </w:p>
        </w:tc>
        <w:tc>
          <w:tcPr>
            <w:tcW w:w="340" w:type="dxa"/>
            <w:vAlign w:val="bottom"/>
            <w:tcBorders>
              <w:top w:val="single" w:sz="8" w:color="auto"/>
            </w:tcBorders>
            <w:shd w:val="clear" w:color="auto" w:fill="F3F3F4"/>
          </w:tcPr>
          <w:p>
            <w:pPr>
              <w:spacing w:after="0"/>
              <w:rPr>
                <w:sz w:val="18"/>
                <w:szCs w:val="18"/>
                <w:color w:val="auto"/>
              </w:rPr>
            </w:pPr>
          </w:p>
        </w:tc>
        <w:tc>
          <w:tcPr>
            <w:tcW w:w="1240" w:type="dxa"/>
            <w:vAlign w:val="bottom"/>
            <w:tcBorders>
              <w:top w:val="single" w:sz="8" w:color="auto"/>
            </w:tcBorders>
            <w:shd w:val="clear" w:color="auto" w:fill="F3F3F4"/>
          </w:tcPr>
          <w:p>
            <w:pPr>
              <w:spacing w:after="0"/>
              <w:rPr>
                <w:sz w:val="18"/>
                <w:szCs w:val="18"/>
                <w:color w:val="auto"/>
              </w:rPr>
            </w:pPr>
          </w:p>
        </w:tc>
        <w:tc>
          <w:tcPr>
            <w:tcW w:w="240" w:type="dxa"/>
            <w:vAlign w:val="bottom"/>
            <w:tcBorders>
              <w:top w:val="single" w:sz="8" w:color="auto"/>
            </w:tcBorders>
            <w:shd w:val="clear" w:color="auto" w:fill="F3F3F4"/>
          </w:tcPr>
          <w:p>
            <w:pPr>
              <w:spacing w:after="0"/>
              <w:rPr>
                <w:sz w:val="18"/>
                <w:szCs w:val="18"/>
                <w:color w:val="auto"/>
              </w:rPr>
            </w:pPr>
          </w:p>
        </w:tc>
        <w:tc>
          <w:tcPr>
            <w:tcW w:w="860" w:type="dxa"/>
            <w:vAlign w:val="bottom"/>
            <w:tcBorders>
              <w:top w:val="single" w:sz="8" w:color="auto"/>
            </w:tcBorders>
            <w:shd w:val="clear" w:color="auto" w:fill="F3F3F4"/>
          </w:tcPr>
          <w:p>
            <w:pPr>
              <w:spacing w:after="0"/>
              <w:rPr>
                <w:sz w:val="18"/>
                <w:szCs w:val="18"/>
                <w:color w:val="auto"/>
              </w:rPr>
            </w:pPr>
          </w:p>
        </w:tc>
      </w:tr>
      <w:tr>
        <w:trPr>
          <w:trHeight w:val="177"/>
        </w:trPr>
        <w:tc>
          <w:tcPr>
            <w:tcW w:w="8560" w:type="dxa"/>
            <w:vAlign w:val="bottom"/>
            <w:shd w:val="clear" w:color="auto" w:fill="F3F3F4"/>
          </w:tcPr>
          <w:p>
            <w:pPr>
              <w:ind w:left="80"/>
              <w:spacing w:after="0"/>
              <w:rPr>
                <w:sz w:val="20"/>
                <w:szCs w:val="20"/>
                <w:color w:val="auto"/>
              </w:rPr>
            </w:pPr>
            <w:r>
              <w:rPr>
                <w:rFonts w:ascii="Arial" w:cs="Arial" w:eastAsia="Arial" w:hAnsi="Arial"/>
                <w:sz w:val="13"/>
                <w:szCs w:val="13"/>
                <w:color w:val="auto"/>
              </w:rPr>
              <w:t>● Audit</w:t>
            </w:r>
          </w:p>
        </w:tc>
        <w:tc>
          <w:tcPr>
            <w:tcW w:w="340" w:type="dxa"/>
            <w:vAlign w:val="bottom"/>
            <w:shd w:val="clear" w:color="auto" w:fill="F3F3F4"/>
          </w:tcPr>
          <w:p>
            <w:pPr>
              <w:spacing w:after="0"/>
              <w:rPr>
                <w:sz w:val="15"/>
                <w:szCs w:val="15"/>
                <w:color w:val="auto"/>
              </w:rPr>
            </w:pPr>
          </w:p>
        </w:tc>
        <w:tc>
          <w:tcPr>
            <w:tcW w:w="1240" w:type="dxa"/>
            <w:vAlign w:val="bottom"/>
            <w:shd w:val="clear" w:color="auto" w:fill="F3F3F4"/>
          </w:tcPr>
          <w:p>
            <w:pPr>
              <w:jc w:val="right"/>
              <w:ind w:right="155"/>
              <w:spacing w:after="0"/>
              <w:rPr>
                <w:sz w:val="20"/>
                <w:szCs w:val="20"/>
                <w:color w:val="auto"/>
              </w:rPr>
            </w:pPr>
            <w:r>
              <w:rPr>
                <w:rFonts w:ascii="Arial" w:cs="Arial" w:eastAsia="Arial" w:hAnsi="Arial"/>
                <w:sz w:val="13"/>
                <w:szCs w:val="13"/>
                <w:color w:val="auto"/>
              </w:rPr>
              <w:t>12,500</w:t>
            </w:r>
          </w:p>
        </w:tc>
        <w:tc>
          <w:tcPr>
            <w:tcW w:w="240" w:type="dxa"/>
            <w:vAlign w:val="bottom"/>
            <w:shd w:val="clear" w:color="auto" w:fill="F3F3F4"/>
          </w:tcPr>
          <w:p>
            <w:pPr>
              <w:spacing w:after="0"/>
              <w:rPr>
                <w:sz w:val="15"/>
                <w:szCs w:val="15"/>
                <w:color w:val="auto"/>
              </w:rPr>
            </w:pPr>
          </w:p>
        </w:tc>
        <w:tc>
          <w:tcPr>
            <w:tcW w:w="860" w:type="dxa"/>
            <w:vAlign w:val="bottom"/>
            <w:shd w:val="clear" w:color="auto" w:fill="F3F3F4"/>
          </w:tcPr>
          <w:p>
            <w:pPr>
              <w:jc w:val="right"/>
              <w:ind w:right="15"/>
              <w:spacing w:after="0"/>
              <w:rPr>
                <w:sz w:val="20"/>
                <w:szCs w:val="20"/>
                <w:color w:val="auto"/>
              </w:rPr>
            </w:pPr>
            <w:r>
              <w:rPr>
                <w:rFonts w:ascii="Arial" w:cs="Arial" w:eastAsia="Arial" w:hAnsi="Arial"/>
                <w:sz w:val="13"/>
                <w:szCs w:val="13"/>
                <w:color w:val="auto"/>
              </w:rPr>
              <w:t>17,500</w:t>
            </w:r>
          </w:p>
        </w:tc>
      </w:tr>
      <w:tr>
        <w:trPr>
          <w:trHeight w:val="177"/>
        </w:trPr>
        <w:tc>
          <w:tcPr>
            <w:tcW w:w="8560" w:type="dxa"/>
            <w:vAlign w:val="bottom"/>
            <w:shd w:val="clear" w:color="auto" w:fill="F3F3F4"/>
          </w:tcPr>
          <w:p>
            <w:pPr>
              <w:ind w:left="80"/>
              <w:spacing w:after="0"/>
              <w:rPr>
                <w:sz w:val="20"/>
                <w:szCs w:val="20"/>
                <w:color w:val="auto"/>
              </w:rPr>
            </w:pPr>
            <w:r>
              <w:rPr>
                <w:rFonts w:ascii="Arial" w:cs="Arial" w:eastAsia="Arial" w:hAnsi="Arial"/>
                <w:sz w:val="13"/>
                <w:szCs w:val="13"/>
                <w:color w:val="auto"/>
              </w:rPr>
              <w:t>● Compensation</w:t>
            </w:r>
          </w:p>
        </w:tc>
        <w:tc>
          <w:tcPr>
            <w:tcW w:w="340" w:type="dxa"/>
            <w:vAlign w:val="bottom"/>
            <w:shd w:val="clear" w:color="auto" w:fill="F3F3F4"/>
          </w:tcPr>
          <w:p>
            <w:pPr>
              <w:spacing w:after="0"/>
              <w:rPr>
                <w:sz w:val="15"/>
                <w:szCs w:val="15"/>
                <w:color w:val="auto"/>
              </w:rPr>
            </w:pPr>
          </w:p>
        </w:tc>
        <w:tc>
          <w:tcPr>
            <w:tcW w:w="1240" w:type="dxa"/>
            <w:vAlign w:val="bottom"/>
            <w:shd w:val="clear" w:color="auto" w:fill="F3F3F4"/>
          </w:tcPr>
          <w:p>
            <w:pPr>
              <w:jc w:val="right"/>
              <w:ind w:right="155"/>
              <w:spacing w:after="0"/>
              <w:rPr>
                <w:sz w:val="20"/>
                <w:szCs w:val="20"/>
                <w:color w:val="auto"/>
              </w:rPr>
            </w:pPr>
            <w:r>
              <w:rPr>
                <w:rFonts w:ascii="Arial" w:cs="Arial" w:eastAsia="Arial" w:hAnsi="Arial"/>
                <w:sz w:val="13"/>
                <w:szCs w:val="13"/>
                <w:color w:val="auto"/>
              </w:rPr>
              <w:t>10,000</w:t>
            </w:r>
          </w:p>
        </w:tc>
        <w:tc>
          <w:tcPr>
            <w:tcW w:w="240" w:type="dxa"/>
            <w:vAlign w:val="bottom"/>
            <w:shd w:val="clear" w:color="auto" w:fill="F3F3F4"/>
          </w:tcPr>
          <w:p>
            <w:pPr>
              <w:spacing w:after="0"/>
              <w:rPr>
                <w:sz w:val="15"/>
                <w:szCs w:val="15"/>
                <w:color w:val="auto"/>
              </w:rPr>
            </w:pPr>
          </w:p>
        </w:tc>
        <w:tc>
          <w:tcPr>
            <w:tcW w:w="860" w:type="dxa"/>
            <w:vAlign w:val="bottom"/>
            <w:shd w:val="clear" w:color="auto" w:fill="F3F3F4"/>
          </w:tcPr>
          <w:p>
            <w:pPr>
              <w:jc w:val="right"/>
              <w:ind w:right="15"/>
              <w:spacing w:after="0"/>
              <w:rPr>
                <w:sz w:val="20"/>
                <w:szCs w:val="20"/>
                <w:color w:val="auto"/>
              </w:rPr>
            </w:pPr>
            <w:r>
              <w:rPr>
                <w:rFonts w:ascii="Arial" w:cs="Arial" w:eastAsia="Arial" w:hAnsi="Arial"/>
                <w:sz w:val="13"/>
                <w:szCs w:val="13"/>
                <w:color w:val="auto"/>
              </w:rPr>
              <w:t>15,000</w:t>
            </w:r>
          </w:p>
        </w:tc>
      </w:tr>
      <w:tr>
        <w:trPr>
          <w:trHeight w:val="220"/>
        </w:trPr>
        <w:tc>
          <w:tcPr>
            <w:tcW w:w="8560" w:type="dxa"/>
            <w:vAlign w:val="bottom"/>
            <w:tcBorders>
              <w:bottom w:val="single" w:sz="8" w:color="F3F3F4"/>
            </w:tcBorders>
            <w:shd w:val="clear" w:color="auto" w:fill="F3F3F4"/>
          </w:tcPr>
          <w:p>
            <w:pPr>
              <w:ind w:left="80"/>
              <w:spacing w:after="0"/>
              <w:rPr>
                <w:sz w:val="20"/>
                <w:szCs w:val="20"/>
                <w:color w:val="auto"/>
              </w:rPr>
            </w:pPr>
            <w:r>
              <w:rPr>
                <w:rFonts w:ascii="Arial" w:cs="Arial" w:eastAsia="Arial" w:hAnsi="Arial"/>
                <w:sz w:val="13"/>
                <w:szCs w:val="13"/>
                <w:color w:val="auto"/>
              </w:rPr>
              <w:t>● Governance</w:t>
            </w:r>
          </w:p>
        </w:tc>
        <w:tc>
          <w:tcPr>
            <w:tcW w:w="340" w:type="dxa"/>
            <w:vAlign w:val="bottom"/>
            <w:tcBorders>
              <w:bottom w:val="single" w:sz="8" w:color="F3F3F4"/>
            </w:tcBorders>
            <w:shd w:val="clear" w:color="auto" w:fill="F3F3F4"/>
          </w:tcPr>
          <w:p>
            <w:pPr>
              <w:spacing w:after="0"/>
              <w:rPr>
                <w:sz w:val="18"/>
                <w:szCs w:val="18"/>
                <w:color w:val="auto"/>
              </w:rPr>
            </w:pPr>
          </w:p>
        </w:tc>
        <w:tc>
          <w:tcPr>
            <w:tcW w:w="1240" w:type="dxa"/>
            <w:vAlign w:val="bottom"/>
            <w:tcBorders>
              <w:bottom w:val="single" w:sz="8" w:color="F3F3F4"/>
            </w:tcBorders>
            <w:shd w:val="clear" w:color="auto" w:fill="F3F3F4"/>
          </w:tcPr>
          <w:p>
            <w:pPr>
              <w:jc w:val="right"/>
              <w:ind w:right="155"/>
              <w:spacing w:after="0"/>
              <w:rPr>
                <w:sz w:val="20"/>
                <w:szCs w:val="20"/>
                <w:color w:val="auto"/>
              </w:rPr>
            </w:pPr>
            <w:r>
              <w:rPr>
                <w:rFonts w:ascii="Arial" w:cs="Arial" w:eastAsia="Arial" w:hAnsi="Arial"/>
                <w:sz w:val="13"/>
                <w:szCs w:val="13"/>
                <w:color w:val="auto"/>
              </w:rPr>
              <w:t>8,000</w:t>
            </w:r>
          </w:p>
        </w:tc>
        <w:tc>
          <w:tcPr>
            <w:tcW w:w="240" w:type="dxa"/>
            <w:vAlign w:val="bottom"/>
            <w:tcBorders>
              <w:bottom w:val="single" w:sz="8" w:color="F3F3F4"/>
            </w:tcBorders>
            <w:shd w:val="clear" w:color="auto" w:fill="F3F3F4"/>
          </w:tcPr>
          <w:p>
            <w:pPr>
              <w:spacing w:after="0"/>
              <w:rPr>
                <w:sz w:val="18"/>
                <w:szCs w:val="18"/>
                <w:color w:val="auto"/>
              </w:rPr>
            </w:pPr>
          </w:p>
        </w:tc>
        <w:tc>
          <w:tcPr>
            <w:tcW w:w="860" w:type="dxa"/>
            <w:vAlign w:val="bottom"/>
            <w:tcBorders>
              <w:bottom w:val="single" w:sz="8" w:color="F3F3F4"/>
            </w:tcBorders>
            <w:shd w:val="clear" w:color="auto" w:fill="F3F3F4"/>
          </w:tcPr>
          <w:p>
            <w:pPr>
              <w:jc w:val="right"/>
              <w:ind w:right="15"/>
              <w:spacing w:after="0"/>
              <w:rPr>
                <w:sz w:val="20"/>
                <w:szCs w:val="20"/>
                <w:color w:val="auto"/>
              </w:rPr>
            </w:pPr>
            <w:r>
              <w:rPr>
                <w:rFonts w:ascii="Arial" w:cs="Arial" w:eastAsia="Arial" w:hAnsi="Arial"/>
                <w:sz w:val="13"/>
                <w:szCs w:val="13"/>
                <w:color w:val="auto"/>
              </w:rPr>
              <w:t>12,000</w:t>
            </w:r>
          </w:p>
        </w:tc>
      </w:tr>
      <w:tr>
        <w:trPr>
          <w:trHeight w:val="327"/>
        </w:trPr>
        <w:tc>
          <w:tcPr>
            <w:tcW w:w="8560" w:type="dxa"/>
            <w:vAlign w:val="bottom"/>
            <w:tcBorders>
              <w:top w:val="single" w:sz="8" w:color="auto"/>
            </w:tcBorders>
          </w:tcPr>
          <w:p>
            <w:pPr>
              <w:ind w:left="80"/>
              <w:spacing w:after="0"/>
              <w:rPr>
                <w:sz w:val="20"/>
                <w:szCs w:val="20"/>
                <w:color w:val="auto"/>
              </w:rPr>
            </w:pPr>
            <w:r>
              <w:rPr>
                <w:rFonts w:ascii="Arial" w:cs="Arial" w:eastAsia="Arial" w:hAnsi="Arial"/>
                <w:sz w:val="12"/>
                <w:szCs w:val="12"/>
                <w:b w:val="1"/>
                <w:bCs w:val="1"/>
                <w:color w:val="auto"/>
              </w:rPr>
              <w:t>Equity Compensation</w:t>
            </w: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595"/>
              <w:spacing w:after="0"/>
              <w:rPr>
                <w:sz w:val="20"/>
                <w:szCs w:val="20"/>
                <w:color w:val="auto"/>
              </w:rPr>
            </w:pPr>
            <w:r>
              <w:rPr>
                <w:rFonts w:ascii="Arial" w:cs="Arial" w:eastAsia="Arial" w:hAnsi="Arial"/>
                <w:sz w:val="12"/>
                <w:szCs w:val="12"/>
                <w:b w:val="1"/>
                <w:bCs w:val="1"/>
                <w:color w:val="auto"/>
              </w:rPr>
              <w:t>2024</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355"/>
              <w:spacing w:after="0"/>
              <w:rPr>
                <w:sz w:val="20"/>
                <w:szCs w:val="20"/>
                <w:color w:val="auto"/>
              </w:rPr>
            </w:pPr>
            <w:r>
              <w:rPr>
                <w:rFonts w:ascii="Arial" w:cs="Arial" w:eastAsia="Arial" w:hAnsi="Arial"/>
                <w:sz w:val="12"/>
                <w:szCs w:val="12"/>
                <w:b w:val="1"/>
                <w:bCs w:val="1"/>
                <w:color w:val="auto"/>
              </w:rPr>
              <w:t>2025</w:t>
            </w:r>
          </w:p>
        </w:tc>
      </w:tr>
      <w:tr>
        <w:trPr>
          <w:trHeight w:val="32"/>
        </w:trPr>
        <w:tc>
          <w:tcPr>
            <w:tcW w:w="8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0"/>
        </w:trPr>
        <w:tc>
          <w:tcPr>
            <w:tcW w:w="8560" w:type="dxa"/>
            <w:vAlign w:val="bottom"/>
            <w:tcBorders>
              <w:bottom w:val="single" w:sz="8" w:color="auto"/>
            </w:tcBorders>
            <w:shd w:val="clear" w:color="auto" w:fill="F3F3F4"/>
          </w:tcPr>
          <w:p>
            <w:pPr>
              <w:ind w:left="80"/>
              <w:spacing w:after="0"/>
              <w:rPr>
                <w:sz w:val="20"/>
                <w:szCs w:val="20"/>
                <w:color w:val="auto"/>
              </w:rPr>
            </w:pPr>
            <w:r>
              <w:rPr>
                <w:rFonts w:ascii="Arial" w:cs="Arial" w:eastAsia="Arial" w:hAnsi="Arial"/>
                <w:sz w:val="13"/>
                <w:szCs w:val="13"/>
                <w:b w:val="1"/>
                <w:bCs w:val="1"/>
                <w:color w:val="auto"/>
              </w:rPr>
              <w:t xml:space="preserve">Restricted Share Award </w:t>
            </w:r>
            <w:r>
              <w:rPr>
                <w:rFonts w:ascii="Arial" w:cs="Arial" w:eastAsia="Arial" w:hAnsi="Arial"/>
                <w:sz w:val="13"/>
                <w:szCs w:val="13"/>
                <w:color w:val="auto"/>
              </w:rPr>
              <w:t>(all non-management directors)</w:t>
            </w:r>
          </w:p>
        </w:tc>
        <w:tc>
          <w:tcPr>
            <w:tcW w:w="340" w:type="dxa"/>
            <w:vAlign w:val="bottom"/>
            <w:tcBorders>
              <w:bottom w:val="single" w:sz="8" w:color="auto"/>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F3F3F4"/>
          </w:tcPr>
          <w:p>
            <w:pPr>
              <w:jc w:val="right"/>
              <w:ind w:right="155"/>
              <w:spacing w:after="0"/>
              <w:rPr>
                <w:sz w:val="20"/>
                <w:szCs w:val="20"/>
                <w:color w:val="auto"/>
              </w:rPr>
            </w:pPr>
            <w:r>
              <w:rPr>
                <w:rFonts w:ascii="Arial" w:cs="Arial" w:eastAsia="Arial" w:hAnsi="Arial"/>
                <w:sz w:val="13"/>
                <w:szCs w:val="13"/>
                <w:color w:val="auto"/>
              </w:rPr>
              <w:t>180,000</w:t>
            </w:r>
            <w:r>
              <w:rPr>
                <w:rFonts w:ascii="Arial" w:cs="Arial" w:eastAsia="Arial" w:hAnsi="Arial"/>
                <w:sz w:val="22"/>
                <w:szCs w:val="22"/>
                <w:color w:val="auto"/>
                <w:vertAlign w:val="superscript"/>
              </w:rPr>
              <w:t>1</w:t>
            </w:r>
          </w:p>
        </w:tc>
        <w:tc>
          <w:tcPr>
            <w:tcW w:w="240" w:type="dxa"/>
            <w:vAlign w:val="bottom"/>
            <w:tcBorders>
              <w:bottom w:val="single" w:sz="8" w:color="auto"/>
            </w:tcBorders>
            <w:shd w:val="clear" w:color="auto" w:fill="F3F3F4"/>
          </w:tcPr>
          <w:p>
            <w:pPr>
              <w:jc w:val="right"/>
              <w:ind w:right="93"/>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F3F3F4"/>
          </w:tcPr>
          <w:p>
            <w:pPr>
              <w:jc w:val="right"/>
              <w:ind w:right="15"/>
              <w:spacing w:after="0"/>
              <w:rPr>
                <w:sz w:val="20"/>
                <w:szCs w:val="20"/>
                <w:color w:val="auto"/>
              </w:rPr>
            </w:pPr>
            <w:r>
              <w:rPr>
                <w:rFonts w:ascii="Arial" w:cs="Arial" w:eastAsia="Arial" w:hAnsi="Arial"/>
                <w:sz w:val="13"/>
                <w:szCs w:val="13"/>
                <w:color w:val="auto"/>
              </w:rPr>
              <w:t>180,000</w:t>
            </w:r>
          </w:p>
        </w:tc>
      </w:tr>
    </w:tbl>
    <w:p>
      <w:pPr>
        <w:spacing w:after="0" w:line="164" w:lineRule="exact"/>
        <w:rPr>
          <w:sz w:val="20"/>
          <w:szCs w:val="20"/>
          <w:color w:val="auto"/>
        </w:rPr>
      </w:pPr>
    </w:p>
    <w:p>
      <w:pPr>
        <w:ind w:left="240" w:hanging="239"/>
        <w:spacing w:after="0" w:line="249" w:lineRule="auto"/>
        <w:tabs>
          <w:tab w:leader="none" w:pos="2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their service as directors during the latter part of calendar 2024, Ms. Conner and Mr. Campbell each received a prorated initial cash retainer of $25,000 and a prorated initial equity award of whole shares valued at approximately $90,000 on the respective effective dates of their elections as directors.</w:t>
      </w:r>
    </w:p>
    <w:p>
      <w:pPr>
        <w:spacing w:after="0" w:line="157"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5"/>
          <w:szCs w:val="15"/>
          <w:color w:val="auto"/>
        </w:rPr>
        <w:t>The annual equity award consists of a number of restricted share units (RSUs) equal to $180,000 divided by the NYSE closing price of the common stock on the award date, rounded to the nearest whole share and vesting one year after the award date. The equity award for calendar 2024 was made on February 8, 2024 and will vest on February 8, 2025. Based on the NYSE closing stock price of $103.84 on the award date it amounted to 1,733 RSUs per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231140</wp:posOffset>
            </wp:positionV>
            <wp:extent cx="714121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5"/>
          <w:szCs w:val="15"/>
          <w:color w:val="auto"/>
        </w:rPr>
        <w:t>The partial-year calendar 2024 equity award to Mr. Campbell was made on October 16, 2024, based on the NYSE closing stock price of $124.57 on September 25, 2024, the effective date of his election; rounded to the nearest whole share it amounted to 722 RSUs. The partial-year 2024 equity award to Ms. Conner was made on November 6, 2024, based on the NYSE closing stock price of $127.89 on October 25, 2024, the effective date of her election; rounded to the nearest whole share it amounted to 704 RSUs. Like the full-year annual awards, each award will vest one year after the award date. Mr. Campbell elected to defer receipt of his 2024 equity award and cash retainer as described below.</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During the vesting period, each director’s RSU account accrues an additional number of unvested RSUs equivalent to the quarterly dividends that would have been paid on a like number of shares of common stock, divided by the NYSE closing price on the dividend date; and on the vesting date the director’s accrued and vested RSUs are converted into whole shares of common stock, plus cash equal to the value of any fractional shares based on the NYSE closing price on the vesting date, and are distributed and paid to the director, or if the director has elected to defer their compensation as described below, the RSUs are retained in the director’s deferred compensation account as vested common stock equivalents until the elected distribution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2025 Compensation</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Compensation Committee reviewed the non-management directors’ annual compensation program in August 2024, and based on its recommendations the Board determined to increase the annual compensation of the Committee Chairs for calendar 2025 as stated in the table above.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Election to Defer Compensation</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Directors may elect in advance to defer receipt of all of their cash compensation and/or all of their stock compensation. If deferral is elected, the deferred amounts are credited to the director’s deferred compensation account in common stock equivalents. If cash compensation is deferred, the number of common stock equivalents credited is equal to the amount deferred divided by the NYSE closing price of the common stock as of the date on which the deferral occurs (or if that is not a trading day, then the last preceding trading day). If stock compensation is deferred, the number of common stock equivalents credited is equal to the number of shares whose receipt is deferred. Common stock equivalents in the director’s deferred compensation account have no voting rights, but earn dividend equivalents on each dividend payment date equal to the dividends payable on a like number of shares of common stock; and the dividend equivalents earned are credited to the director’s deferred compensation account as additional common stock equivalents valued at the NYSE closing price on the dividend date. A director’s deferred compensation account becomes distributable when the director leaves the Board, or at such other date as may be specified by the director consistent with the terms of the Director Compensation Plan; distribution will be accelerated in certain circumstances, including a change in control of the Company. The account is distributable at the election of the director either in cash or in shares; however, any stock portion which has been deferred may only be distributed in shares. For fiscal 2024, Mr. Campbell, Mr. Dewar, Ms. Hess and Mr. Olivier elected to defer receipt of their cash compensation and stock compensation and Ms. Valdez elected to defer receipt of her cash compensation, as described in the footnotes to the Fiscal 2024 Compensation table below. In addition, Mr. Phillippy’s and Ms. Valdez’s cash and stock compensation from certain prior years continued to be deferred pursuant to prior deferral elections which they had terminated as to future compensation.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Director Stock Ownership Guidelines</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Directors are subject to stock ownership guidelines. Under these guidelines, within five years after their appointment to the Board each non-management director is expected to acquire and hold shares or common stock equivalents having a total cash value equal to at least five times the annual cash retainer. All directors currently exceed the ownership guidelines except for Mr. Campbell and Ms. Conner, who are on track to reach the guideline amount in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Fiscal 2024 Compensation</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 xml:space="preserve">The following table sets forth the compensation of the Company’s non-management directors for fiscal 2024, including former director James M Stolze, who retired at the February 2024 Annual Meeting. Ms. Conner did not begin her service as a director until October 2025 and therefore received no compensation for fiscal 2024. As an executive officer, Mr. Sayler did not receive any additional compensation for his service as a director; his compensation is described under </w:t>
      </w:r>
      <w:r>
        <w:rPr>
          <w:rFonts w:ascii="Arial" w:cs="Arial" w:eastAsia="Arial" w:hAnsi="Arial"/>
          <w:sz w:val="15"/>
          <w:szCs w:val="15"/>
          <w:b w:val="1"/>
          <w:bCs w:val="1"/>
          <w:i w:val="1"/>
          <w:iCs w:val="1"/>
          <w:color w:val="auto"/>
        </w:rPr>
        <w:t>Proposal 2: Advisory</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 xml:space="preserve">Vote on Executive Compensation </w:t>
      </w:r>
      <w:r>
        <w:rPr>
          <w:rFonts w:ascii="Arial" w:cs="Arial" w:eastAsia="Arial" w:hAnsi="Arial"/>
          <w:sz w:val="15"/>
          <w:szCs w:val="15"/>
          <w:color w:val="auto"/>
        </w:rPr>
        <w:t>beginning on</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page 23</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252730</wp:posOffset>
            </wp:positionV>
            <wp:extent cx="714121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51"/>
        </w:trPr>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9"/>
              </w:rPr>
              <w:t>Change in</w:t>
            </w: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7"/>
              </w:rPr>
              <w:t>Pension Value</w:t>
            </w: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6"/>
              </w:rPr>
              <w:t>and Nonqualified</w:t>
            </w: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9"/>
              </w:rPr>
              <w:t>Non-Equity</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rPr>
              <w:t>Deferred</w:t>
            </w:r>
          </w:p>
        </w:tc>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Name</w:t>
            </w:r>
          </w:p>
        </w:tc>
        <w:tc>
          <w:tcPr>
            <w:tcW w:w="1480" w:type="dxa"/>
            <w:vAlign w:val="bottom"/>
          </w:tcPr>
          <w:p>
            <w:pPr>
              <w:jc w:val="right"/>
              <w:ind w:right="254"/>
              <w:spacing w:after="0"/>
              <w:rPr>
                <w:sz w:val="20"/>
                <w:szCs w:val="20"/>
                <w:color w:val="auto"/>
              </w:rPr>
            </w:pPr>
            <w:r>
              <w:rPr>
                <w:rFonts w:ascii="Arial" w:cs="Arial" w:eastAsia="Arial" w:hAnsi="Arial"/>
                <w:sz w:val="12"/>
                <w:szCs w:val="12"/>
                <w:b w:val="1"/>
                <w:bCs w:val="1"/>
                <w:color w:val="auto"/>
              </w:rPr>
              <w:t>Fees Earned or</w:t>
            </w:r>
          </w:p>
        </w:tc>
        <w:tc>
          <w:tcPr>
            <w:tcW w:w="1340" w:type="dxa"/>
            <w:vAlign w:val="bottom"/>
            <w:vMerge w:val="restart"/>
          </w:tcPr>
          <w:p>
            <w:pPr>
              <w:jc w:val="right"/>
              <w:ind w:right="194"/>
              <w:spacing w:after="0"/>
              <w:rPr>
                <w:sz w:val="20"/>
                <w:szCs w:val="20"/>
                <w:color w:val="auto"/>
              </w:rPr>
            </w:pPr>
            <w:r>
              <w:rPr>
                <w:rFonts w:ascii="Arial" w:cs="Arial" w:eastAsia="Arial" w:hAnsi="Arial"/>
                <w:sz w:val="12"/>
                <w:szCs w:val="12"/>
                <w:b w:val="1"/>
                <w:bCs w:val="1"/>
                <w:color w:val="auto"/>
              </w:rPr>
              <w:t>Stock Awards</w:t>
            </w:r>
            <w:r>
              <w:rPr>
                <w:rFonts w:ascii="Arial" w:cs="Arial" w:eastAsia="Arial" w:hAnsi="Arial"/>
                <w:sz w:val="19"/>
                <w:szCs w:val="19"/>
                <w:b w:val="1"/>
                <w:bCs w:val="1"/>
                <w:color w:val="auto"/>
                <w:vertAlign w:val="superscript"/>
              </w:rPr>
              <w:t>1</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9"/>
              </w:rPr>
              <w:t>Incentive Plan</w:t>
            </w:r>
          </w:p>
        </w:tc>
        <w:tc>
          <w:tcPr>
            <w:tcW w:w="1580" w:type="dxa"/>
            <w:vAlign w:val="bottom"/>
          </w:tcPr>
          <w:p>
            <w:pPr>
              <w:jc w:val="center"/>
              <w:spacing w:after="0"/>
              <w:rPr>
                <w:sz w:val="20"/>
                <w:szCs w:val="20"/>
                <w:color w:val="auto"/>
              </w:rPr>
            </w:pPr>
            <w:r>
              <w:rPr>
                <w:rFonts w:ascii="Arial" w:cs="Arial" w:eastAsia="Arial" w:hAnsi="Arial"/>
                <w:sz w:val="12"/>
                <w:szCs w:val="12"/>
                <w:b w:val="1"/>
                <w:bCs w:val="1"/>
                <w:color w:val="auto"/>
                <w:w w:val="98"/>
              </w:rPr>
              <w:t>Compensation</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4"/>
              </w:rPr>
              <w:t>All Other</w:t>
            </w:r>
          </w:p>
        </w:tc>
        <w:tc>
          <w:tcPr>
            <w:tcW w:w="1340" w:type="dxa"/>
            <w:vAlign w:val="bottom"/>
            <w:vMerge w:val="restart"/>
          </w:tcPr>
          <w:p>
            <w:pPr>
              <w:jc w:val="right"/>
              <w:ind w:right="454"/>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2"/>
        </w:trPr>
        <w:tc>
          <w:tcPr>
            <w:tcW w:w="2140" w:type="dxa"/>
            <w:vAlign w:val="bottom"/>
            <w:tcBorders>
              <w:bottom w:val="single" w:sz="8" w:color="auto"/>
            </w:tcBorders>
            <w:vMerge w:val="continue"/>
          </w:tcPr>
          <w:p>
            <w:pPr>
              <w:spacing w:after="0"/>
              <w:rPr>
                <w:sz w:val="17"/>
                <w:szCs w:val="17"/>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2"/>
                <w:szCs w:val="12"/>
                <w:b w:val="1"/>
                <w:bCs w:val="1"/>
                <w:color w:val="auto"/>
              </w:rPr>
              <w:t>Paid in Cash</w:t>
            </w:r>
          </w:p>
        </w:tc>
        <w:tc>
          <w:tcPr>
            <w:tcW w:w="13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Awards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Compensation</w:t>
            </w:r>
          </w:p>
        </w:tc>
        <w:tc>
          <w:tcPr>
            <w:tcW w:w="15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2"/>
                <w:szCs w:val="12"/>
                <w:b w:val="1"/>
                <w:bCs w:val="1"/>
                <w:color w:val="auto"/>
                <w:w w:val="92"/>
              </w:rPr>
              <w:t>Earnings</w:t>
            </w:r>
            <w:r>
              <w:rPr>
                <w:rFonts w:ascii="Arial" w:cs="Arial" w:eastAsia="Arial" w:hAnsi="Arial"/>
                <w:sz w:val="19"/>
                <w:szCs w:val="19"/>
                <w:b w:val="1"/>
                <w:bCs w:val="1"/>
                <w:color w:val="auto"/>
                <w:w w:val="92"/>
                <w:vertAlign w:val="superscript"/>
              </w:rPr>
              <w:t>2,3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Compensation</w:t>
            </w: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14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David A. Campbell</w:t>
            </w:r>
          </w:p>
        </w:tc>
        <w:tc>
          <w:tcPr>
            <w:tcW w:w="148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    25,000</w:t>
            </w:r>
            <w:r>
              <w:rPr>
                <w:rFonts w:ascii="Arial" w:cs="Arial" w:eastAsia="Arial" w:hAnsi="Arial"/>
                <w:sz w:val="19"/>
                <w:szCs w:val="19"/>
                <w:color w:val="auto"/>
                <w:vertAlign w:val="superscript"/>
              </w:rPr>
              <w:t>4</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   89,940</w:t>
            </w:r>
          </w:p>
        </w:tc>
        <w:tc>
          <w:tcPr>
            <w:tcW w:w="80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580" w:type="dxa"/>
            <w:vAlign w:val="bottom"/>
            <w:tcBorders>
              <w:bottom w:val="single" w:sz="8" w:color="808080"/>
            </w:tcBorders>
            <w:shd w:val="clear" w:color="auto" w:fill="F3F3F4"/>
          </w:tcPr>
          <w:p>
            <w:pPr>
              <w:jc w:val="right"/>
              <w:ind w:right="16"/>
              <w:spacing w:after="0"/>
              <w:rPr>
                <w:sz w:val="20"/>
                <w:szCs w:val="20"/>
                <w:color w:val="auto"/>
              </w:rPr>
            </w:pPr>
            <w:r>
              <w:rPr>
                <w:rFonts w:ascii="Arial" w:cs="Arial" w:eastAsia="Arial" w:hAnsi="Arial"/>
                <w:sz w:val="13"/>
                <w:szCs w:val="13"/>
                <w:color w:val="auto"/>
              </w:rPr>
              <w:t>$   0</w:t>
            </w:r>
          </w:p>
        </w:tc>
        <w:tc>
          <w:tcPr>
            <w:tcW w:w="132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    114,940</w:t>
            </w:r>
          </w:p>
        </w:tc>
        <w:tc>
          <w:tcPr>
            <w:tcW w:w="0" w:type="dxa"/>
            <w:vAlign w:val="bottom"/>
          </w:tcPr>
          <w:p>
            <w:pPr>
              <w:spacing w:after="0"/>
              <w:rPr>
                <w:sz w:val="1"/>
                <w:szCs w:val="1"/>
                <w:color w:val="auto"/>
              </w:rPr>
            </w:pPr>
          </w:p>
        </w:tc>
      </w:tr>
      <w:tr>
        <w:trPr>
          <w:trHeight w:val="258"/>
        </w:trPr>
        <w:tc>
          <w:tcPr>
            <w:tcW w:w="214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Patrick M. Dewar</w:t>
            </w:r>
          </w:p>
        </w:tc>
        <w:tc>
          <w:tcPr>
            <w:tcW w:w="148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62,500</w:t>
            </w:r>
            <w:r>
              <w:rPr>
                <w:rFonts w:ascii="Arial" w:cs="Arial" w:eastAsia="Arial" w:hAnsi="Arial"/>
                <w:sz w:val="19"/>
                <w:szCs w:val="19"/>
                <w:color w:val="auto"/>
                <w:vertAlign w:val="superscript"/>
              </w:rPr>
              <w:t>5</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180,522</w:t>
            </w:r>
          </w:p>
        </w:tc>
        <w:tc>
          <w:tcPr>
            <w:tcW w:w="80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580" w:type="dxa"/>
            <w:vAlign w:val="bottom"/>
            <w:tcBorders>
              <w:bottom w:val="single" w:sz="8" w:color="808080"/>
            </w:tcBorders>
            <w:shd w:val="clear" w:color="auto" w:fill="F3F3F4"/>
          </w:tcPr>
          <w:p>
            <w:pPr>
              <w:jc w:val="right"/>
              <w:ind w:right="16"/>
              <w:spacing w:after="0"/>
              <w:rPr>
                <w:sz w:val="20"/>
                <w:szCs w:val="20"/>
                <w:color w:val="auto"/>
              </w:rPr>
            </w:pPr>
            <w:r>
              <w:rPr>
                <w:rFonts w:ascii="Arial" w:cs="Arial" w:eastAsia="Arial" w:hAnsi="Arial"/>
                <w:sz w:val="13"/>
                <w:szCs w:val="13"/>
                <w:color w:val="auto"/>
              </w:rPr>
              <w:t>5,687</w:t>
            </w:r>
          </w:p>
        </w:tc>
        <w:tc>
          <w:tcPr>
            <w:tcW w:w="132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248,709</w:t>
            </w:r>
          </w:p>
        </w:tc>
        <w:tc>
          <w:tcPr>
            <w:tcW w:w="0" w:type="dxa"/>
            <w:vAlign w:val="bottom"/>
          </w:tcPr>
          <w:p>
            <w:pPr>
              <w:spacing w:after="0"/>
              <w:rPr>
                <w:sz w:val="1"/>
                <w:szCs w:val="1"/>
                <w:color w:val="auto"/>
              </w:rPr>
            </w:pPr>
          </w:p>
        </w:tc>
      </w:tr>
      <w:tr>
        <w:trPr>
          <w:trHeight w:val="258"/>
        </w:trPr>
        <w:tc>
          <w:tcPr>
            <w:tcW w:w="214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Janice L. Hess</w:t>
            </w:r>
          </w:p>
        </w:tc>
        <w:tc>
          <w:tcPr>
            <w:tcW w:w="148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50,000</w:t>
            </w:r>
            <w:r>
              <w:rPr>
                <w:rFonts w:ascii="Arial" w:cs="Arial" w:eastAsia="Arial" w:hAnsi="Arial"/>
                <w:sz w:val="19"/>
                <w:szCs w:val="19"/>
                <w:color w:val="auto"/>
                <w:vertAlign w:val="superscript"/>
              </w:rPr>
              <w:t>6</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180,522</w:t>
            </w:r>
          </w:p>
        </w:tc>
        <w:tc>
          <w:tcPr>
            <w:tcW w:w="80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580" w:type="dxa"/>
            <w:vAlign w:val="bottom"/>
            <w:tcBorders>
              <w:bottom w:val="single" w:sz="8" w:color="808080"/>
            </w:tcBorders>
            <w:shd w:val="clear" w:color="auto" w:fill="F3F3F4"/>
          </w:tcPr>
          <w:p>
            <w:pPr>
              <w:jc w:val="right"/>
              <w:ind w:right="16"/>
              <w:spacing w:after="0"/>
              <w:rPr>
                <w:sz w:val="20"/>
                <w:szCs w:val="20"/>
                <w:color w:val="auto"/>
              </w:rPr>
            </w:pPr>
            <w:r>
              <w:rPr>
                <w:rFonts w:ascii="Arial" w:cs="Arial" w:eastAsia="Arial" w:hAnsi="Arial"/>
                <w:sz w:val="13"/>
                <w:szCs w:val="13"/>
                <w:color w:val="auto"/>
              </w:rPr>
              <w:t>1,369</w:t>
            </w:r>
          </w:p>
        </w:tc>
        <w:tc>
          <w:tcPr>
            <w:tcW w:w="132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231,891</w:t>
            </w:r>
          </w:p>
        </w:tc>
        <w:tc>
          <w:tcPr>
            <w:tcW w:w="0" w:type="dxa"/>
            <w:vAlign w:val="bottom"/>
          </w:tcPr>
          <w:p>
            <w:pPr>
              <w:spacing w:after="0"/>
              <w:rPr>
                <w:sz w:val="1"/>
                <w:szCs w:val="1"/>
                <w:color w:val="auto"/>
              </w:rPr>
            </w:pPr>
          </w:p>
        </w:tc>
      </w:tr>
      <w:tr>
        <w:trPr>
          <w:trHeight w:val="258"/>
        </w:trPr>
        <w:tc>
          <w:tcPr>
            <w:tcW w:w="214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Vinod M. Khilnani</w:t>
            </w:r>
          </w:p>
        </w:tc>
        <w:tc>
          <w:tcPr>
            <w:tcW w:w="148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60,078</w:t>
            </w:r>
            <w:r>
              <w:rPr>
                <w:rFonts w:ascii="Arial" w:cs="Arial" w:eastAsia="Arial" w:hAnsi="Arial"/>
                <w:sz w:val="19"/>
                <w:szCs w:val="19"/>
                <w:color w:val="auto"/>
                <w:vertAlign w:val="superscript"/>
              </w:rPr>
              <w:t>7</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180,522</w:t>
            </w:r>
          </w:p>
        </w:tc>
        <w:tc>
          <w:tcPr>
            <w:tcW w:w="80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580" w:type="dxa"/>
            <w:vAlign w:val="bottom"/>
            <w:tcBorders>
              <w:bottom w:val="single" w:sz="8" w:color="808080"/>
            </w:tcBorders>
            <w:shd w:val="clear" w:color="auto" w:fill="F3F3F4"/>
          </w:tcPr>
          <w:p>
            <w:pPr>
              <w:jc w:val="right"/>
              <w:ind w:right="16"/>
              <w:spacing w:after="0"/>
              <w:rPr>
                <w:sz w:val="20"/>
                <w:szCs w:val="20"/>
                <w:color w:val="auto"/>
              </w:rPr>
            </w:pPr>
            <w:r>
              <w:rPr>
                <w:rFonts w:ascii="Arial" w:cs="Arial" w:eastAsia="Arial" w:hAnsi="Arial"/>
                <w:sz w:val="13"/>
                <w:szCs w:val="13"/>
                <w:color w:val="auto"/>
              </w:rPr>
              <w:t>0</w:t>
            </w:r>
          </w:p>
        </w:tc>
        <w:tc>
          <w:tcPr>
            <w:tcW w:w="132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240,600</w:t>
            </w:r>
          </w:p>
        </w:tc>
        <w:tc>
          <w:tcPr>
            <w:tcW w:w="0" w:type="dxa"/>
            <w:vAlign w:val="bottom"/>
          </w:tcPr>
          <w:p>
            <w:pPr>
              <w:spacing w:after="0"/>
              <w:rPr>
                <w:sz w:val="1"/>
                <w:szCs w:val="1"/>
                <w:color w:val="auto"/>
              </w:rPr>
            </w:pPr>
          </w:p>
        </w:tc>
      </w:tr>
      <w:tr>
        <w:trPr>
          <w:trHeight w:val="258"/>
        </w:trPr>
        <w:tc>
          <w:tcPr>
            <w:tcW w:w="214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Leon J. Olivier</w:t>
            </w:r>
          </w:p>
        </w:tc>
        <w:tc>
          <w:tcPr>
            <w:tcW w:w="148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58,000</w:t>
            </w:r>
            <w:r>
              <w:rPr>
                <w:rFonts w:ascii="Arial" w:cs="Arial" w:eastAsia="Arial" w:hAnsi="Arial"/>
                <w:sz w:val="19"/>
                <w:szCs w:val="19"/>
                <w:color w:val="auto"/>
                <w:vertAlign w:val="superscript"/>
              </w:rPr>
              <w:t>8</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180,522</w:t>
            </w:r>
          </w:p>
        </w:tc>
        <w:tc>
          <w:tcPr>
            <w:tcW w:w="80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580" w:type="dxa"/>
            <w:vAlign w:val="bottom"/>
            <w:tcBorders>
              <w:bottom w:val="single" w:sz="8" w:color="808080"/>
            </w:tcBorders>
            <w:shd w:val="clear" w:color="auto" w:fill="F3F3F4"/>
          </w:tcPr>
          <w:p>
            <w:pPr>
              <w:jc w:val="right"/>
              <w:ind w:right="16"/>
              <w:spacing w:after="0"/>
              <w:rPr>
                <w:sz w:val="20"/>
                <w:szCs w:val="20"/>
                <w:color w:val="auto"/>
              </w:rPr>
            </w:pPr>
            <w:r>
              <w:rPr>
                <w:rFonts w:ascii="Arial" w:cs="Arial" w:eastAsia="Arial" w:hAnsi="Arial"/>
                <w:sz w:val="13"/>
                <w:szCs w:val="13"/>
                <w:color w:val="auto"/>
              </w:rPr>
              <w:t>10,884</w:t>
            </w:r>
          </w:p>
        </w:tc>
        <w:tc>
          <w:tcPr>
            <w:tcW w:w="132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249,406</w:t>
            </w:r>
          </w:p>
        </w:tc>
        <w:tc>
          <w:tcPr>
            <w:tcW w:w="0" w:type="dxa"/>
            <w:vAlign w:val="bottom"/>
          </w:tcPr>
          <w:p>
            <w:pPr>
              <w:spacing w:after="0"/>
              <w:rPr>
                <w:sz w:val="1"/>
                <w:szCs w:val="1"/>
                <w:color w:val="auto"/>
              </w:rPr>
            </w:pPr>
          </w:p>
        </w:tc>
      </w:tr>
      <w:tr>
        <w:trPr>
          <w:trHeight w:val="258"/>
        </w:trPr>
        <w:tc>
          <w:tcPr>
            <w:tcW w:w="214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Robert J. Phillippy</w:t>
            </w:r>
          </w:p>
        </w:tc>
        <w:tc>
          <w:tcPr>
            <w:tcW w:w="148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135,078</w:t>
            </w:r>
            <w:r>
              <w:rPr>
                <w:rFonts w:ascii="Arial" w:cs="Arial" w:eastAsia="Arial" w:hAnsi="Arial"/>
                <w:sz w:val="19"/>
                <w:szCs w:val="19"/>
                <w:color w:val="auto"/>
                <w:vertAlign w:val="superscript"/>
              </w:rPr>
              <w:t>9</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180,522</w:t>
            </w:r>
          </w:p>
        </w:tc>
        <w:tc>
          <w:tcPr>
            <w:tcW w:w="80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580" w:type="dxa"/>
            <w:vAlign w:val="bottom"/>
            <w:tcBorders>
              <w:bottom w:val="single" w:sz="8" w:color="808080"/>
            </w:tcBorders>
            <w:shd w:val="clear" w:color="auto" w:fill="F3F3F4"/>
          </w:tcPr>
          <w:p>
            <w:pPr>
              <w:jc w:val="right"/>
              <w:ind w:right="16"/>
              <w:spacing w:after="0"/>
              <w:rPr>
                <w:sz w:val="20"/>
                <w:szCs w:val="20"/>
                <w:color w:val="auto"/>
              </w:rPr>
            </w:pPr>
            <w:r>
              <w:rPr>
                <w:rFonts w:ascii="Arial" w:cs="Arial" w:eastAsia="Arial" w:hAnsi="Arial"/>
                <w:sz w:val="13"/>
                <w:szCs w:val="13"/>
                <w:color w:val="auto"/>
              </w:rPr>
              <w:t>6,071</w:t>
            </w:r>
          </w:p>
        </w:tc>
        <w:tc>
          <w:tcPr>
            <w:tcW w:w="132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321,671</w:t>
            </w:r>
          </w:p>
        </w:tc>
        <w:tc>
          <w:tcPr>
            <w:tcW w:w="0" w:type="dxa"/>
            <w:vAlign w:val="bottom"/>
          </w:tcPr>
          <w:p>
            <w:pPr>
              <w:spacing w:after="0"/>
              <w:rPr>
                <w:sz w:val="1"/>
                <w:szCs w:val="1"/>
                <w:color w:val="auto"/>
              </w:rPr>
            </w:pPr>
          </w:p>
        </w:tc>
      </w:tr>
      <w:tr>
        <w:trPr>
          <w:trHeight w:val="258"/>
        </w:trPr>
        <w:tc>
          <w:tcPr>
            <w:tcW w:w="214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James M. Stolze</w:t>
            </w:r>
          </w:p>
        </w:tc>
        <w:tc>
          <w:tcPr>
            <w:tcW w:w="148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12,578</w:t>
            </w:r>
            <w:r>
              <w:rPr>
                <w:rFonts w:ascii="Arial" w:cs="Arial" w:eastAsia="Arial" w:hAnsi="Arial"/>
                <w:sz w:val="19"/>
                <w:szCs w:val="19"/>
                <w:color w:val="auto"/>
                <w:vertAlign w:val="superscript"/>
              </w:rPr>
              <w:t>10</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80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580" w:type="dxa"/>
            <w:vAlign w:val="bottom"/>
            <w:tcBorders>
              <w:bottom w:val="single" w:sz="8" w:color="808080"/>
            </w:tcBorders>
            <w:shd w:val="clear" w:color="auto" w:fill="F3F3F4"/>
          </w:tcPr>
          <w:p>
            <w:pPr>
              <w:jc w:val="right"/>
              <w:ind w:right="16"/>
              <w:spacing w:after="0"/>
              <w:rPr>
                <w:sz w:val="20"/>
                <w:szCs w:val="20"/>
                <w:color w:val="auto"/>
              </w:rPr>
            </w:pPr>
            <w:r>
              <w:rPr>
                <w:rFonts w:ascii="Arial" w:cs="Arial" w:eastAsia="Arial" w:hAnsi="Arial"/>
                <w:sz w:val="13"/>
                <w:szCs w:val="13"/>
                <w:color w:val="auto"/>
              </w:rPr>
              <w:t>3,055</w:t>
            </w:r>
          </w:p>
        </w:tc>
        <w:tc>
          <w:tcPr>
            <w:tcW w:w="132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15,633</w:t>
            </w:r>
          </w:p>
        </w:tc>
        <w:tc>
          <w:tcPr>
            <w:tcW w:w="0" w:type="dxa"/>
            <w:vAlign w:val="bottom"/>
          </w:tcPr>
          <w:p>
            <w:pPr>
              <w:spacing w:after="0"/>
              <w:rPr>
                <w:sz w:val="1"/>
                <w:szCs w:val="1"/>
                <w:color w:val="auto"/>
              </w:rPr>
            </w:pPr>
          </w:p>
        </w:tc>
      </w:tr>
      <w:tr>
        <w:trPr>
          <w:trHeight w:val="258"/>
        </w:trPr>
        <w:tc>
          <w:tcPr>
            <w:tcW w:w="214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Gloria L. Valdez</w:t>
            </w:r>
          </w:p>
        </w:tc>
        <w:tc>
          <w:tcPr>
            <w:tcW w:w="148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50,140</w:t>
            </w:r>
            <w:r>
              <w:rPr>
                <w:rFonts w:ascii="Arial" w:cs="Arial" w:eastAsia="Arial" w:hAnsi="Arial"/>
                <w:sz w:val="19"/>
                <w:szCs w:val="19"/>
                <w:color w:val="auto"/>
                <w:vertAlign w:val="superscript"/>
              </w:rPr>
              <w:t>11</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180,522</w:t>
            </w:r>
          </w:p>
        </w:tc>
        <w:tc>
          <w:tcPr>
            <w:tcW w:w="80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24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580" w:type="dxa"/>
            <w:vAlign w:val="bottom"/>
            <w:tcBorders>
              <w:bottom w:val="single" w:sz="8" w:color="808080"/>
            </w:tcBorders>
            <w:shd w:val="clear" w:color="auto" w:fill="F3F3F4"/>
          </w:tcPr>
          <w:p>
            <w:pPr>
              <w:jc w:val="right"/>
              <w:ind w:right="16"/>
              <w:spacing w:after="0"/>
              <w:rPr>
                <w:sz w:val="20"/>
                <w:szCs w:val="20"/>
                <w:color w:val="auto"/>
              </w:rPr>
            </w:pPr>
            <w:r>
              <w:rPr>
                <w:rFonts w:ascii="Arial" w:cs="Arial" w:eastAsia="Arial" w:hAnsi="Arial"/>
                <w:sz w:val="13"/>
                <w:szCs w:val="13"/>
                <w:color w:val="auto"/>
              </w:rPr>
              <w:t>2,569</w:t>
            </w:r>
          </w:p>
        </w:tc>
        <w:tc>
          <w:tcPr>
            <w:tcW w:w="1320" w:type="dxa"/>
            <w:vAlign w:val="bottom"/>
            <w:tcBorders>
              <w:bottom w:val="single" w:sz="8" w:color="808080"/>
            </w:tcBorders>
            <w:shd w:val="clear" w:color="auto" w:fill="F3F3F4"/>
          </w:tcPr>
          <w:p>
            <w:pPr>
              <w:jc w:val="center"/>
              <w:spacing w:after="0"/>
              <w:rPr>
                <w:sz w:val="20"/>
                <w:szCs w:val="20"/>
                <w:color w:val="auto"/>
              </w:rPr>
            </w:pPr>
            <w:r>
              <w:rPr>
                <w:rFonts w:ascii="Arial" w:cs="Arial" w:eastAsia="Arial" w:hAnsi="Arial"/>
                <w:sz w:val="13"/>
                <w:szCs w:val="13"/>
                <w:color w:val="auto"/>
                <w:w w:val="91"/>
              </w:rPr>
              <w:t>—</w:t>
            </w:r>
          </w:p>
        </w:tc>
        <w:tc>
          <w:tcPr>
            <w:tcW w:w="1340" w:type="dxa"/>
            <w:vAlign w:val="bottom"/>
            <w:tcBorders>
              <w:bottom w:val="single" w:sz="8" w:color="808080"/>
            </w:tcBorders>
            <w:shd w:val="clear" w:color="auto" w:fill="F3F3F4"/>
          </w:tcPr>
          <w:p>
            <w:pPr>
              <w:jc w:val="right"/>
              <w:spacing w:after="0"/>
              <w:rPr>
                <w:sz w:val="20"/>
                <w:szCs w:val="20"/>
                <w:color w:val="auto"/>
              </w:rPr>
            </w:pPr>
            <w:r>
              <w:rPr>
                <w:rFonts w:ascii="Arial" w:cs="Arial" w:eastAsia="Arial" w:hAnsi="Arial"/>
                <w:sz w:val="13"/>
                <w:szCs w:val="13"/>
                <w:color w:val="auto"/>
              </w:rPr>
              <w:t>233,231</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220" w:right="20" w:hanging="219"/>
        <w:spacing w:after="0" w:line="253" w:lineRule="auto"/>
        <w:tabs>
          <w:tab w:leader="none" w:pos="2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 xml:space="preserve">Dollar amounts for the directors other than Mr. Campbell and Mr. Stolze represent (i) the aggregate fair values of the 1,733 RSUs awarded to the respective directors on February 8, 2024, based on the NYSE closing price of the underlying common stock of $103.84 on that date; plus (ii) the values of the dividend equivalents accrued on the respective directors’ unvested RSUs held during fiscal 2024 as of the respective dividend dates. The dollar amount for Mr. Campbell represents the aggregate fair value of the 722 RSUs deemed earned by Mr. Cambell on September 25, 2024, the effective date of his election as a director, but not issued until fiscal 2025. See </w:t>
      </w:r>
      <w:r>
        <w:rPr>
          <w:rFonts w:ascii="Arial" w:cs="Arial" w:eastAsia="Arial" w:hAnsi="Arial"/>
          <w:sz w:val="13"/>
          <w:szCs w:val="13"/>
          <w:b w:val="1"/>
          <w:bCs w:val="1"/>
          <w:i w:val="1"/>
          <w:iCs w:val="1"/>
          <w:color w:val="auto"/>
        </w:rPr>
        <w:t>Components of 2024 and 2025 Director Compensation</w:t>
      </w:r>
      <w:r>
        <w:rPr>
          <w:rFonts w:ascii="Arial" w:cs="Arial" w:eastAsia="Arial" w:hAnsi="Arial"/>
          <w:sz w:val="13"/>
          <w:szCs w:val="13"/>
          <w:color w:val="auto"/>
        </w:rPr>
        <w:t xml:space="preserve"> above. In view of his retirement in February 2024, Mr. Stolze did not receive an equity award in fiscal 2024.</w:t>
      </w:r>
    </w:p>
    <w:p>
      <w:pPr>
        <w:spacing w:after="0" w:line="108" w:lineRule="exact"/>
        <w:rPr>
          <w:sz w:val="20"/>
          <w:szCs w:val="20"/>
          <w:color w:val="auto"/>
        </w:rPr>
      </w:pPr>
    </w:p>
    <w:p>
      <w:pPr>
        <w:ind w:left="220" w:hanging="219"/>
        <w:spacing w:after="0" w:line="298" w:lineRule="auto"/>
        <w:tabs>
          <w:tab w:leader="none" w:pos="2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 xml:space="preserve">Dollar amounts represent the values of the dividend equivalents accrued as of the respective dividend dates during fiscal 2024 on the elective deferred stock compensation accounts of Mr. Dewar, Ms. Hess, Mr. Olivier, Mr. Phillippy, Mr. Stolze and Ms. Valdez. See </w:t>
      </w:r>
      <w:r>
        <w:rPr>
          <w:rFonts w:ascii="Arial" w:cs="Arial" w:eastAsia="Arial" w:hAnsi="Arial"/>
          <w:sz w:val="13"/>
          <w:szCs w:val="13"/>
          <w:b w:val="1"/>
          <w:bCs w:val="1"/>
          <w:i w:val="1"/>
          <w:iCs w:val="1"/>
          <w:color w:val="auto"/>
        </w:rPr>
        <w:t>Components of 2024 and 2025 Director Compensation</w:t>
      </w:r>
      <w:r>
        <w:rPr>
          <w:rFonts w:ascii="Arial" w:cs="Arial" w:eastAsia="Arial" w:hAnsi="Arial"/>
          <w:sz w:val="13"/>
          <w:szCs w:val="13"/>
          <w:color w:val="auto"/>
        </w:rPr>
        <w:t xml:space="preserve"> above.</w:t>
      </w:r>
    </w:p>
    <w:p>
      <w:pPr>
        <w:spacing w:after="0" w:line="71" w:lineRule="exact"/>
        <w:rPr>
          <w:sz w:val="20"/>
          <w:szCs w:val="20"/>
          <w:color w:val="auto"/>
        </w:rPr>
      </w:pPr>
    </w:p>
    <w:p>
      <w:pPr>
        <w:jc w:val="both"/>
        <w:ind w:left="220" w:right="20" w:hanging="219"/>
        <w:spacing w:after="0" w:line="250" w:lineRule="auto"/>
        <w:tabs>
          <w:tab w:leader="none" w:pos="2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for Mr. Stolze, the change in actuarial present value of his accumulated benefits under the Directors’ Extended Compensation Plan, a plan for non-management directors who began Board service prior to April 2001. Under the plan, Mr. Stolze was eligible to receive for life an annual benefit of $20,000 beginning after his service as a director ceased; however, as permitted by the plan and in compliance with section 409(a) of the Internal Revenue Code, Mr. Stolze elected to receive the actuarial equivalent of the benefit in a single lump sum after retirement. Accordingly, following his retirement in February 2024, Mr. Stolze received a lump-sum payment of $172,266 in satisfaction of his benefit entitlement. Because Mr. Stolze elected to receive his benefit in the form of a lump sum, the present value was calculated based on the August 2023 417(e) lump sum segment rates and the 2023 417(e) IRS prescribed mortality table. From September 30, 2023 to his actual payment as of April 1, 2024, Mr. Stolze’s pension values decreased in the amount of ($602). Pursuant to SEC regulations, the amount in the table does not include this decrease.</w:t>
      </w:r>
    </w:p>
    <w:p>
      <w:pPr>
        <w:spacing w:after="0" w:line="109" w:lineRule="exact"/>
        <w:rPr>
          <w:sz w:val="20"/>
          <w:szCs w:val="20"/>
          <w:color w:val="auto"/>
        </w:rPr>
      </w:pPr>
    </w:p>
    <w:p>
      <w:pPr>
        <w:ind w:left="220" w:right="20" w:hanging="219"/>
        <w:spacing w:after="0" w:line="285" w:lineRule="auto"/>
        <w:tabs>
          <w:tab w:leader="none" w:pos="2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a prorated calendar 2024 cash retainer of $25,000, deemed earned by Mr. Campbell on September 25, 2024, the effective date of his election as a director, but not paid until fiscal 2025.</w:t>
      </w:r>
    </w:p>
    <w:p>
      <w:pPr>
        <w:spacing w:after="0" w:line="87" w:lineRule="exact"/>
        <w:rPr>
          <w:sz w:val="20"/>
          <w:szCs w:val="20"/>
          <w:color w:val="auto"/>
        </w:rPr>
      </w:pPr>
    </w:p>
    <w:p>
      <w:pPr>
        <w:ind w:left="220" w:right="20" w:hanging="219"/>
        <w:spacing w:after="0" w:line="285" w:lineRule="auto"/>
        <w:tabs>
          <w:tab w:leader="none" w:pos="2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cash retainer of $50,000 and Audit Committee Chair fee of $12,500; however, Mr. Dewar elected to defer receipt of his retainer and committee chair fee and to receive in lieu of cash a total of approximately 602 RSUs having the same aggregate value on their issue date.</w:t>
      </w:r>
    </w:p>
    <w:p>
      <w:pPr>
        <w:spacing w:after="0" w:line="87" w:lineRule="exact"/>
        <w:rPr>
          <w:sz w:val="20"/>
          <w:szCs w:val="20"/>
          <w:color w:val="auto"/>
        </w:rPr>
      </w:pPr>
    </w:p>
    <w:p>
      <w:pPr>
        <w:ind w:left="220" w:right="20" w:hanging="219"/>
        <w:spacing w:after="0" w:line="285" w:lineRule="auto"/>
        <w:tabs>
          <w:tab w:leader="none" w:pos="2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cash retainer of $50,000; however, Ms. Hess elected to defer receipt of her retainer and to receive in lieu of cash a total of approximately 482 RSUs having the same aggregate value on their issue date.</w:t>
      </w:r>
    </w:p>
    <w:p>
      <w:pPr>
        <w:spacing w:after="0" w:line="87" w:lineRule="exact"/>
        <w:rPr>
          <w:sz w:val="20"/>
          <w:szCs w:val="20"/>
          <w:color w:val="auto"/>
        </w:rPr>
      </w:pPr>
    </w:p>
    <w:p>
      <w:pPr>
        <w:ind w:left="220" w:hanging="219"/>
        <w:spacing w:after="0"/>
        <w:tabs>
          <w:tab w:leader="none" w:pos="2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cash retainer of $50,000, committee chair fee of $10,000, and $78 in cash from the redemption of fractional RSUs upon vesting.</w:t>
      </w:r>
    </w:p>
    <w:p>
      <w:pPr>
        <w:spacing w:after="0" w:line="141" w:lineRule="exact"/>
        <w:rPr>
          <w:sz w:val="20"/>
          <w:szCs w:val="20"/>
          <w:color w:val="auto"/>
        </w:rPr>
      </w:pPr>
    </w:p>
    <w:p>
      <w:pPr>
        <w:ind w:left="220" w:right="20" w:hanging="219"/>
        <w:spacing w:after="0" w:line="285" w:lineRule="auto"/>
        <w:tabs>
          <w:tab w:leader="none" w:pos="2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cash retainer of $50,000 and committee chair fee of $8,000; however, Mr. Olivier elected to defer receipt of his retainer and committee chair fee and to receive in lieu of cash a total of approximately 559 RSUs having the same aggregate value on their issue date.</w:t>
      </w:r>
    </w:p>
    <w:p>
      <w:pPr>
        <w:spacing w:after="0" w:line="87" w:lineRule="exact"/>
        <w:rPr>
          <w:sz w:val="20"/>
          <w:szCs w:val="20"/>
          <w:color w:val="auto"/>
        </w:rPr>
      </w:pPr>
    </w:p>
    <w:p>
      <w:pPr>
        <w:ind w:left="220" w:hanging="219"/>
        <w:spacing w:after="0"/>
        <w:tabs>
          <w:tab w:leader="none" w:pos="2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Represents cash retainer of $50,000, Board Chair fee of $85,000 and $78 in cash from the redemption of fractional RSUs upon vesting.</w:t>
      </w:r>
    </w:p>
    <w:p>
      <w:pPr>
        <w:spacing w:after="0" w:line="1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10 Represents a prorated cash retainer of $12,500 and $78 in cash from the redemption of fractional RSUs upon vesting.</w:t>
      </w:r>
    </w:p>
    <w:p>
      <w:pPr>
        <w:spacing w:after="0" w:line="141" w:lineRule="exact"/>
        <w:rPr>
          <w:sz w:val="20"/>
          <w:szCs w:val="20"/>
          <w:color w:val="auto"/>
        </w:rPr>
      </w:pPr>
    </w:p>
    <w:p>
      <w:pPr>
        <w:jc w:val="both"/>
        <w:ind w:left="220" w:right="20" w:hanging="219"/>
        <w:spacing w:after="0" w:line="264" w:lineRule="auto"/>
        <w:tabs>
          <w:tab w:leader="none" w:pos="2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cash retainer of $50,000 and $78 in cash from the redemption of fractional RSUs upon vesting, and $62 in cash from the redemption of fractional shares upon distribution of previously deferred shares; however, Ms. Valdez elected to defer receipt of her retainer and to receive in lieu of cash a total of approximately 482 RSUs having the same aggregate value on their issue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252730</wp:posOffset>
            </wp:positionV>
            <wp:extent cx="714121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1</w:t>
      </w:r>
      <w:r>
        <w:rPr>
          <w:sz w:val="20"/>
          <w:szCs w:val="20"/>
          <w:color w:val="auto"/>
        </w:rPr>
        <w:tab/>
      </w:r>
      <w:r>
        <w:rPr>
          <w:rFonts w:ascii="Arial" w:cs="Arial" w:eastAsia="Arial" w:hAnsi="Arial"/>
          <w:sz w:val="12"/>
          <w:szCs w:val="12"/>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7" w:name="page28"/>
    <w:bookmarkEnd w:id="27"/>
    <w:p>
      <w:pPr>
        <w:ind w:right="1340"/>
        <w:spacing w:after="0" w:line="283" w:lineRule="auto"/>
        <w:rPr>
          <w:sz w:val="20"/>
          <w:szCs w:val="20"/>
          <w:color w:val="auto"/>
        </w:rPr>
      </w:pPr>
      <w:r>
        <w:rPr>
          <w:rFonts w:ascii="Times New Roman" w:cs="Times New Roman" w:eastAsia="Times New Roman" w:hAnsi="Times New Roman"/>
          <w:sz w:val="50"/>
          <w:szCs w:val="50"/>
          <w:color w:val="auto"/>
        </w:rPr>
        <w:t>Proposal 2: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714121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359410</wp:posOffset>
            </wp:positionV>
            <wp:extent cx="7141210" cy="4889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21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40"/>
        <w:spacing w:after="0"/>
        <w:rPr>
          <w:sz w:val="20"/>
          <w:szCs w:val="20"/>
          <w:color w:val="auto"/>
        </w:rPr>
      </w:pPr>
      <w:r>
        <w:rPr>
          <w:rFonts w:ascii="Arial" w:cs="Arial" w:eastAsia="Arial" w:hAnsi="Arial"/>
          <w:sz w:val="27"/>
          <w:szCs w:val="27"/>
          <w:b w:val="1"/>
          <w:b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Pursuant to Section 14(a) of the Securities Exchange Act of 1934, the Board of Directors is again soliciting an advisory (non-binding) shareholder vote, commonly referred to as “Say-on-Pay”, to approve the compensation of the executive officers whose compensation is disclosed in this Proxy Statement (the named executive officers or NEOs). At our 2024 Annual Meeting, over 98% of the shares represented and entitled to vote on the Say on Pay proposal, and over 91% of all outstanding shares, were voted in support of the Say-on-Pay proposal. Based on the preference of over 93% of the votes cast on the frequency of the Say-on-Pay proposals in 2023, we plan to continue to hold a Say-on-Pay vote every year.</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strongly endorses our executive compensation program and recommends that the shareholders vote in favor of the following Resolution:</w:t>
      </w:r>
    </w:p>
    <w:p>
      <w:pPr>
        <w:spacing w:after="0" w:line="181" w:lineRule="exact"/>
        <w:rPr>
          <w:sz w:val="20"/>
          <w:szCs w:val="20"/>
          <w:color w:val="auto"/>
        </w:rPr>
      </w:pPr>
    </w:p>
    <w:p>
      <w:pPr>
        <w:jc w:val="both"/>
        <w:ind w:left="240" w:right="220"/>
        <w:spacing w:after="0" w:line="261" w:lineRule="auto"/>
        <w:rPr>
          <w:sz w:val="20"/>
          <w:szCs w:val="20"/>
          <w:color w:val="auto"/>
        </w:rPr>
      </w:pPr>
      <w:r>
        <w:rPr>
          <w:rFonts w:ascii="Arial" w:cs="Arial" w:eastAsia="Arial" w:hAnsi="Arial"/>
          <w:sz w:val="15"/>
          <w:szCs w:val="15"/>
          <w:b w:val="1"/>
          <w:bCs w:val="1"/>
          <w:i w:val="1"/>
          <w:iCs w:val="1"/>
          <w:color w:val="auto"/>
        </w:rPr>
        <w:t>“RESOLVED, that the Company’s shareholders approve, on an advisory basis, the compensation of the named executive officers as disclosed in the Company’s Proxy Statement for the 2025 Annual Meeting of Shareholders pursuant to the executive compensation disclosure rules of the Securities and Exchange Commission, including the Compensation Discussion and Analysis, the Summary Compensation Table, and the other related tables and narrative disclosure.”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 xml:space="preserve">Shareholders are encouraged to review the </w:t>
      </w:r>
      <w:r>
        <w:rPr>
          <w:rFonts w:ascii="Arial" w:cs="Arial" w:eastAsia="Arial" w:hAnsi="Arial"/>
          <w:sz w:val="15"/>
          <w:szCs w:val="15"/>
          <w:b w:val="1"/>
          <w:bCs w:val="1"/>
          <w:i w:val="1"/>
          <w:iCs w:val="1"/>
          <w:color w:val="auto"/>
        </w:rPr>
        <w:t>Compensation Discussion and Analysis</w:t>
      </w:r>
      <w:r>
        <w:rPr>
          <w:rFonts w:ascii="Arial" w:cs="Arial" w:eastAsia="Arial" w:hAnsi="Arial"/>
          <w:sz w:val="15"/>
          <w:szCs w:val="15"/>
          <w:color w:val="auto"/>
        </w:rPr>
        <w:t xml:space="preserve"> section below as well as the Summary Compensation Table and the other related tables and narrative disclosure referred to in the proposed Resolution, which provide details about our executive compensation program as well as specific information about the compensation of our named executive officers.</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This vote is not intended to address any specific item of compensation, but rather the overall compensation of the named executive officers as described in this Proxy Statement. Although the vote is non-binding, the Board of Directors and the Compensation Committee value the opinions of the shareholders, and to the extent there is a significant vote against the above resolution the Company will consider the shareholders’ concerns and the Committee will evaluate what actions (if any) may be necessary to address those concerns.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SUMMARY OF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14121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executive compensation program is designed to attract, motivate, and retain executive officers who are critical to our success. The Committee believes that the program constitutes a balanced, competitive approach to compensation that supports our compensation objectives through performance-based compensation that aligns the interests of executives with those of our shareholders.</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Compensation Committee reviews our compensation program at least annually to ensure that it achieves the desired goals of aligning our executive compensation structure with shareholders’ interests and current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714121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5400" w:type="dxa"/>
            <w:vAlign w:val="bottom"/>
          </w:tcPr>
          <w:p>
            <w:pPr>
              <w:ind w:left="2220"/>
              <w:spacing w:after="0"/>
              <w:rPr>
                <w:sz w:val="20"/>
                <w:szCs w:val="20"/>
                <w:color w:val="auto"/>
              </w:rPr>
            </w:pPr>
            <w:r>
              <w:rPr>
                <w:rFonts w:ascii="Arial" w:cs="Arial" w:eastAsia="Arial" w:hAnsi="Arial"/>
                <w:sz w:val="17"/>
                <w:szCs w:val="17"/>
                <w:b w:val="1"/>
                <w:bCs w:val="1"/>
                <w:color w:val="auto"/>
              </w:rPr>
              <w:t>What We Do</w:t>
            </w:r>
          </w:p>
        </w:tc>
        <w:tc>
          <w:tcPr>
            <w:tcW w:w="440" w:type="dxa"/>
            <w:vAlign w:val="bottom"/>
          </w:tcPr>
          <w:p>
            <w:pPr>
              <w:spacing w:after="0"/>
              <w:rPr>
                <w:sz w:val="20"/>
                <w:szCs w:val="20"/>
                <w:color w:val="auto"/>
              </w:rPr>
            </w:pPr>
          </w:p>
        </w:tc>
        <w:tc>
          <w:tcPr>
            <w:tcW w:w="5400" w:type="dxa"/>
            <w:vAlign w:val="bottom"/>
          </w:tcPr>
          <w:p>
            <w:pPr>
              <w:ind w:left="1980"/>
              <w:spacing w:after="0"/>
              <w:rPr>
                <w:sz w:val="20"/>
                <w:szCs w:val="20"/>
                <w:color w:val="auto"/>
              </w:rPr>
            </w:pPr>
            <w:r>
              <w:rPr>
                <w:rFonts w:ascii="Arial" w:cs="Arial" w:eastAsia="Arial" w:hAnsi="Arial"/>
                <w:sz w:val="17"/>
                <w:szCs w:val="17"/>
                <w:b w:val="1"/>
                <w:bCs w:val="1"/>
                <w:color w:val="auto"/>
              </w:rPr>
              <w:t>What We Don’t Do</w:t>
            </w:r>
          </w:p>
        </w:tc>
        <w:tc>
          <w:tcPr>
            <w:tcW w:w="0" w:type="dxa"/>
            <w:vAlign w:val="bottom"/>
          </w:tcPr>
          <w:p>
            <w:pPr>
              <w:spacing w:after="0"/>
              <w:rPr>
                <w:sz w:val="1"/>
                <w:szCs w:val="1"/>
                <w:color w:val="auto"/>
              </w:rPr>
            </w:pPr>
          </w:p>
        </w:tc>
      </w:tr>
      <w:tr>
        <w:trPr>
          <w:trHeight w:val="77"/>
        </w:trPr>
        <w:tc>
          <w:tcPr>
            <w:tcW w:w="540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5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7"/>
        </w:trPr>
        <w:tc>
          <w:tcPr>
            <w:tcW w:w="5400" w:type="dxa"/>
            <w:vAlign w:val="bottom"/>
          </w:tcPr>
          <w:p>
            <w:pPr>
              <w:spacing w:after="0" w:line="173" w:lineRule="exact"/>
              <w:rPr>
                <w:sz w:val="20"/>
                <w:szCs w:val="20"/>
                <w:color w:val="auto"/>
              </w:rPr>
            </w:pPr>
            <w:r>
              <w:rPr>
                <w:rFonts w:ascii="MS PGothic" w:cs="MS PGothic" w:eastAsia="MS PGothic" w:hAnsi="MS PGothic"/>
                <w:sz w:val="15"/>
                <w:szCs w:val="15"/>
                <w:color w:val="147EB9"/>
              </w:rPr>
              <w:t>✔</w:t>
            </w:r>
            <w:r>
              <w:rPr>
                <w:rFonts w:ascii="Arial" w:cs="Arial" w:eastAsia="Arial" w:hAnsi="Arial"/>
                <w:sz w:val="15"/>
                <w:szCs w:val="15"/>
                <w:color w:val="auto"/>
              </w:rPr>
              <w:t xml:space="preserve"> Pay for performance philosophy</w:t>
            </w:r>
          </w:p>
        </w:tc>
        <w:tc>
          <w:tcPr>
            <w:tcW w:w="440" w:type="dxa"/>
            <w:vAlign w:val="bottom"/>
          </w:tcPr>
          <w:p>
            <w:pPr>
              <w:spacing w:after="0"/>
              <w:rPr>
                <w:sz w:val="24"/>
                <w:szCs w:val="24"/>
                <w:color w:val="auto"/>
              </w:rPr>
            </w:pPr>
          </w:p>
        </w:tc>
        <w:tc>
          <w:tcPr>
            <w:tcW w:w="5400" w:type="dxa"/>
            <w:vAlign w:val="bottom"/>
          </w:tcPr>
          <w:p>
            <w:pPr>
              <w:spacing w:after="0" w:line="173" w:lineRule="exact"/>
              <w:rPr>
                <w:sz w:val="20"/>
                <w:szCs w:val="20"/>
                <w:color w:val="auto"/>
              </w:rPr>
            </w:pPr>
            <w:r>
              <w:rPr>
                <w:rFonts w:ascii="MS PGothic" w:cs="MS PGothic" w:eastAsia="MS PGothic" w:hAnsi="MS PGothic"/>
                <w:sz w:val="15"/>
                <w:szCs w:val="15"/>
                <w:color w:val="FC3B13"/>
              </w:rPr>
              <w:t>✘</w:t>
            </w:r>
            <w:r>
              <w:rPr>
                <w:rFonts w:ascii="Arial" w:cs="Arial" w:eastAsia="Arial" w:hAnsi="Arial"/>
                <w:sz w:val="15"/>
                <w:szCs w:val="15"/>
                <w:color w:val="auto"/>
              </w:rPr>
              <w:t xml:space="preserve"> No excessive perquisites</w:t>
            </w:r>
          </w:p>
        </w:tc>
        <w:tc>
          <w:tcPr>
            <w:tcW w:w="0" w:type="dxa"/>
            <w:vAlign w:val="bottom"/>
          </w:tcPr>
          <w:p>
            <w:pPr>
              <w:spacing w:after="0"/>
              <w:rPr>
                <w:sz w:val="1"/>
                <w:szCs w:val="1"/>
                <w:color w:val="auto"/>
              </w:rPr>
            </w:pPr>
          </w:p>
        </w:tc>
      </w:tr>
      <w:tr>
        <w:trPr>
          <w:trHeight w:val="353"/>
        </w:trPr>
        <w:tc>
          <w:tcPr>
            <w:tcW w:w="5400" w:type="dxa"/>
            <w:vAlign w:val="bottom"/>
          </w:tcPr>
          <w:p>
            <w:pPr>
              <w:spacing w:after="0" w:line="173" w:lineRule="exact"/>
              <w:rPr>
                <w:sz w:val="20"/>
                <w:szCs w:val="20"/>
                <w:color w:val="auto"/>
              </w:rPr>
            </w:pPr>
            <w:r>
              <w:rPr>
                <w:rFonts w:ascii="MS PGothic" w:cs="MS PGothic" w:eastAsia="MS PGothic" w:hAnsi="MS PGothic"/>
                <w:sz w:val="15"/>
                <w:szCs w:val="15"/>
                <w:color w:val="147EB9"/>
              </w:rPr>
              <w:t>✔</w:t>
            </w:r>
            <w:r>
              <w:rPr>
                <w:rFonts w:ascii="Arial" w:cs="Arial" w:eastAsia="Arial" w:hAnsi="Arial"/>
                <w:sz w:val="15"/>
                <w:szCs w:val="15"/>
                <w:color w:val="auto"/>
              </w:rPr>
              <w:t xml:space="preserve"> Significant portion of compensation is at-risk</w:t>
            </w:r>
          </w:p>
        </w:tc>
        <w:tc>
          <w:tcPr>
            <w:tcW w:w="440" w:type="dxa"/>
            <w:vAlign w:val="bottom"/>
          </w:tcPr>
          <w:p>
            <w:pPr>
              <w:spacing w:after="0"/>
              <w:rPr>
                <w:sz w:val="24"/>
                <w:szCs w:val="24"/>
                <w:color w:val="auto"/>
              </w:rPr>
            </w:pPr>
          </w:p>
        </w:tc>
        <w:tc>
          <w:tcPr>
            <w:tcW w:w="5400" w:type="dxa"/>
            <w:vAlign w:val="bottom"/>
          </w:tcPr>
          <w:p>
            <w:pPr>
              <w:spacing w:after="0" w:line="173" w:lineRule="exact"/>
              <w:rPr>
                <w:sz w:val="20"/>
                <w:szCs w:val="20"/>
                <w:color w:val="auto"/>
              </w:rPr>
            </w:pPr>
            <w:r>
              <w:rPr>
                <w:rFonts w:ascii="MS PGothic" w:cs="MS PGothic" w:eastAsia="MS PGothic" w:hAnsi="MS PGothic"/>
                <w:sz w:val="15"/>
                <w:szCs w:val="15"/>
                <w:color w:val="FC3B13"/>
              </w:rPr>
              <w:t>✘</w:t>
            </w:r>
            <w:r>
              <w:rPr>
                <w:rFonts w:ascii="Arial" w:cs="Arial" w:eastAsia="Arial" w:hAnsi="Arial"/>
                <w:sz w:val="15"/>
                <w:szCs w:val="15"/>
                <w:color w:val="auto"/>
              </w:rPr>
              <w:t xml:space="preserve"> No tax gross-ups on perquisites</w:t>
            </w:r>
          </w:p>
        </w:tc>
        <w:tc>
          <w:tcPr>
            <w:tcW w:w="0" w:type="dxa"/>
            <w:vAlign w:val="bottom"/>
          </w:tcPr>
          <w:p>
            <w:pPr>
              <w:spacing w:after="0"/>
              <w:rPr>
                <w:sz w:val="1"/>
                <w:szCs w:val="1"/>
                <w:color w:val="auto"/>
              </w:rPr>
            </w:pPr>
          </w:p>
        </w:tc>
      </w:tr>
      <w:tr>
        <w:trPr>
          <w:trHeight w:val="353"/>
        </w:trPr>
        <w:tc>
          <w:tcPr>
            <w:tcW w:w="5400" w:type="dxa"/>
            <w:vAlign w:val="bottom"/>
          </w:tcPr>
          <w:p>
            <w:pPr>
              <w:spacing w:after="0" w:line="173" w:lineRule="exact"/>
              <w:rPr>
                <w:sz w:val="20"/>
                <w:szCs w:val="20"/>
                <w:color w:val="auto"/>
              </w:rPr>
            </w:pPr>
            <w:r>
              <w:rPr>
                <w:rFonts w:ascii="MS PGothic" w:cs="MS PGothic" w:eastAsia="MS PGothic" w:hAnsi="MS PGothic"/>
                <w:sz w:val="15"/>
                <w:szCs w:val="15"/>
                <w:color w:val="147EB9"/>
              </w:rPr>
              <w:t>✔</w:t>
            </w:r>
            <w:r>
              <w:rPr>
                <w:rFonts w:ascii="Arial" w:cs="Arial" w:eastAsia="Arial" w:hAnsi="Arial"/>
                <w:sz w:val="15"/>
                <w:szCs w:val="15"/>
                <w:color w:val="auto"/>
              </w:rPr>
              <w:t xml:space="preserve"> Competitive stock ownership guidelines</w:t>
            </w:r>
          </w:p>
        </w:tc>
        <w:tc>
          <w:tcPr>
            <w:tcW w:w="440" w:type="dxa"/>
            <w:vAlign w:val="bottom"/>
          </w:tcPr>
          <w:p>
            <w:pPr>
              <w:spacing w:after="0"/>
              <w:rPr>
                <w:sz w:val="24"/>
                <w:szCs w:val="24"/>
                <w:color w:val="auto"/>
              </w:rPr>
            </w:pPr>
          </w:p>
        </w:tc>
        <w:tc>
          <w:tcPr>
            <w:tcW w:w="5400" w:type="dxa"/>
            <w:vAlign w:val="bottom"/>
          </w:tcPr>
          <w:p>
            <w:pPr>
              <w:spacing w:after="0" w:line="173" w:lineRule="exact"/>
              <w:rPr>
                <w:sz w:val="20"/>
                <w:szCs w:val="20"/>
                <w:color w:val="auto"/>
              </w:rPr>
            </w:pPr>
            <w:r>
              <w:rPr>
                <w:rFonts w:ascii="MS PGothic" w:cs="MS PGothic" w:eastAsia="MS PGothic" w:hAnsi="MS PGothic"/>
                <w:sz w:val="15"/>
                <w:szCs w:val="15"/>
                <w:color w:val="FC3B13"/>
              </w:rPr>
              <w:t>✘</w:t>
            </w:r>
            <w:r>
              <w:rPr>
                <w:rFonts w:ascii="Arial" w:cs="Arial" w:eastAsia="Arial" w:hAnsi="Arial"/>
                <w:sz w:val="15"/>
                <w:szCs w:val="15"/>
                <w:color w:val="auto"/>
              </w:rPr>
              <w:t xml:space="preserve"> No tax gross-ups on change in control severance</w:t>
            </w:r>
          </w:p>
        </w:tc>
        <w:tc>
          <w:tcPr>
            <w:tcW w:w="0" w:type="dxa"/>
            <w:vAlign w:val="bottom"/>
          </w:tcPr>
          <w:p>
            <w:pPr>
              <w:spacing w:after="0"/>
              <w:rPr>
                <w:sz w:val="1"/>
                <w:szCs w:val="1"/>
                <w:color w:val="auto"/>
              </w:rPr>
            </w:pPr>
          </w:p>
        </w:tc>
      </w:tr>
      <w:tr>
        <w:trPr>
          <w:trHeight w:val="353"/>
        </w:trPr>
        <w:tc>
          <w:tcPr>
            <w:tcW w:w="5400" w:type="dxa"/>
            <w:vAlign w:val="bottom"/>
          </w:tcPr>
          <w:p>
            <w:pPr>
              <w:spacing w:after="0" w:line="173" w:lineRule="exact"/>
              <w:rPr>
                <w:sz w:val="20"/>
                <w:szCs w:val="20"/>
                <w:color w:val="auto"/>
              </w:rPr>
            </w:pPr>
            <w:r>
              <w:rPr>
                <w:rFonts w:ascii="MS PGothic" w:cs="MS PGothic" w:eastAsia="MS PGothic" w:hAnsi="MS PGothic"/>
                <w:sz w:val="15"/>
                <w:szCs w:val="15"/>
                <w:color w:val="147EB9"/>
              </w:rPr>
              <w:t>✔</w:t>
            </w:r>
            <w:r>
              <w:rPr>
                <w:rFonts w:ascii="Arial" w:cs="Arial" w:eastAsia="Arial" w:hAnsi="Arial"/>
                <w:sz w:val="15"/>
                <w:szCs w:val="15"/>
                <w:color w:val="auto"/>
              </w:rPr>
              <w:t xml:space="preserve"> Robust clawback policy</w:t>
            </w:r>
          </w:p>
        </w:tc>
        <w:tc>
          <w:tcPr>
            <w:tcW w:w="440" w:type="dxa"/>
            <w:vAlign w:val="bottom"/>
          </w:tcPr>
          <w:p>
            <w:pPr>
              <w:spacing w:after="0"/>
              <w:rPr>
                <w:sz w:val="24"/>
                <w:szCs w:val="24"/>
                <w:color w:val="auto"/>
              </w:rPr>
            </w:pPr>
          </w:p>
        </w:tc>
        <w:tc>
          <w:tcPr>
            <w:tcW w:w="5400" w:type="dxa"/>
            <w:vAlign w:val="bottom"/>
          </w:tcPr>
          <w:p>
            <w:pPr>
              <w:spacing w:after="0" w:line="173" w:lineRule="exact"/>
              <w:rPr>
                <w:sz w:val="20"/>
                <w:szCs w:val="20"/>
                <w:color w:val="auto"/>
              </w:rPr>
            </w:pPr>
            <w:r>
              <w:rPr>
                <w:rFonts w:ascii="MS PGothic" w:cs="MS PGothic" w:eastAsia="MS PGothic" w:hAnsi="MS PGothic"/>
                <w:sz w:val="15"/>
                <w:szCs w:val="15"/>
                <w:color w:val="FC3B13"/>
              </w:rPr>
              <w:t>✘</w:t>
            </w:r>
            <w:r>
              <w:rPr>
                <w:rFonts w:ascii="Arial" w:cs="Arial" w:eastAsia="Arial" w:hAnsi="Arial"/>
                <w:sz w:val="15"/>
                <w:szCs w:val="15"/>
                <w:color w:val="auto"/>
              </w:rPr>
              <w:t xml:space="preserve"> No hedging or pledging of Company stock</w:t>
            </w:r>
          </w:p>
        </w:tc>
        <w:tc>
          <w:tcPr>
            <w:tcW w:w="0" w:type="dxa"/>
            <w:vAlign w:val="bottom"/>
          </w:tcPr>
          <w:p>
            <w:pPr>
              <w:spacing w:after="0"/>
              <w:rPr>
                <w:sz w:val="1"/>
                <w:szCs w:val="1"/>
                <w:color w:val="auto"/>
              </w:rPr>
            </w:pPr>
          </w:p>
        </w:tc>
      </w:tr>
      <w:tr>
        <w:trPr>
          <w:trHeight w:val="311"/>
        </w:trPr>
        <w:tc>
          <w:tcPr>
            <w:tcW w:w="5400" w:type="dxa"/>
            <w:vAlign w:val="bottom"/>
          </w:tcPr>
          <w:p>
            <w:pPr>
              <w:spacing w:after="0" w:line="161" w:lineRule="exact"/>
              <w:rPr>
                <w:sz w:val="20"/>
                <w:szCs w:val="20"/>
                <w:color w:val="auto"/>
              </w:rPr>
            </w:pPr>
            <w:r>
              <w:rPr>
                <w:rFonts w:ascii="MS PGothic" w:cs="MS PGothic" w:eastAsia="MS PGothic" w:hAnsi="MS PGothic"/>
                <w:sz w:val="14"/>
                <w:szCs w:val="14"/>
                <w:color w:val="147EB9"/>
              </w:rPr>
              <w:t>✔</w:t>
            </w:r>
            <w:r>
              <w:rPr>
                <w:rFonts w:ascii="Arial" w:cs="Arial" w:eastAsia="Arial" w:hAnsi="Arial"/>
                <w:sz w:val="14"/>
                <w:szCs w:val="14"/>
                <w:color w:val="auto"/>
              </w:rPr>
              <w:t xml:space="preserve"> Double-trigger change-in-control equity vesting</w:t>
            </w:r>
          </w:p>
        </w:tc>
        <w:tc>
          <w:tcPr>
            <w:tcW w:w="440" w:type="dxa"/>
            <w:vAlign w:val="bottom"/>
          </w:tcPr>
          <w:p>
            <w:pPr>
              <w:spacing w:after="0"/>
              <w:rPr>
                <w:sz w:val="24"/>
                <w:szCs w:val="24"/>
                <w:color w:val="auto"/>
              </w:rPr>
            </w:pPr>
          </w:p>
        </w:tc>
        <w:tc>
          <w:tcPr>
            <w:tcW w:w="5400" w:type="dxa"/>
            <w:vAlign w:val="bottom"/>
          </w:tcPr>
          <w:p>
            <w:pPr>
              <w:spacing w:after="0" w:line="173" w:lineRule="exact"/>
              <w:rPr>
                <w:sz w:val="20"/>
                <w:szCs w:val="20"/>
                <w:color w:val="auto"/>
              </w:rPr>
            </w:pPr>
            <w:r>
              <w:rPr>
                <w:rFonts w:ascii="MS PGothic" w:cs="MS PGothic" w:eastAsia="MS PGothic" w:hAnsi="MS PGothic"/>
                <w:sz w:val="15"/>
                <w:szCs w:val="15"/>
                <w:color w:val="FC3B13"/>
              </w:rPr>
              <w:t>✘</w:t>
            </w:r>
            <w:r>
              <w:rPr>
                <w:rFonts w:ascii="Arial" w:cs="Arial" w:eastAsia="Arial" w:hAnsi="Arial"/>
                <w:sz w:val="15"/>
                <w:szCs w:val="15"/>
                <w:color w:val="auto"/>
              </w:rPr>
              <w:t xml:space="preserve"> No repricing  or  exchange  of  equity-based  awards  without  shareholder</w:t>
            </w:r>
          </w:p>
        </w:tc>
        <w:tc>
          <w:tcPr>
            <w:tcW w:w="0" w:type="dxa"/>
            <w:vAlign w:val="bottom"/>
          </w:tcPr>
          <w:p>
            <w:pPr>
              <w:spacing w:after="0"/>
              <w:rPr>
                <w:sz w:val="1"/>
                <w:szCs w:val="1"/>
                <w:color w:val="auto"/>
              </w:rPr>
            </w:pPr>
          </w:p>
        </w:tc>
      </w:tr>
      <w:tr>
        <w:trPr>
          <w:trHeight w:val="199"/>
        </w:trPr>
        <w:tc>
          <w:tcPr>
            <w:tcW w:w="5400" w:type="dxa"/>
            <w:vAlign w:val="bottom"/>
            <w:vMerge w:val="restart"/>
          </w:tcPr>
          <w:p>
            <w:pPr>
              <w:spacing w:after="0" w:line="173" w:lineRule="exact"/>
              <w:rPr>
                <w:sz w:val="20"/>
                <w:szCs w:val="20"/>
                <w:color w:val="auto"/>
              </w:rPr>
            </w:pPr>
            <w:r>
              <w:rPr>
                <w:rFonts w:ascii="MS PGothic" w:cs="MS PGothic" w:eastAsia="MS PGothic" w:hAnsi="MS PGothic"/>
                <w:sz w:val="15"/>
                <w:szCs w:val="15"/>
                <w:color w:val="147EB9"/>
              </w:rPr>
              <w:t>✔</w:t>
            </w:r>
            <w:r>
              <w:rPr>
                <w:rFonts w:ascii="Arial" w:cs="Arial" w:eastAsia="Arial" w:hAnsi="Arial"/>
                <w:sz w:val="15"/>
                <w:szCs w:val="15"/>
                <w:color w:val="auto"/>
              </w:rPr>
              <w:t xml:space="preserve"> Independent compensation consultant</w:t>
            </w:r>
          </w:p>
        </w:tc>
        <w:tc>
          <w:tcPr>
            <w:tcW w:w="440" w:type="dxa"/>
            <w:vAlign w:val="bottom"/>
          </w:tcPr>
          <w:p>
            <w:pPr>
              <w:spacing w:after="0"/>
              <w:rPr>
                <w:sz w:val="17"/>
                <w:szCs w:val="17"/>
                <w:color w:val="auto"/>
              </w:rPr>
            </w:pPr>
          </w:p>
        </w:tc>
        <w:tc>
          <w:tcPr>
            <w:tcW w:w="5400" w:type="dxa"/>
            <w:vAlign w:val="bottom"/>
          </w:tcPr>
          <w:p>
            <w:pPr>
              <w:ind w:left="240"/>
              <w:spacing w:after="0"/>
              <w:rPr>
                <w:sz w:val="20"/>
                <w:szCs w:val="20"/>
                <w:color w:val="auto"/>
              </w:rPr>
            </w:pPr>
            <w:r>
              <w:rPr>
                <w:rFonts w:ascii="Arial" w:cs="Arial" w:eastAsia="Arial" w:hAnsi="Arial"/>
                <w:sz w:val="15"/>
                <w:szCs w:val="15"/>
                <w:color w:val="auto"/>
              </w:rPr>
              <w:t>approval</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141210"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05"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The Compensation Committee is responsible for determining the compensation of the Chief Executive Officer and President as well as other senior officers and key executives of the Company. The Committee has reviewed and discussed with management the Company’s disclosures under the section captioned </w:t>
      </w:r>
      <w:r>
        <w:rPr>
          <w:rFonts w:ascii="Arial" w:cs="Arial" w:eastAsia="Arial" w:hAnsi="Arial"/>
          <w:sz w:val="15"/>
          <w:szCs w:val="15"/>
          <w:b w:val="1"/>
          <w:bCs w:val="1"/>
          <w:i w:val="1"/>
          <w:iCs w:val="1"/>
          <w:color w:val="auto"/>
        </w:rPr>
        <w:t>Compensation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 xml:space="preserve">Discussion and Analysis </w:t>
      </w:r>
      <w:r>
        <w:rPr>
          <w:rFonts w:ascii="Arial" w:cs="Arial" w:eastAsia="Arial" w:hAnsi="Arial"/>
          <w:sz w:val="15"/>
          <w:szCs w:val="15"/>
          <w:color w:val="auto"/>
        </w:rPr>
        <w:t>beginning immediately following this Compensation Committee Report.</w:t>
      </w:r>
    </w:p>
    <w:p>
      <w:pPr>
        <w:spacing w:after="0" w:line="127"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Based on such review and discussion, the Committee recommended to the Board of Directors that the Compensation Discussion and Analysis be included in this Proxy Statement and incorporated by reference in the Company’s Annual Report on Form 10-K for the fiscal year ended September 30, 2024 filed with the SEC.</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Human Resources and Compensation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Vinod M. Khilnani, Chair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Patrick M. Dewar</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Robert J. Phillippy</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Gloria L. Valdez</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141210"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This Compensation Discussion and Analysis discusses the compensation of the following NEOs.</w:t>
      </w:r>
    </w:p>
    <w:p>
      <w:pPr>
        <w:spacing w:after="0" w:line="181" w:lineRule="exact"/>
        <w:rPr>
          <w:sz w:val="20"/>
          <w:szCs w:val="20"/>
          <w:color w:val="auto"/>
        </w:rPr>
      </w:pPr>
    </w:p>
    <w:p>
      <w:pPr>
        <w:ind w:left="220" w:hanging="206"/>
        <w:spacing w:after="0"/>
        <w:tabs>
          <w:tab w:leader="none" w:pos="2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Bryan H. Sayler, Chief Executive Officer &amp; President</w:t>
      </w:r>
    </w:p>
    <w:p>
      <w:pPr>
        <w:spacing w:after="0" w:line="26" w:lineRule="exact"/>
        <w:rPr>
          <w:rFonts w:ascii="Arial" w:cs="Arial" w:eastAsia="Arial" w:hAnsi="Arial"/>
          <w:sz w:val="15"/>
          <w:szCs w:val="15"/>
          <w:color w:val="auto"/>
        </w:rPr>
      </w:pPr>
    </w:p>
    <w:p>
      <w:pPr>
        <w:ind w:left="220" w:hanging="206"/>
        <w:spacing w:after="0"/>
        <w:tabs>
          <w:tab w:leader="none" w:pos="2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Christopher L. Tucker, Senior Vice President &amp; Chief Financial Officer</w:t>
      </w:r>
    </w:p>
    <w:p>
      <w:pPr>
        <w:spacing w:after="0" w:line="16" w:lineRule="exact"/>
        <w:rPr>
          <w:rFonts w:ascii="Arial" w:cs="Arial" w:eastAsia="Arial" w:hAnsi="Arial"/>
          <w:sz w:val="15"/>
          <w:szCs w:val="15"/>
          <w:color w:val="auto"/>
        </w:rPr>
      </w:pPr>
    </w:p>
    <w:p>
      <w:pPr>
        <w:ind w:left="220" w:hanging="206"/>
        <w:spacing w:after="0"/>
        <w:tabs>
          <w:tab w:leader="none" w:pos="2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David M. Schatz, Senior Vice President, General Counsel &amp; Secretary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Performance Highlights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62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4020" w:type="dxa"/>
            <w:vAlign w:val="bottom"/>
            <w:gridSpan w:val="3"/>
          </w:tcPr>
          <w:p>
            <w:pPr>
              <w:ind w:left="220"/>
              <w:spacing w:after="0"/>
              <w:rPr>
                <w:sz w:val="20"/>
                <w:szCs w:val="20"/>
                <w:color w:val="auto"/>
              </w:rPr>
            </w:pPr>
            <w:r>
              <w:rPr>
                <w:rFonts w:ascii="Arial" w:cs="Arial" w:eastAsia="Arial" w:hAnsi="Arial"/>
                <w:sz w:val="16"/>
                <w:szCs w:val="16"/>
                <w:b w:val="1"/>
                <w:bCs w:val="1"/>
                <w:color w:val="auto"/>
              </w:rPr>
              <w:t>Diluted Earnings Per Share</w:t>
            </w:r>
          </w:p>
        </w:tc>
        <w:tc>
          <w:tcPr>
            <w:tcW w:w="3600" w:type="dxa"/>
            <w:vAlign w:val="bottom"/>
          </w:tcPr>
          <w:p>
            <w:pPr>
              <w:spacing w:after="0"/>
              <w:rPr>
                <w:sz w:val="20"/>
                <w:szCs w:val="20"/>
                <w:color w:val="auto"/>
              </w:rPr>
            </w:pPr>
            <w:r>
              <w:rPr>
                <w:rFonts w:ascii="Arial" w:cs="Arial" w:eastAsia="Arial" w:hAnsi="Arial"/>
                <w:sz w:val="16"/>
                <w:szCs w:val="16"/>
                <w:b w:val="1"/>
                <w:bCs w:val="1"/>
                <w:color w:val="auto"/>
              </w:rPr>
              <w:t>Entered Orders</w:t>
            </w:r>
          </w:p>
        </w:tc>
      </w:tr>
      <w:tr>
        <w:trPr>
          <w:trHeight w:val="68"/>
        </w:trPr>
        <w:tc>
          <w:tcPr>
            <w:tcW w:w="3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600" w:type="dxa"/>
            <w:vAlign w:val="bottom"/>
            <w:tcBorders>
              <w:bottom w:val="single" w:sz="8" w:color="auto"/>
            </w:tcBorders>
          </w:tcPr>
          <w:p>
            <w:pPr>
              <w:spacing w:after="0"/>
              <w:rPr>
                <w:sz w:val="5"/>
                <w:szCs w:val="5"/>
                <w:color w:val="auto"/>
              </w:rPr>
            </w:pPr>
          </w:p>
        </w:tc>
      </w:tr>
      <w:tr>
        <w:trPr>
          <w:trHeight w:val="431"/>
        </w:trPr>
        <w:tc>
          <w:tcPr>
            <w:tcW w:w="3620" w:type="dxa"/>
            <w:vAlign w:val="bottom"/>
          </w:tcPr>
          <w:p>
            <w:pPr>
              <w:spacing w:after="0" w:line="431" w:lineRule="exact"/>
              <w:rPr>
                <w:sz w:val="20"/>
                <w:szCs w:val="20"/>
                <w:color w:val="auto"/>
              </w:rPr>
            </w:pPr>
            <w:r>
              <w:rPr>
                <w:rFonts w:ascii="Georgia" w:cs="Georgia" w:eastAsia="Georgia" w:hAnsi="Georgia"/>
                <w:sz w:val="39"/>
                <w:szCs w:val="39"/>
                <w:b w:val="1"/>
                <w:bCs w:val="1"/>
                <w:color w:val="147EB9"/>
              </w:rPr>
              <w:t>$1,027M</w:t>
            </w:r>
          </w:p>
        </w:tc>
        <w:tc>
          <w:tcPr>
            <w:tcW w:w="220" w:type="dxa"/>
            <w:vAlign w:val="bottom"/>
          </w:tcPr>
          <w:p>
            <w:pPr>
              <w:spacing w:after="0"/>
              <w:rPr>
                <w:sz w:val="24"/>
                <w:szCs w:val="24"/>
                <w:color w:val="auto"/>
              </w:rPr>
            </w:pPr>
          </w:p>
        </w:tc>
        <w:tc>
          <w:tcPr>
            <w:tcW w:w="3600" w:type="dxa"/>
            <w:vAlign w:val="bottom"/>
          </w:tcPr>
          <w:p>
            <w:pPr>
              <w:spacing w:after="0" w:line="431" w:lineRule="exact"/>
              <w:rPr>
                <w:sz w:val="20"/>
                <w:szCs w:val="20"/>
                <w:color w:val="auto"/>
              </w:rPr>
            </w:pPr>
            <w:r>
              <w:rPr>
                <w:rFonts w:ascii="Georgia" w:cs="Georgia" w:eastAsia="Georgia" w:hAnsi="Georgia"/>
                <w:sz w:val="39"/>
                <w:szCs w:val="39"/>
                <w:b w:val="1"/>
                <w:bCs w:val="1"/>
                <w:color w:val="147EB9"/>
              </w:rPr>
              <w:t>$3.94</w:t>
            </w:r>
          </w:p>
        </w:tc>
        <w:tc>
          <w:tcPr>
            <w:tcW w:w="200" w:type="dxa"/>
            <w:vAlign w:val="bottom"/>
          </w:tcPr>
          <w:p>
            <w:pPr>
              <w:spacing w:after="0"/>
              <w:rPr>
                <w:sz w:val="24"/>
                <w:szCs w:val="24"/>
                <w:color w:val="auto"/>
              </w:rPr>
            </w:pPr>
          </w:p>
        </w:tc>
        <w:tc>
          <w:tcPr>
            <w:tcW w:w="3600" w:type="dxa"/>
            <w:vAlign w:val="bottom"/>
          </w:tcPr>
          <w:p>
            <w:pPr>
              <w:spacing w:after="0" w:line="431" w:lineRule="exact"/>
              <w:rPr>
                <w:sz w:val="20"/>
                <w:szCs w:val="20"/>
                <w:color w:val="auto"/>
              </w:rPr>
            </w:pPr>
            <w:r>
              <w:rPr>
                <w:rFonts w:ascii="Georgia" w:cs="Georgia" w:eastAsia="Georgia" w:hAnsi="Georgia"/>
                <w:sz w:val="39"/>
                <w:szCs w:val="39"/>
                <w:b w:val="1"/>
                <w:bCs w:val="1"/>
                <w:color w:val="147EB9"/>
              </w:rPr>
              <w:t>$1,133M</w:t>
            </w:r>
          </w:p>
        </w:tc>
      </w:tr>
      <w:tr>
        <w:trPr>
          <w:trHeight w:val="243"/>
        </w:trPr>
        <w:tc>
          <w:tcPr>
            <w:tcW w:w="3620" w:type="dxa"/>
            <w:vAlign w:val="bottom"/>
          </w:tcPr>
          <w:p>
            <w:pPr>
              <w:spacing w:after="0"/>
              <w:rPr>
                <w:sz w:val="20"/>
                <w:szCs w:val="20"/>
                <w:color w:val="auto"/>
              </w:rPr>
            </w:pPr>
            <w:r>
              <w:rPr>
                <w:rFonts w:ascii="Arial" w:cs="Arial" w:eastAsia="Arial" w:hAnsi="Arial"/>
                <w:sz w:val="15"/>
                <w:szCs w:val="15"/>
                <w:b w:val="1"/>
                <w:bCs w:val="1"/>
                <w:color w:val="auto"/>
              </w:rPr>
              <w:t>Record Sales +7% over prior year</w:t>
            </w:r>
          </w:p>
        </w:tc>
        <w:tc>
          <w:tcPr>
            <w:tcW w:w="4020" w:type="dxa"/>
            <w:vAlign w:val="bottom"/>
            <w:gridSpan w:val="3"/>
          </w:tcPr>
          <w:p>
            <w:pPr>
              <w:ind w:left="220"/>
              <w:spacing w:after="0"/>
              <w:rPr>
                <w:sz w:val="20"/>
                <w:szCs w:val="20"/>
                <w:color w:val="auto"/>
              </w:rPr>
            </w:pPr>
            <w:r>
              <w:rPr>
                <w:rFonts w:ascii="Arial" w:cs="Arial" w:eastAsia="Arial" w:hAnsi="Arial"/>
                <w:sz w:val="15"/>
                <w:szCs w:val="15"/>
                <w:b w:val="1"/>
                <w:bCs w:val="1"/>
                <w:color w:val="auto"/>
              </w:rPr>
              <w:t>+10% over prior year</w:t>
            </w:r>
          </w:p>
        </w:tc>
        <w:tc>
          <w:tcPr>
            <w:tcW w:w="3600" w:type="dxa"/>
            <w:vAlign w:val="bottom"/>
          </w:tcPr>
          <w:p>
            <w:pPr>
              <w:spacing w:after="0"/>
              <w:rPr>
                <w:sz w:val="20"/>
                <w:szCs w:val="20"/>
                <w:color w:val="auto"/>
              </w:rPr>
            </w:pPr>
            <w:r>
              <w:rPr>
                <w:rFonts w:ascii="Arial" w:cs="Arial" w:eastAsia="Arial" w:hAnsi="Arial"/>
                <w:sz w:val="15"/>
                <w:szCs w:val="15"/>
                <w:b w:val="1"/>
                <w:bCs w:val="1"/>
                <w:color w:val="auto"/>
              </w:rPr>
              <w:t>Record Orders &amp; Ending Backlog Orders +10% /</w:t>
            </w:r>
          </w:p>
        </w:tc>
      </w:tr>
      <w:tr>
        <w:trPr>
          <w:trHeight w:val="207"/>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5"/>
                <w:szCs w:val="15"/>
                <w:b w:val="1"/>
                <w:bCs w:val="1"/>
                <w:color w:val="auto"/>
              </w:rPr>
              <w:t>Backlog +14% over prior year</w:t>
            </w:r>
          </w:p>
        </w:tc>
      </w:tr>
    </w:tbl>
    <w:p>
      <w:pPr>
        <w:spacing w:after="0" w:line="159" w:lineRule="exact"/>
        <w:rPr>
          <w:sz w:val="20"/>
          <w:szCs w:val="20"/>
          <w:color w:val="auto"/>
        </w:rPr>
      </w:pPr>
    </w:p>
    <w:p>
      <w:pPr>
        <w:ind w:left="220" w:hanging="206"/>
        <w:spacing w:after="0"/>
        <w:tabs>
          <w:tab w:leader="none" w:pos="220"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Sales exceeded $1 billion for the first time</w:t>
      </w:r>
    </w:p>
    <w:p>
      <w:pPr>
        <w:spacing w:after="0" w:line="42" w:lineRule="exact"/>
        <w:rPr>
          <w:rFonts w:ascii="Arial" w:cs="Arial" w:eastAsia="Arial" w:hAnsi="Arial"/>
          <w:sz w:val="15"/>
          <w:szCs w:val="15"/>
          <w:color w:val="auto"/>
        </w:rPr>
      </w:pPr>
    </w:p>
    <w:p>
      <w:pPr>
        <w:ind w:left="220" w:hanging="206"/>
        <w:spacing w:after="0"/>
        <w:tabs>
          <w:tab w:leader="none" w:pos="220"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Record Sales, Orders, Backlog and GAAP Earnings per Share</w:t>
      </w:r>
    </w:p>
    <w:p>
      <w:pPr>
        <w:spacing w:after="0" w:line="42" w:lineRule="exact"/>
        <w:rPr>
          <w:rFonts w:ascii="Arial" w:cs="Arial" w:eastAsia="Arial" w:hAnsi="Arial"/>
          <w:sz w:val="15"/>
          <w:szCs w:val="15"/>
          <w:color w:val="auto"/>
        </w:rPr>
      </w:pPr>
    </w:p>
    <w:p>
      <w:pPr>
        <w:ind w:left="220" w:hanging="206"/>
        <w:spacing w:after="0"/>
        <w:tabs>
          <w:tab w:leader="none" w:pos="220"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Leveraged revenue growth to drive higher profit margins</w:t>
      </w:r>
    </w:p>
    <w:p>
      <w:pPr>
        <w:spacing w:after="0" w:line="37" w:lineRule="exact"/>
        <w:rPr>
          <w:rFonts w:ascii="Arial" w:cs="Arial" w:eastAsia="Arial" w:hAnsi="Arial"/>
          <w:sz w:val="15"/>
          <w:szCs w:val="15"/>
          <w:color w:val="auto"/>
        </w:rPr>
      </w:pPr>
    </w:p>
    <w:p>
      <w:pPr>
        <w:ind w:left="220" w:hanging="206"/>
        <w:spacing w:after="0"/>
        <w:tabs>
          <w:tab w:leader="none" w:pos="220" w:val="left"/>
        </w:tabs>
        <w:numPr>
          <w:ilvl w:val="0"/>
          <w:numId w:val="34"/>
        </w:numPr>
        <w:rPr>
          <w:rFonts w:ascii="Arial" w:cs="Arial" w:eastAsia="Arial" w:hAnsi="Arial"/>
          <w:sz w:val="14"/>
          <w:szCs w:val="14"/>
          <w:color w:val="auto"/>
        </w:rPr>
      </w:pPr>
      <w:r>
        <w:rPr>
          <w:rFonts w:ascii="Arial" w:cs="Arial" w:eastAsia="Arial" w:hAnsi="Arial"/>
          <w:sz w:val="14"/>
          <w:szCs w:val="14"/>
          <w:b w:val="1"/>
          <w:bCs w:val="1"/>
          <w:color w:val="auto"/>
        </w:rPr>
        <w:t>Returned $16 million to shareholders through dividends and the repurchase of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7141210"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1412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2024 Performance Related to Executive Compensation</w:t>
      </w:r>
    </w:p>
    <w:p>
      <w:pPr>
        <w:spacing w:after="0" w:line="187" w:lineRule="exact"/>
        <w:rPr>
          <w:sz w:val="20"/>
          <w:szCs w:val="20"/>
          <w:color w:val="auto"/>
        </w:rPr>
      </w:pPr>
    </w:p>
    <w:p>
      <w:pPr>
        <w:jc w:val="both"/>
        <w:ind w:right="20"/>
        <w:spacing w:after="0" w:line="261" w:lineRule="auto"/>
        <w:rPr>
          <w:sz w:val="20"/>
          <w:szCs w:val="20"/>
          <w:color w:val="auto"/>
        </w:rPr>
      </w:pPr>
      <w:r>
        <w:rPr>
          <w:rFonts w:ascii="Arial" w:cs="Arial" w:eastAsia="Arial" w:hAnsi="Arial"/>
          <w:sz w:val="15"/>
          <w:szCs w:val="15"/>
          <w:color w:val="auto"/>
        </w:rPr>
        <w:t xml:space="preserve">The Compensation Committee established two performance metrics, “Adjusted EPS” and “Adjusted Cash Flow from Operating Activities,” to determine incentive plan compensation earned during fiscal 2024 and thereby incent the participants and align cash incentive compensation with business objectives. Adjusted EPS and Adjusted Cash Flow from Operating Activities are non-GAAP measures, and the factors used in the calculation of the 2024 adjustments differed slightly from those used to calculate the 2023 adjustments; for a detailed description and a reconciliation to the nearest GAAP measure, see </w:t>
      </w:r>
      <w:r>
        <w:rPr>
          <w:rFonts w:ascii="Arial" w:cs="Arial" w:eastAsia="Arial" w:hAnsi="Arial"/>
          <w:sz w:val="15"/>
          <w:szCs w:val="15"/>
          <w:b w:val="1"/>
          <w:bCs w:val="1"/>
          <w:i w:val="1"/>
          <w:iCs w:val="1"/>
          <w:color w:val="auto"/>
        </w:rPr>
        <w:t>2024 Cash Incentive Metrics</w:t>
      </w:r>
      <w:r>
        <w:rPr>
          <w:rFonts w:ascii="Arial" w:cs="Arial" w:eastAsia="Arial" w:hAnsi="Arial"/>
          <w:sz w:val="15"/>
          <w:szCs w:val="15"/>
          <w:color w:val="auto"/>
        </w:rPr>
        <w:t>, below.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for Performance</w:t>
      </w:r>
    </w:p>
    <w:p>
      <w:pPr>
        <w:spacing w:after="0" w:line="187"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Our compensation programs are designed to maximize shareholder value by allocating a significant portion of executive compensation to at-risk pay. Our annual cash incentive program and equity-based PSUs utilize a variety of key strategic and financial performance metrics and are designed to reward positive financial performance and limit unnecessary risk taking. Stock ownership guidelines align the interests of executives and shareholders by ensuring that executives bear the economic risk of share ownership.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Objective</w:t>
      </w:r>
    </w:p>
    <w:p>
      <w:pPr>
        <w:spacing w:after="0" w:line="187"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Compensation Committee’s objective is to develop and maintain industry-competitive compensation packages to attract, retain, motivate and reward our executive officers and other senior officers and key executives. Compensation programs are designed to be consistent with those of other companies engaged in similar industries and/or of similar size with which we are likely to compete for talent to enable us to employ and retain a high-quality management team. The Committee seeks to use performance-based compensation to maximize the alignment of executive compensation with the long-term interests of our shareholders.</w:t>
      </w:r>
    </w:p>
    <w:p>
      <w:pPr>
        <w:spacing w:after="0" w:line="142"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The Committee sets compensation levels based on the skills, experience and performance of each executive officer, taking into account the benchmarking described below and compensation recommendations made by the CEO (except with respect to his own position). The Committee’s pay for performance philosophy is reflected in the annual compensation review. The Committee also considers tally sheets which provide, for each executive officer, a recap of each principal element of compensation as well as benefits, perquisites, equity awards, and stock ownership and potential ownership. The tally sheets also reflect the incremental compensation which would be payable as a result of various termination scenarios and each element of pay or benefits impacted. The Committee retains the discretion to adjust all elements of compensation as it deems appropriate, subject to the requirements of shareholder-approved plans.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Program Highlights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321"/>
        </w:trPr>
        <w:tc>
          <w:tcPr>
            <w:tcW w:w="3280" w:type="dxa"/>
            <w:vAlign w:val="bottom"/>
            <w:tcBorders>
              <w:top w:val="single" w:sz="8" w:color="auto"/>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Pay for performance philosophy</w:t>
            </w:r>
          </w:p>
        </w:tc>
        <w:tc>
          <w:tcPr>
            <w:tcW w:w="7760" w:type="dxa"/>
            <w:vAlign w:val="bottom"/>
            <w:tcBorders>
              <w:top w:val="single" w:sz="8" w:color="auto"/>
              <w:bottom w:val="single" w:sz="8" w:color="F3F3F4"/>
            </w:tcBorders>
            <w:gridSpan w:val="2"/>
            <w:shd w:val="clear" w:color="auto" w:fill="F3F3F4"/>
          </w:tcPr>
          <w:p>
            <w:pPr>
              <w:ind w:left="100"/>
              <w:spacing w:after="0"/>
              <w:rPr>
                <w:sz w:val="20"/>
                <w:szCs w:val="20"/>
                <w:color w:val="auto"/>
              </w:rPr>
            </w:pPr>
            <w:r>
              <w:rPr>
                <w:rFonts w:ascii="Arial" w:cs="Arial" w:eastAsia="Arial" w:hAnsi="Arial"/>
                <w:sz w:val="13"/>
                <w:szCs w:val="13"/>
                <w:color w:val="auto"/>
              </w:rPr>
              <w:t>A significant portion of NEO pay is at-risk in order to align pay with business strategy and shareholder interests</w:t>
            </w:r>
          </w:p>
        </w:tc>
        <w:tc>
          <w:tcPr>
            <w:tcW w:w="200" w:type="dxa"/>
            <w:vAlign w:val="bottom"/>
            <w:tcBorders>
              <w:top w:val="single" w:sz="8" w:color="auto"/>
              <w:bottom w:val="single" w:sz="8" w:color="F3F3F4"/>
            </w:tcBorders>
            <w:shd w:val="clear" w:color="auto" w:fill="F3F3F4"/>
          </w:tcPr>
          <w:p>
            <w:pPr>
              <w:spacing w:after="0"/>
              <w:rPr>
                <w:sz w:val="24"/>
                <w:szCs w:val="24"/>
                <w:color w:val="auto"/>
              </w:rPr>
            </w:pPr>
          </w:p>
        </w:tc>
      </w:tr>
      <w:tr>
        <w:trPr>
          <w:trHeight w:val="301"/>
        </w:trPr>
        <w:tc>
          <w:tcPr>
            <w:tcW w:w="328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At-risk annual cash incentive</w:t>
            </w:r>
          </w:p>
        </w:tc>
        <w:tc>
          <w:tcPr>
            <w:tcW w:w="630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Based on achievement of specified Company performance metrics</w:t>
            </w:r>
          </w:p>
        </w:tc>
        <w:tc>
          <w:tcPr>
            <w:tcW w:w="1460" w:type="dxa"/>
            <w:vAlign w:val="bottom"/>
            <w:tcBorders>
              <w:top w:val="single" w:sz="8" w:color="939598"/>
              <w:bottom w:val="single" w:sz="8" w:color="F3F3F4"/>
            </w:tcBorders>
            <w:shd w:val="clear" w:color="auto" w:fill="F3F3F4"/>
          </w:tcPr>
          <w:p>
            <w:pPr>
              <w:spacing w:after="0"/>
              <w:rPr>
                <w:sz w:val="24"/>
                <w:szCs w:val="24"/>
                <w:color w:val="auto"/>
              </w:rPr>
            </w:pPr>
          </w:p>
        </w:tc>
        <w:tc>
          <w:tcPr>
            <w:tcW w:w="200" w:type="dxa"/>
            <w:vAlign w:val="bottom"/>
            <w:tcBorders>
              <w:top w:val="single" w:sz="8" w:color="939598"/>
              <w:bottom w:val="single" w:sz="8" w:color="F3F3F4"/>
            </w:tcBorders>
            <w:shd w:val="clear" w:color="auto" w:fill="F3F3F4"/>
          </w:tcPr>
          <w:p>
            <w:pPr>
              <w:spacing w:after="0"/>
              <w:rPr>
                <w:sz w:val="24"/>
                <w:szCs w:val="24"/>
                <w:color w:val="auto"/>
              </w:rPr>
            </w:pPr>
          </w:p>
        </w:tc>
      </w:tr>
      <w:tr>
        <w:trPr>
          <w:trHeight w:val="301"/>
        </w:trPr>
        <w:tc>
          <w:tcPr>
            <w:tcW w:w="328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Long-term equity incentive compensation (LTI)</w:t>
            </w:r>
          </w:p>
        </w:tc>
        <w:tc>
          <w:tcPr>
            <w:tcW w:w="630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Incorporates long-term Company performance metrics, and retention factors such as delayed vesting</w:t>
            </w:r>
          </w:p>
        </w:tc>
        <w:tc>
          <w:tcPr>
            <w:tcW w:w="1460" w:type="dxa"/>
            <w:vAlign w:val="bottom"/>
            <w:tcBorders>
              <w:top w:val="single" w:sz="8" w:color="939598"/>
              <w:bottom w:val="single" w:sz="8" w:color="F3F3F4"/>
            </w:tcBorders>
            <w:shd w:val="clear" w:color="auto" w:fill="F3F3F4"/>
          </w:tcPr>
          <w:p>
            <w:pPr>
              <w:spacing w:after="0"/>
              <w:rPr>
                <w:sz w:val="24"/>
                <w:szCs w:val="24"/>
                <w:color w:val="auto"/>
              </w:rPr>
            </w:pPr>
          </w:p>
        </w:tc>
        <w:tc>
          <w:tcPr>
            <w:tcW w:w="200" w:type="dxa"/>
            <w:vAlign w:val="bottom"/>
            <w:tcBorders>
              <w:top w:val="single" w:sz="8" w:color="939598"/>
              <w:bottom w:val="single" w:sz="8" w:color="F3F3F4"/>
            </w:tcBorders>
            <w:shd w:val="clear" w:color="auto" w:fill="F3F3F4"/>
          </w:tcPr>
          <w:p>
            <w:pPr>
              <w:spacing w:after="0"/>
              <w:rPr>
                <w:sz w:val="24"/>
                <w:szCs w:val="24"/>
                <w:color w:val="auto"/>
              </w:rPr>
            </w:pPr>
          </w:p>
        </w:tc>
      </w:tr>
      <w:tr>
        <w:trPr>
          <w:trHeight w:val="301"/>
        </w:trPr>
        <w:tc>
          <w:tcPr>
            <w:tcW w:w="328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Limited perquisites</w:t>
            </w:r>
          </w:p>
        </w:tc>
        <w:tc>
          <w:tcPr>
            <w:tcW w:w="630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Perquisites are appropriate to the position and not excessive</w:t>
            </w:r>
          </w:p>
        </w:tc>
        <w:tc>
          <w:tcPr>
            <w:tcW w:w="1460" w:type="dxa"/>
            <w:vAlign w:val="bottom"/>
            <w:tcBorders>
              <w:top w:val="single" w:sz="8" w:color="939598"/>
              <w:bottom w:val="single" w:sz="8" w:color="F3F3F4"/>
            </w:tcBorders>
            <w:shd w:val="clear" w:color="auto" w:fill="F3F3F4"/>
          </w:tcPr>
          <w:p>
            <w:pPr>
              <w:spacing w:after="0"/>
              <w:rPr>
                <w:sz w:val="24"/>
                <w:szCs w:val="24"/>
                <w:color w:val="auto"/>
              </w:rPr>
            </w:pPr>
          </w:p>
        </w:tc>
        <w:tc>
          <w:tcPr>
            <w:tcW w:w="200" w:type="dxa"/>
            <w:vAlign w:val="bottom"/>
            <w:tcBorders>
              <w:top w:val="single" w:sz="8" w:color="939598"/>
              <w:bottom w:val="single" w:sz="8" w:color="F3F3F4"/>
            </w:tcBorders>
            <w:shd w:val="clear" w:color="auto" w:fill="F3F3F4"/>
          </w:tcPr>
          <w:p>
            <w:pPr>
              <w:spacing w:after="0"/>
              <w:rPr>
                <w:sz w:val="24"/>
                <w:szCs w:val="24"/>
                <w:color w:val="auto"/>
              </w:rPr>
            </w:pPr>
          </w:p>
        </w:tc>
      </w:tr>
      <w:tr>
        <w:trPr>
          <w:trHeight w:val="301"/>
        </w:trPr>
        <w:tc>
          <w:tcPr>
            <w:tcW w:w="328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No tax gross-ups</w:t>
            </w:r>
          </w:p>
        </w:tc>
        <w:tc>
          <w:tcPr>
            <w:tcW w:w="630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No tax gross-up on any perquisites or severance benefits</w:t>
            </w:r>
          </w:p>
        </w:tc>
        <w:tc>
          <w:tcPr>
            <w:tcW w:w="1460" w:type="dxa"/>
            <w:vAlign w:val="bottom"/>
            <w:tcBorders>
              <w:top w:val="single" w:sz="8" w:color="939598"/>
              <w:bottom w:val="single" w:sz="8" w:color="F3F3F4"/>
            </w:tcBorders>
            <w:shd w:val="clear" w:color="auto" w:fill="F3F3F4"/>
          </w:tcPr>
          <w:p>
            <w:pPr>
              <w:spacing w:after="0"/>
              <w:rPr>
                <w:sz w:val="24"/>
                <w:szCs w:val="24"/>
                <w:color w:val="auto"/>
              </w:rPr>
            </w:pPr>
          </w:p>
        </w:tc>
        <w:tc>
          <w:tcPr>
            <w:tcW w:w="200" w:type="dxa"/>
            <w:vAlign w:val="bottom"/>
            <w:tcBorders>
              <w:top w:val="single" w:sz="8" w:color="939598"/>
              <w:bottom w:val="single" w:sz="8" w:color="F3F3F4"/>
            </w:tcBorders>
            <w:shd w:val="clear" w:color="auto" w:fill="F3F3F4"/>
          </w:tcPr>
          <w:p>
            <w:pPr>
              <w:spacing w:after="0"/>
              <w:rPr>
                <w:sz w:val="24"/>
                <w:szCs w:val="24"/>
                <w:color w:val="auto"/>
              </w:rPr>
            </w:pPr>
          </w:p>
        </w:tc>
      </w:tr>
      <w:tr>
        <w:trPr>
          <w:trHeight w:val="301"/>
        </w:trPr>
        <w:tc>
          <w:tcPr>
            <w:tcW w:w="328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Competitive stock ownership policy</w:t>
            </w:r>
          </w:p>
        </w:tc>
        <w:tc>
          <w:tcPr>
            <w:tcW w:w="630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NEO stock ownership requirement is based on a multiple of base salary</w:t>
            </w:r>
          </w:p>
        </w:tc>
        <w:tc>
          <w:tcPr>
            <w:tcW w:w="1460" w:type="dxa"/>
            <w:vAlign w:val="bottom"/>
            <w:tcBorders>
              <w:top w:val="single" w:sz="8" w:color="939598"/>
              <w:bottom w:val="single" w:sz="8" w:color="F3F3F4"/>
            </w:tcBorders>
            <w:shd w:val="clear" w:color="auto" w:fill="F3F3F4"/>
          </w:tcPr>
          <w:p>
            <w:pPr>
              <w:spacing w:after="0"/>
              <w:rPr>
                <w:sz w:val="24"/>
                <w:szCs w:val="24"/>
                <w:color w:val="auto"/>
              </w:rPr>
            </w:pPr>
          </w:p>
        </w:tc>
        <w:tc>
          <w:tcPr>
            <w:tcW w:w="200" w:type="dxa"/>
            <w:vAlign w:val="bottom"/>
            <w:tcBorders>
              <w:top w:val="single" w:sz="8" w:color="939598"/>
              <w:bottom w:val="single" w:sz="8" w:color="F3F3F4"/>
            </w:tcBorders>
            <w:shd w:val="clear" w:color="auto" w:fill="F3F3F4"/>
          </w:tcPr>
          <w:p>
            <w:pPr>
              <w:spacing w:after="0"/>
              <w:rPr>
                <w:sz w:val="24"/>
                <w:szCs w:val="24"/>
                <w:color w:val="auto"/>
              </w:rPr>
            </w:pPr>
          </w:p>
        </w:tc>
      </w:tr>
      <w:tr>
        <w:trPr>
          <w:trHeight w:val="212"/>
        </w:trPr>
        <w:tc>
          <w:tcPr>
            <w:tcW w:w="328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Clawback policy</w:t>
            </w:r>
          </w:p>
        </w:tc>
        <w:tc>
          <w:tcPr>
            <w:tcW w:w="7760" w:type="dxa"/>
            <w:vAlign w:val="bottom"/>
            <w:tcBorders>
              <w:top w:val="single" w:sz="8" w:color="939598"/>
            </w:tcBorders>
            <w:gridSpan w:val="2"/>
            <w:shd w:val="clear" w:color="auto" w:fill="F3F3F4"/>
          </w:tcPr>
          <w:p>
            <w:pPr>
              <w:ind w:left="100"/>
              <w:spacing w:after="0"/>
              <w:rPr>
                <w:sz w:val="20"/>
                <w:szCs w:val="20"/>
                <w:color w:val="auto"/>
              </w:rPr>
            </w:pPr>
            <w:r>
              <w:rPr>
                <w:rFonts w:ascii="Arial" w:cs="Arial" w:eastAsia="Arial" w:hAnsi="Arial"/>
                <w:sz w:val="13"/>
                <w:szCs w:val="13"/>
                <w:color w:val="auto"/>
              </w:rPr>
              <w:t>Cash incentive and equity awards may be reclaimed by the Company in case of malfeasance or accounting restatements due to</w:t>
            </w:r>
          </w:p>
        </w:tc>
        <w:tc>
          <w:tcPr>
            <w:tcW w:w="200" w:type="dxa"/>
            <w:vAlign w:val="bottom"/>
            <w:tcBorders>
              <w:top w:val="single" w:sz="8" w:color="939598"/>
            </w:tcBorders>
            <w:shd w:val="clear" w:color="auto" w:fill="F3F3F4"/>
          </w:tcPr>
          <w:p>
            <w:pPr>
              <w:spacing w:after="0"/>
              <w:rPr>
                <w:sz w:val="18"/>
                <w:szCs w:val="18"/>
                <w:color w:val="auto"/>
              </w:rPr>
            </w:pPr>
          </w:p>
        </w:tc>
      </w:tr>
      <w:tr>
        <w:trPr>
          <w:trHeight w:val="240"/>
        </w:trPr>
        <w:tc>
          <w:tcPr>
            <w:tcW w:w="3280" w:type="dxa"/>
            <w:vAlign w:val="bottom"/>
            <w:tcBorders>
              <w:bottom w:val="single" w:sz="8" w:color="F3F3F4"/>
            </w:tcBorders>
            <w:shd w:val="clear" w:color="auto" w:fill="F3F3F4"/>
          </w:tcPr>
          <w:p>
            <w:pPr>
              <w:spacing w:after="0"/>
              <w:rPr>
                <w:sz w:val="20"/>
                <w:szCs w:val="20"/>
                <w:color w:val="auto"/>
              </w:rPr>
            </w:pPr>
          </w:p>
        </w:tc>
        <w:tc>
          <w:tcPr>
            <w:tcW w:w="630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noncompliance with financial reporting requirements</w:t>
            </w:r>
          </w:p>
        </w:tc>
        <w:tc>
          <w:tcPr>
            <w:tcW w:w="1460" w:type="dxa"/>
            <w:vAlign w:val="bottom"/>
            <w:tcBorders>
              <w:bottom w:val="single" w:sz="8" w:color="F3F3F4"/>
            </w:tcBorders>
            <w:shd w:val="clear" w:color="auto" w:fill="F3F3F4"/>
          </w:tcPr>
          <w:p>
            <w:pPr>
              <w:spacing w:after="0"/>
              <w:rPr>
                <w:sz w:val="20"/>
                <w:szCs w:val="20"/>
                <w:color w:val="auto"/>
              </w:rPr>
            </w:pPr>
          </w:p>
        </w:tc>
        <w:tc>
          <w:tcPr>
            <w:tcW w:w="200" w:type="dxa"/>
            <w:vAlign w:val="bottom"/>
            <w:tcBorders>
              <w:bottom w:val="single" w:sz="8" w:color="F3F3F4"/>
            </w:tcBorders>
            <w:shd w:val="clear" w:color="auto" w:fill="F3F3F4"/>
          </w:tcPr>
          <w:p>
            <w:pPr>
              <w:spacing w:after="0"/>
              <w:rPr>
                <w:sz w:val="20"/>
                <w:szCs w:val="20"/>
                <w:color w:val="auto"/>
              </w:rPr>
            </w:pPr>
          </w:p>
        </w:tc>
      </w:tr>
      <w:tr>
        <w:trPr>
          <w:trHeight w:val="301"/>
        </w:trPr>
        <w:tc>
          <w:tcPr>
            <w:tcW w:w="328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No hedging or pledging</w:t>
            </w:r>
          </w:p>
        </w:tc>
        <w:tc>
          <w:tcPr>
            <w:tcW w:w="630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NEOs must retain the risks of Company stock ownership</w:t>
            </w:r>
          </w:p>
        </w:tc>
        <w:tc>
          <w:tcPr>
            <w:tcW w:w="1460" w:type="dxa"/>
            <w:vAlign w:val="bottom"/>
            <w:tcBorders>
              <w:top w:val="single" w:sz="8" w:color="939598"/>
              <w:bottom w:val="single" w:sz="8" w:color="F3F3F4"/>
            </w:tcBorders>
            <w:shd w:val="clear" w:color="auto" w:fill="F3F3F4"/>
          </w:tcPr>
          <w:p>
            <w:pPr>
              <w:spacing w:after="0"/>
              <w:rPr>
                <w:sz w:val="24"/>
                <w:szCs w:val="24"/>
                <w:color w:val="auto"/>
              </w:rPr>
            </w:pPr>
          </w:p>
        </w:tc>
        <w:tc>
          <w:tcPr>
            <w:tcW w:w="200" w:type="dxa"/>
            <w:vAlign w:val="bottom"/>
            <w:tcBorders>
              <w:top w:val="single" w:sz="8" w:color="939598"/>
              <w:bottom w:val="single" w:sz="8" w:color="F3F3F4"/>
            </w:tcBorders>
            <w:shd w:val="clear" w:color="auto" w:fill="F3F3F4"/>
          </w:tcPr>
          <w:p>
            <w:pPr>
              <w:spacing w:after="0"/>
              <w:rPr>
                <w:sz w:val="24"/>
                <w:szCs w:val="24"/>
                <w:color w:val="auto"/>
              </w:rPr>
            </w:pPr>
          </w:p>
        </w:tc>
      </w:tr>
      <w:tr>
        <w:trPr>
          <w:trHeight w:val="301"/>
        </w:trPr>
        <w:tc>
          <w:tcPr>
            <w:tcW w:w="328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Double trigger vesting</w:t>
            </w:r>
          </w:p>
        </w:tc>
        <w:tc>
          <w:tcPr>
            <w:tcW w:w="630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NEO change in control agreements and stock awards contain double trigger vesting provisions</w:t>
            </w:r>
          </w:p>
        </w:tc>
        <w:tc>
          <w:tcPr>
            <w:tcW w:w="1460" w:type="dxa"/>
            <w:vAlign w:val="bottom"/>
            <w:tcBorders>
              <w:top w:val="single" w:sz="8" w:color="939598"/>
              <w:bottom w:val="single" w:sz="8" w:color="F3F3F4"/>
            </w:tcBorders>
            <w:shd w:val="clear" w:color="auto" w:fill="F3F3F4"/>
          </w:tcPr>
          <w:p>
            <w:pPr>
              <w:spacing w:after="0"/>
              <w:rPr>
                <w:sz w:val="24"/>
                <w:szCs w:val="24"/>
                <w:color w:val="auto"/>
              </w:rPr>
            </w:pPr>
          </w:p>
        </w:tc>
        <w:tc>
          <w:tcPr>
            <w:tcW w:w="200" w:type="dxa"/>
            <w:vAlign w:val="bottom"/>
            <w:tcBorders>
              <w:top w:val="single" w:sz="8" w:color="939598"/>
              <w:bottom w:val="single" w:sz="8" w:color="F3F3F4"/>
            </w:tcBorders>
            <w:shd w:val="clear" w:color="auto" w:fill="F3F3F4"/>
          </w:tcPr>
          <w:p>
            <w:pPr>
              <w:spacing w:after="0"/>
              <w:rPr>
                <w:sz w:val="24"/>
                <w:szCs w:val="24"/>
                <w:color w:val="auto"/>
              </w:rPr>
            </w:pPr>
          </w:p>
        </w:tc>
      </w:tr>
      <w:tr>
        <w:trPr>
          <w:trHeight w:val="301"/>
        </w:trPr>
        <w:tc>
          <w:tcPr>
            <w:tcW w:w="328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Independent compensation consultant</w:t>
            </w:r>
          </w:p>
        </w:tc>
        <w:tc>
          <w:tcPr>
            <w:tcW w:w="630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The Compensation Committee retains its own independent compensation consultant</w:t>
            </w:r>
          </w:p>
        </w:tc>
        <w:tc>
          <w:tcPr>
            <w:tcW w:w="1460" w:type="dxa"/>
            <w:vAlign w:val="bottom"/>
            <w:tcBorders>
              <w:top w:val="single" w:sz="8" w:color="939598"/>
              <w:bottom w:val="single" w:sz="8" w:color="F3F3F4"/>
            </w:tcBorders>
            <w:shd w:val="clear" w:color="auto" w:fill="F3F3F4"/>
          </w:tcPr>
          <w:p>
            <w:pPr>
              <w:spacing w:after="0"/>
              <w:rPr>
                <w:sz w:val="24"/>
                <w:szCs w:val="24"/>
                <w:color w:val="auto"/>
              </w:rPr>
            </w:pPr>
          </w:p>
        </w:tc>
        <w:tc>
          <w:tcPr>
            <w:tcW w:w="200" w:type="dxa"/>
            <w:vAlign w:val="bottom"/>
            <w:tcBorders>
              <w:top w:val="single" w:sz="8" w:color="939598"/>
              <w:bottom w:val="single" w:sz="8" w:color="F3F3F4"/>
            </w:tcBorders>
            <w:shd w:val="clear" w:color="auto" w:fill="F3F3F4"/>
          </w:tcPr>
          <w:p>
            <w:pPr>
              <w:spacing w:after="0"/>
              <w:rPr>
                <w:sz w:val="24"/>
                <w:szCs w:val="24"/>
                <w:color w:val="auto"/>
              </w:rPr>
            </w:pPr>
          </w:p>
        </w:tc>
      </w:tr>
      <w:tr>
        <w:trPr>
          <w:trHeight w:val="301"/>
        </w:trPr>
        <w:tc>
          <w:tcPr>
            <w:tcW w:w="328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Strong say-on-pay support</w:t>
            </w:r>
          </w:p>
        </w:tc>
        <w:tc>
          <w:tcPr>
            <w:tcW w:w="7760" w:type="dxa"/>
            <w:vAlign w:val="bottom"/>
            <w:tcBorders>
              <w:top w:val="single" w:sz="8" w:color="939598"/>
              <w:bottom w:val="single" w:sz="8" w:color="F3F3F4"/>
            </w:tcBorders>
            <w:gridSpan w:val="2"/>
            <w:shd w:val="clear" w:color="auto" w:fill="F3F3F4"/>
          </w:tcPr>
          <w:p>
            <w:pPr>
              <w:ind w:left="100"/>
              <w:spacing w:after="0"/>
              <w:rPr>
                <w:sz w:val="20"/>
                <w:szCs w:val="20"/>
                <w:color w:val="auto"/>
              </w:rPr>
            </w:pPr>
            <w:r>
              <w:rPr>
                <w:rFonts w:ascii="Arial" w:cs="Arial" w:eastAsia="Arial" w:hAnsi="Arial"/>
                <w:sz w:val="13"/>
                <w:szCs w:val="13"/>
                <w:color w:val="auto"/>
              </w:rPr>
              <w:t>Over 99% of the shares voting at the 2023 Annual Meeting supported the Company’s executive compensation program</w:t>
            </w:r>
          </w:p>
        </w:tc>
        <w:tc>
          <w:tcPr>
            <w:tcW w:w="200" w:type="dxa"/>
            <w:vAlign w:val="bottom"/>
            <w:tcBorders>
              <w:top w:val="single" w:sz="8" w:color="939598"/>
              <w:bottom w:val="single" w:sz="8" w:color="F3F3F4"/>
            </w:tcBorders>
            <w:shd w:val="clear" w:color="auto" w:fill="F3F3F4"/>
          </w:tcPr>
          <w:p>
            <w:pPr>
              <w:spacing w:after="0"/>
              <w:rPr>
                <w:sz w:val="24"/>
                <w:szCs w:val="24"/>
                <w:color w:val="auto"/>
              </w:rPr>
            </w:pPr>
          </w:p>
        </w:tc>
      </w:tr>
      <w:tr>
        <w:trPr>
          <w:trHeight w:val="427"/>
        </w:trPr>
        <w:tc>
          <w:tcPr>
            <w:tcW w:w="9580" w:type="dxa"/>
            <w:vAlign w:val="bottom"/>
            <w:tcBorders>
              <w:top w:val="single" w:sz="8" w:color="auto"/>
              <w:bottom w:val="single" w:sz="8" w:color="D1D2D4"/>
            </w:tcBorders>
            <w:gridSpan w:val="2"/>
          </w:tcPr>
          <w:p>
            <w:pPr>
              <w:spacing w:after="0"/>
              <w:rPr>
                <w:sz w:val="24"/>
                <w:szCs w:val="24"/>
                <w:color w:val="auto"/>
              </w:rPr>
            </w:pPr>
          </w:p>
        </w:tc>
        <w:tc>
          <w:tcPr>
            <w:tcW w:w="1460" w:type="dxa"/>
            <w:vAlign w:val="bottom"/>
            <w:tcBorders>
              <w:top w:val="single" w:sz="8" w:color="auto"/>
              <w:bottom w:val="single" w:sz="8" w:color="D1D2D4"/>
            </w:tcBorders>
          </w:tcPr>
          <w:p>
            <w:pPr>
              <w:spacing w:after="0"/>
              <w:rPr>
                <w:sz w:val="24"/>
                <w:szCs w:val="24"/>
                <w:color w:val="auto"/>
              </w:rPr>
            </w:pPr>
          </w:p>
        </w:tc>
        <w:tc>
          <w:tcPr>
            <w:tcW w:w="200" w:type="dxa"/>
            <w:vAlign w:val="bottom"/>
            <w:tcBorders>
              <w:top w:val="single" w:sz="8" w:color="auto"/>
              <w:bottom w:val="single" w:sz="8" w:color="D1D2D4"/>
            </w:tcBorders>
          </w:tcPr>
          <w:p>
            <w:pPr>
              <w:spacing w:after="0"/>
              <w:rPr>
                <w:sz w:val="24"/>
                <w:szCs w:val="24"/>
                <w:color w:val="auto"/>
              </w:rPr>
            </w:pPr>
          </w:p>
        </w:tc>
      </w:tr>
      <w:tr>
        <w:trPr>
          <w:trHeight w:val="290"/>
        </w:trPr>
        <w:tc>
          <w:tcPr>
            <w:tcW w:w="95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p>
        </w:tc>
        <w:tc>
          <w:tcPr>
            <w:tcW w:w="146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PROPOSAL 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w:t>
            </w:r>
          </w:p>
        </w:tc>
      </w:tr>
    </w:tbl>
    <w:p>
      <w:pPr>
        <w:sectPr>
          <w:pgSz w:w="11900" w:h="16838" w:orient="portrait"/>
          <w:cols w:equalWidth="0" w:num="1">
            <w:col w:w="11240"/>
          </w:cols>
          <w:pgMar w:left="320" w:top="844" w:right="339" w:bottom="1440" w:gutter="0" w:footer="0" w:header="0"/>
        </w:sectPr>
      </w:pPr>
    </w:p>
    <w:bookmarkStart w:id="30" w:name="page31"/>
    <w:bookmarkEnd w:id="30"/>
    <w:p>
      <w:pPr>
        <w:jc w:val="both"/>
        <w:spacing w:after="0" w:line="246" w:lineRule="auto"/>
        <w:rPr>
          <w:sz w:val="20"/>
          <w:szCs w:val="20"/>
          <w:color w:val="auto"/>
        </w:rPr>
      </w:pPr>
      <w:r>
        <w:rPr>
          <w:rFonts w:ascii="Arial" w:cs="Arial" w:eastAsia="Arial" w:hAnsi="Arial"/>
          <w:sz w:val="14"/>
          <w:szCs w:val="14"/>
          <w:color w:val="auto"/>
        </w:rPr>
        <w:t>The following table summarizes the 2024 target direct compensation pay mix for the CEO and other NEOs, with approximately 75% of the CEO’s target direct compensation at risk and 60% of the average of the other NEOs’ target direct compensation at risk. Target direct compensation is defined as the sum of the executive officer’s base salary, annual cash incentive award, and annual long term equity incentive awards, in each case calculated at the target level specified by the Compensation Committee.</w:t>
      </w:r>
    </w:p>
    <w:p>
      <w:pPr>
        <w:spacing w:after="0" w:line="182" w:lineRule="exact"/>
        <w:rPr>
          <w:sz w:val="20"/>
          <w:szCs w:val="20"/>
          <w:color w:val="auto"/>
        </w:rPr>
      </w:pPr>
    </w:p>
    <w:p>
      <w:pPr>
        <w:ind w:left="2520"/>
        <w:spacing w:after="0"/>
        <w:tabs>
          <w:tab w:leader="none" w:pos="8080" w:val="left"/>
        </w:tabs>
        <w:rPr>
          <w:sz w:val="20"/>
          <w:szCs w:val="20"/>
          <w:color w:val="auto"/>
        </w:rPr>
      </w:pPr>
      <w:r>
        <w:rPr>
          <w:rFonts w:ascii="Arial" w:cs="Arial" w:eastAsia="Arial" w:hAnsi="Arial"/>
          <w:sz w:val="16"/>
          <w:szCs w:val="16"/>
          <w:b w:val="1"/>
          <w:bCs w:val="1"/>
          <w:color w:val="auto"/>
        </w:rPr>
        <w:t>CEO</w:t>
      </w:r>
      <w:r>
        <w:rPr>
          <w:sz w:val="20"/>
          <w:szCs w:val="20"/>
          <w:color w:val="auto"/>
        </w:rPr>
        <w:tab/>
      </w:r>
      <w:r>
        <w:rPr>
          <w:rFonts w:ascii="Arial" w:cs="Arial" w:eastAsia="Arial" w:hAnsi="Arial"/>
          <w:sz w:val="16"/>
          <w:szCs w:val="16"/>
          <w:b w:val="1"/>
          <w:bCs w:val="1"/>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57150</wp:posOffset>
            </wp:positionV>
            <wp:extent cx="7141210" cy="23723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210" cy="237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Compensation Consultant and Benchmarking</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Compensation Committee is authorized by its charter to employ independent compensation and other consultants. The Committee has typically engaged a nationally recognized compensation consulting firm (Compensation Consultant) every other year to assist the Committee in evaluating executive compensation. The Compensation Consultant provides information, research and analysis pertaining to executive compensation as requested by the Committee, including updates on market trends, survey data and analysis for market review. The Committee also from time to time engages our primary outside counsel, Bryan Cave Leighton Paisner LLP (BCLP) to advise it on selected executive compensation issues.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The Committee conducts a peer and market review every two years; the most recent review was in 2022, as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Compensation Report (Fiscal 2023 Compensation Review)</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In the summer of 2022, the Committee engaged Pay Governance LLC as the Compensation Consultant to provide a compensation report (the 2022 Compensation Report) for the Committee’s fiscal 2023 compensation review. One of the elements of the 2022 Compensation Report was the 2022 Mercer Benchmark Database/Total Remuneration Survey – Executive (the Mercer Survey), a broad-based survey of management compensation, as the primary source for benchmarking its executive compensation levels. A broad market survey provides decision-quality data that is generally reliable and consistent year-over-year. The Company was a participant in the Mercer Survey. A list of all of the participating companies included in the Mercer Survey is attached as Appendix A to this Proxy Statement.</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For its 2022 Compensation Report, the Compensation Consultant also provided proxy data from the peer group described below (2022 Peer Group) to be used in conjunction with the Mercer Survey in order to add context to the decision-making process and provide a supplemental perspective on the market. Peer group proxy data provides transparent line-by-line information for each company in the peer group, and provides the ability to review industry trends and compensation design practices as well as pay-for-performance alignment. The 2022 Peer Group was based on the SIC codes assigned to the Company’s subsidiaries and represented companies in the following industries in which the Company participates:</w:t>
      </w:r>
    </w:p>
    <w:p>
      <w:pPr>
        <w:spacing w:after="0" w:line="119" w:lineRule="exact"/>
        <w:rPr>
          <w:sz w:val="20"/>
          <w:szCs w:val="20"/>
          <w:color w:val="auto"/>
        </w:rPr>
      </w:pPr>
    </w:p>
    <w:p>
      <w:pPr>
        <w:ind w:left="220" w:hanging="206"/>
        <w:spacing w:after="0"/>
        <w:tabs>
          <w:tab w:leader="none" w:pos="2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Industrial valves</w:t>
      </w:r>
    </w:p>
    <w:p>
      <w:pPr>
        <w:spacing w:after="0" w:line="29" w:lineRule="exact"/>
        <w:rPr>
          <w:rFonts w:ascii="Arial" w:cs="Arial" w:eastAsia="Arial" w:hAnsi="Arial"/>
          <w:sz w:val="15"/>
          <w:szCs w:val="15"/>
          <w:color w:val="auto"/>
        </w:rPr>
      </w:pPr>
    </w:p>
    <w:p>
      <w:pPr>
        <w:ind w:left="220" w:hanging="206"/>
        <w:spacing w:after="0"/>
        <w:tabs>
          <w:tab w:leader="none" w:pos="2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General industrial machinery</w:t>
      </w:r>
    </w:p>
    <w:p>
      <w:pPr>
        <w:spacing w:after="0" w:line="29" w:lineRule="exact"/>
        <w:rPr>
          <w:rFonts w:ascii="Arial" w:cs="Arial" w:eastAsia="Arial" w:hAnsi="Arial"/>
          <w:sz w:val="15"/>
          <w:szCs w:val="15"/>
          <w:color w:val="auto"/>
        </w:rPr>
      </w:pPr>
    </w:p>
    <w:p>
      <w:pPr>
        <w:ind w:left="220" w:hanging="206"/>
        <w:spacing w:after="0"/>
        <w:tabs>
          <w:tab w:leader="none" w:pos="2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Radio and television communications equipment</w:t>
      </w:r>
    </w:p>
    <w:p>
      <w:pPr>
        <w:spacing w:after="0" w:line="29" w:lineRule="exact"/>
        <w:rPr>
          <w:rFonts w:ascii="Arial" w:cs="Arial" w:eastAsia="Arial" w:hAnsi="Arial"/>
          <w:sz w:val="15"/>
          <w:szCs w:val="15"/>
          <w:color w:val="auto"/>
        </w:rPr>
      </w:pPr>
    </w:p>
    <w:p>
      <w:pPr>
        <w:ind w:left="220" w:hanging="206"/>
        <w:spacing w:after="0"/>
        <w:tabs>
          <w:tab w:leader="none" w:pos="2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Printed circuit boards</w:t>
      </w:r>
    </w:p>
    <w:p>
      <w:pPr>
        <w:spacing w:after="0" w:line="29" w:lineRule="exact"/>
        <w:rPr>
          <w:rFonts w:ascii="Arial" w:cs="Arial" w:eastAsia="Arial" w:hAnsi="Arial"/>
          <w:sz w:val="15"/>
          <w:szCs w:val="15"/>
          <w:color w:val="auto"/>
        </w:rPr>
      </w:pPr>
    </w:p>
    <w:p>
      <w:pPr>
        <w:ind w:left="220" w:hanging="206"/>
        <w:spacing w:after="0"/>
        <w:tabs>
          <w:tab w:leader="none" w:pos="2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Instruments to measure electricity</w:t>
      </w:r>
    </w:p>
    <w:p>
      <w:pPr>
        <w:spacing w:after="0" w:line="29" w:lineRule="exact"/>
        <w:rPr>
          <w:rFonts w:ascii="Arial" w:cs="Arial" w:eastAsia="Arial" w:hAnsi="Arial"/>
          <w:sz w:val="15"/>
          <w:szCs w:val="15"/>
          <w:color w:val="auto"/>
        </w:rPr>
      </w:pPr>
    </w:p>
    <w:p>
      <w:pPr>
        <w:ind w:left="220" w:hanging="206"/>
        <w:spacing w:after="0"/>
        <w:tabs>
          <w:tab w:leader="none" w:pos="2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Services not elsewhere 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299085</wp:posOffset>
            </wp:positionV>
            <wp:extent cx="7141210"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141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1" w:name="page32"/>
    <w:bookmarkEnd w:id="31"/>
    <w:p>
      <w:pPr>
        <w:spacing w:after="0"/>
        <w:rPr>
          <w:sz w:val="20"/>
          <w:szCs w:val="20"/>
          <w:color w:val="auto"/>
        </w:rPr>
      </w:pPr>
      <w:r>
        <w:rPr>
          <w:rFonts w:ascii="Arial" w:cs="Arial" w:eastAsia="Arial" w:hAnsi="Arial"/>
          <w:sz w:val="15"/>
          <w:szCs w:val="15"/>
          <w:color w:val="auto"/>
        </w:rPr>
        <w:t>Companies in the above industries were then filtered for revenue size in order to determine the 2022 Peer Group. The following is a list of the companies in the 2022</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Peer Group, with their ticker symbols: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840" w:type="dxa"/>
            <w:vAlign w:val="bottom"/>
            <w:tcBorders>
              <w:top w:val="single" w:sz="8" w:color="auto"/>
            </w:tcBorders>
            <w:shd w:val="clear" w:color="auto" w:fill="F3F3F4"/>
          </w:tcPr>
          <w:p>
            <w:pPr>
              <w:ind w:left="100"/>
              <w:spacing w:after="0"/>
              <w:rPr>
                <w:sz w:val="20"/>
                <w:szCs w:val="20"/>
                <w:color w:val="auto"/>
              </w:rPr>
            </w:pPr>
            <w:r>
              <w:rPr>
                <w:rFonts w:ascii="Arial" w:cs="Arial" w:eastAsia="Arial" w:hAnsi="Arial"/>
                <w:sz w:val="15"/>
                <w:szCs w:val="15"/>
                <w:color w:val="auto"/>
              </w:rPr>
              <w:t>Ameresco, Inc. (AMRC)*</w:t>
            </w:r>
          </w:p>
        </w:tc>
        <w:tc>
          <w:tcPr>
            <w:tcW w:w="6400" w:type="dxa"/>
            <w:vAlign w:val="bottom"/>
            <w:tcBorders>
              <w:top w:val="single" w:sz="8" w:color="auto"/>
            </w:tcBorders>
            <w:shd w:val="clear" w:color="auto" w:fill="F3F3F4"/>
          </w:tcPr>
          <w:p>
            <w:pPr>
              <w:ind w:left="600"/>
              <w:spacing w:after="0"/>
              <w:rPr>
                <w:sz w:val="20"/>
                <w:szCs w:val="20"/>
                <w:color w:val="auto"/>
              </w:rPr>
            </w:pPr>
            <w:r>
              <w:rPr>
                <w:rFonts w:ascii="Arial" w:cs="Arial" w:eastAsia="Arial" w:hAnsi="Arial"/>
                <w:sz w:val="15"/>
                <w:szCs w:val="15"/>
                <w:color w:val="auto"/>
              </w:rPr>
              <w:t>Kaman Corporation (KAMN)</w:t>
            </w:r>
          </w:p>
        </w:tc>
      </w:tr>
      <w:tr>
        <w:trPr>
          <w:trHeight w:val="66"/>
        </w:trPr>
        <w:tc>
          <w:tcPr>
            <w:tcW w:w="4840" w:type="dxa"/>
            <w:vAlign w:val="bottom"/>
            <w:tcBorders>
              <w:bottom w:val="single" w:sz="8" w:color="939598"/>
            </w:tcBorders>
            <w:shd w:val="clear" w:color="auto" w:fill="F3F3F4"/>
          </w:tcPr>
          <w:p>
            <w:pPr>
              <w:spacing w:after="0"/>
              <w:rPr>
                <w:sz w:val="5"/>
                <w:szCs w:val="5"/>
                <w:color w:val="auto"/>
              </w:rPr>
            </w:pPr>
          </w:p>
        </w:tc>
        <w:tc>
          <w:tcPr>
            <w:tcW w:w="6400" w:type="dxa"/>
            <w:vAlign w:val="bottom"/>
            <w:tcBorders>
              <w:bottom w:val="single" w:sz="8" w:color="939598"/>
            </w:tcBorders>
            <w:shd w:val="clear" w:color="auto" w:fill="F3F3F4"/>
          </w:tcPr>
          <w:p>
            <w:pPr>
              <w:spacing w:after="0"/>
              <w:rPr>
                <w:sz w:val="5"/>
                <w:szCs w:val="5"/>
                <w:color w:val="auto"/>
              </w:rPr>
            </w:pPr>
          </w:p>
        </w:tc>
      </w:tr>
      <w:tr>
        <w:trPr>
          <w:trHeight w:val="255"/>
        </w:trPr>
        <w:tc>
          <w:tcPr>
            <w:tcW w:w="4840" w:type="dxa"/>
            <w:vAlign w:val="bottom"/>
            <w:shd w:val="clear" w:color="auto" w:fill="F3F3F4"/>
          </w:tcPr>
          <w:p>
            <w:pPr>
              <w:ind w:left="100"/>
              <w:spacing w:after="0"/>
              <w:rPr>
                <w:sz w:val="20"/>
                <w:szCs w:val="20"/>
                <w:color w:val="auto"/>
              </w:rPr>
            </w:pPr>
            <w:r>
              <w:rPr>
                <w:rFonts w:ascii="Arial" w:cs="Arial" w:eastAsia="Arial" w:hAnsi="Arial"/>
                <w:sz w:val="15"/>
                <w:szCs w:val="15"/>
                <w:color w:val="auto"/>
              </w:rPr>
              <w:t>Badger Meter, Inc. (BMI)</w:t>
            </w:r>
          </w:p>
        </w:tc>
        <w:tc>
          <w:tcPr>
            <w:tcW w:w="6400" w:type="dxa"/>
            <w:vAlign w:val="bottom"/>
            <w:shd w:val="clear" w:color="auto" w:fill="F3F3F4"/>
          </w:tcPr>
          <w:p>
            <w:pPr>
              <w:ind w:left="600"/>
              <w:spacing w:after="0"/>
              <w:rPr>
                <w:sz w:val="20"/>
                <w:szCs w:val="20"/>
                <w:color w:val="auto"/>
              </w:rPr>
            </w:pPr>
            <w:r>
              <w:rPr>
                <w:rFonts w:ascii="Arial" w:cs="Arial" w:eastAsia="Arial" w:hAnsi="Arial"/>
                <w:sz w:val="15"/>
                <w:szCs w:val="15"/>
                <w:color w:val="auto"/>
              </w:rPr>
              <w:t>MACOM Technology Solutions Holdings Inc. (MTSI)</w:t>
            </w:r>
          </w:p>
        </w:tc>
      </w:tr>
      <w:tr>
        <w:trPr>
          <w:trHeight w:val="66"/>
        </w:trPr>
        <w:tc>
          <w:tcPr>
            <w:tcW w:w="4840" w:type="dxa"/>
            <w:vAlign w:val="bottom"/>
            <w:tcBorders>
              <w:bottom w:val="single" w:sz="8" w:color="939598"/>
            </w:tcBorders>
            <w:shd w:val="clear" w:color="auto" w:fill="F3F3F4"/>
          </w:tcPr>
          <w:p>
            <w:pPr>
              <w:spacing w:after="0"/>
              <w:rPr>
                <w:sz w:val="5"/>
                <w:szCs w:val="5"/>
                <w:color w:val="auto"/>
              </w:rPr>
            </w:pPr>
          </w:p>
        </w:tc>
        <w:tc>
          <w:tcPr>
            <w:tcW w:w="6400" w:type="dxa"/>
            <w:vAlign w:val="bottom"/>
            <w:tcBorders>
              <w:bottom w:val="single" w:sz="8" w:color="939598"/>
            </w:tcBorders>
            <w:shd w:val="clear" w:color="auto" w:fill="F3F3F4"/>
          </w:tcPr>
          <w:p>
            <w:pPr>
              <w:spacing w:after="0"/>
              <w:rPr>
                <w:sz w:val="5"/>
                <w:szCs w:val="5"/>
                <w:color w:val="auto"/>
              </w:rPr>
            </w:pPr>
          </w:p>
        </w:tc>
      </w:tr>
      <w:tr>
        <w:trPr>
          <w:trHeight w:val="255"/>
        </w:trPr>
        <w:tc>
          <w:tcPr>
            <w:tcW w:w="4840" w:type="dxa"/>
            <w:vAlign w:val="bottom"/>
            <w:shd w:val="clear" w:color="auto" w:fill="F3F3F4"/>
          </w:tcPr>
          <w:p>
            <w:pPr>
              <w:ind w:left="100"/>
              <w:spacing w:after="0"/>
              <w:rPr>
                <w:sz w:val="20"/>
                <w:szCs w:val="20"/>
                <w:color w:val="auto"/>
              </w:rPr>
            </w:pPr>
            <w:r>
              <w:rPr>
                <w:rFonts w:ascii="Arial" w:cs="Arial" w:eastAsia="Arial" w:hAnsi="Arial"/>
                <w:sz w:val="15"/>
                <w:szCs w:val="15"/>
                <w:color w:val="auto"/>
              </w:rPr>
              <w:t>Barnes Group Inc. (B)*</w:t>
            </w:r>
          </w:p>
        </w:tc>
        <w:tc>
          <w:tcPr>
            <w:tcW w:w="6400" w:type="dxa"/>
            <w:vAlign w:val="bottom"/>
            <w:shd w:val="clear" w:color="auto" w:fill="F3F3F4"/>
          </w:tcPr>
          <w:p>
            <w:pPr>
              <w:ind w:left="600"/>
              <w:spacing w:after="0"/>
              <w:rPr>
                <w:sz w:val="20"/>
                <w:szCs w:val="20"/>
                <w:color w:val="auto"/>
              </w:rPr>
            </w:pPr>
            <w:r>
              <w:rPr>
                <w:rFonts w:ascii="Arial" w:cs="Arial" w:eastAsia="Arial" w:hAnsi="Arial"/>
                <w:sz w:val="15"/>
                <w:szCs w:val="15"/>
                <w:color w:val="auto"/>
              </w:rPr>
              <w:t>Mueller Water Products, Inc. (MWA)</w:t>
            </w:r>
          </w:p>
        </w:tc>
      </w:tr>
      <w:tr>
        <w:trPr>
          <w:trHeight w:val="66"/>
        </w:trPr>
        <w:tc>
          <w:tcPr>
            <w:tcW w:w="4840" w:type="dxa"/>
            <w:vAlign w:val="bottom"/>
            <w:tcBorders>
              <w:bottom w:val="single" w:sz="8" w:color="939598"/>
            </w:tcBorders>
            <w:shd w:val="clear" w:color="auto" w:fill="F3F3F4"/>
          </w:tcPr>
          <w:p>
            <w:pPr>
              <w:spacing w:after="0"/>
              <w:rPr>
                <w:sz w:val="5"/>
                <w:szCs w:val="5"/>
                <w:color w:val="auto"/>
              </w:rPr>
            </w:pPr>
          </w:p>
        </w:tc>
        <w:tc>
          <w:tcPr>
            <w:tcW w:w="6400" w:type="dxa"/>
            <w:vAlign w:val="bottom"/>
            <w:tcBorders>
              <w:bottom w:val="single" w:sz="8" w:color="939598"/>
            </w:tcBorders>
            <w:shd w:val="clear" w:color="auto" w:fill="F3F3F4"/>
          </w:tcPr>
          <w:p>
            <w:pPr>
              <w:spacing w:after="0"/>
              <w:rPr>
                <w:sz w:val="5"/>
                <w:szCs w:val="5"/>
                <w:color w:val="auto"/>
              </w:rPr>
            </w:pPr>
          </w:p>
        </w:tc>
      </w:tr>
      <w:tr>
        <w:trPr>
          <w:trHeight w:val="255"/>
        </w:trPr>
        <w:tc>
          <w:tcPr>
            <w:tcW w:w="4840" w:type="dxa"/>
            <w:vAlign w:val="bottom"/>
            <w:shd w:val="clear" w:color="auto" w:fill="F3F3F4"/>
          </w:tcPr>
          <w:p>
            <w:pPr>
              <w:ind w:left="100"/>
              <w:spacing w:after="0"/>
              <w:rPr>
                <w:sz w:val="20"/>
                <w:szCs w:val="20"/>
                <w:color w:val="auto"/>
              </w:rPr>
            </w:pPr>
            <w:r>
              <w:rPr>
                <w:rFonts w:ascii="Arial" w:cs="Arial" w:eastAsia="Arial" w:hAnsi="Arial"/>
                <w:sz w:val="15"/>
                <w:szCs w:val="15"/>
                <w:color w:val="auto"/>
              </w:rPr>
              <w:t>Chart Industries, Inc. (GTLS)</w:t>
            </w:r>
          </w:p>
        </w:tc>
        <w:tc>
          <w:tcPr>
            <w:tcW w:w="6400" w:type="dxa"/>
            <w:vAlign w:val="bottom"/>
            <w:shd w:val="clear" w:color="auto" w:fill="F3F3F4"/>
          </w:tcPr>
          <w:p>
            <w:pPr>
              <w:ind w:left="600"/>
              <w:spacing w:after="0"/>
              <w:rPr>
                <w:sz w:val="20"/>
                <w:szCs w:val="20"/>
                <w:color w:val="auto"/>
              </w:rPr>
            </w:pPr>
            <w:r>
              <w:rPr>
                <w:rFonts w:ascii="Arial" w:cs="Arial" w:eastAsia="Arial" w:hAnsi="Arial"/>
                <w:sz w:val="15"/>
                <w:szCs w:val="15"/>
                <w:color w:val="auto"/>
              </w:rPr>
              <w:t>National Instruments Corporation (NATI)*</w:t>
            </w:r>
          </w:p>
        </w:tc>
      </w:tr>
      <w:tr>
        <w:trPr>
          <w:trHeight w:val="66"/>
        </w:trPr>
        <w:tc>
          <w:tcPr>
            <w:tcW w:w="4840" w:type="dxa"/>
            <w:vAlign w:val="bottom"/>
            <w:tcBorders>
              <w:bottom w:val="single" w:sz="8" w:color="939598"/>
            </w:tcBorders>
            <w:shd w:val="clear" w:color="auto" w:fill="F3F3F4"/>
          </w:tcPr>
          <w:p>
            <w:pPr>
              <w:spacing w:after="0"/>
              <w:rPr>
                <w:sz w:val="5"/>
                <w:szCs w:val="5"/>
                <w:color w:val="auto"/>
              </w:rPr>
            </w:pPr>
          </w:p>
        </w:tc>
        <w:tc>
          <w:tcPr>
            <w:tcW w:w="6400" w:type="dxa"/>
            <w:vAlign w:val="bottom"/>
            <w:tcBorders>
              <w:bottom w:val="single" w:sz="8" w:color="939598"/>
            </w:tcBorders>
            <w:shd w:val="clear" w:color="auto" w:fill="F3F3F4"/>
          </w:tcPr>
          <w:p>
            <w:pPr>
              <w:spacing w:after="0"/>
              <w:rPr>
                <w:sz w:val="5"/>
                <w:szCs w:val="5"/>
                <w:color w:val="auto"/>
              </w:rPr>
            </w:pPr>
          </w:p>
        </w:tc>
      </w:tr>
      <w:tr>
        <w:trPr>
          <w:trHeight w:val="255"/>
        </w:trPr>
        <w:tc>
          <w:tcPr>
            <w:tcW w:w="4840" w:type="dxa"/>
            <w:vAlign w:val="bottom"/>
            <w:shd w:val="clear" w:color="auto" w:fill="F3F3F4"/>
          </w:tcPr>
          <w:p>
            <w:pPr>
              <w:ind w:left="100"/>
              <w:spacing w:after="0"/>
              <w:rPr>
                <w:sz w:val="20"/>
                <w:szCs w:val="20"/>
                <w:color w:val="auto"/>
              </w:rPr>
            </w:pPr>
            <w:r>
              <w:rPr>
                <w:rFonts w:ascii="Arial" w:cs="Arial" w:eastAsia="Arial" w:hAnsi="Arial"/>
                <w:sz w:val="15"/>
                <w:szCs w:val="15"/>
                <w:color w:val="auto"/>
              </w:rPr>
              <w:t>CIRCOR International, Inc. (CIR)</w:t>
            </w:r>
          </w:p>
        </w:tc>
        <w:tc>
          <w:tcPr>
            <w:tcW w:w="6400" w:type="dxa"/>
            <w:vAlign w:val="bottom"/>
            <w:shd w:val="clear" w:color="auto" w:fill="F3F3F4"/>
          </w:tcPr>
          <w:p>
            <w:pPr>
              <w:ind w:left="600"/>
              <w:spacing w:after="0"/>
              <w:rPr>
                <w:sz w:val="20"/>
                <w:szCs w:val="20"/>
                <w:color w:val="auto"/>
              </w:rPr>
            </w:pPr>
            <w:r>
              <w:rPr>
                <w:rFonts w:ascii="Arial" w:cs="Arial" w:eastAsia="Arial" w:hAnsi="Arial"/>
                <w:sz w:val="15"/>
                <w:szCs w:val="15"/>
                <w:color w:val="auto"/>
              </w:rPr>
              <w:t>Powell Industries, Inc. (POWL)*</w:t>
            </w:r>
          </w:p>
        </w:tc>
      </w:tr>
      <w:tr>
        <w:trPr>
          <w:trHeight w:val="66"/>
        </w:trPr>
        <w:tc>
          <w:tcPr>
            <w:tcW w:w="4840" w:type="dxa"/>
            <w:vAlign w:val="bottom"/>
            <w:tcBorders>
              <w:bottom w:val="single" w:sz="8" w:color="939598"/>
            </w:tcBorders>
            <w:shd w:val="clear" w:color="auto" w:fill="F3F3F4"/>
          </w:tcPr>
          <w:p>
            <w:pPr>
              <w:spacing w:after="0"/>
              <w:rPr>
                <w:sz w:val="5"/>
                <w:szCs w:val="5"/>
                <w:color w:val="auto"/>
              </w:rPr>
            </w:pPr>
          </w:p>
        </w:tc>
        <w:tc>
          <w:tcPr>
            <w:tcW w:w="6400" w:type="dxa"/>
            <w:vAlign w:val="bottom"/>
            <w:tcBorders>
              <w:bottom w:val="single" w:sz="8" w:color="939598"/>
            </w:tcBorders>
            <w:shd w:val="clear" w:color="auto" w:fill="F3F3F4"/>
          </w:tcPr>
          <w:p>
            <w:pPr>
              <w:spacing w:after="0"/>
              <w:rPr>
                <w:sz w:val="5"/>
                <w:szCs w:val="5"/>
                <w:color w:val="auto"/>
              </w:rPr>
            </w:pPr>
          </w:p>
        </w:tc>
      </w:tr>
      <w:tr>
        <w:trPr>
          <w:trHeight w:val="255"/>
        </w:trPr>
        <w:tc>
          <w:tcPr>
            <w:tcW w:w="4840" w:type="dxa"/>
            <w:vAlign w:val="bottom"/>
            <w:shd w:val="clear" w:color="auto" w:fill="F3F3F4"/>
          </w:tcPr>
          <w:p>
            <w:pPr>
              <w:ind w:left="100"/>
              <w:spacing w:after="0"/>
              <w:rPr>
                <w:sz w:val="20"/>
                <w:szCs w:val="20"/>
                <w:color w:val="auto"/>
              </w:rPr>
            </w:pPr>
            <w:r>
              <w:rPr>
                <w:rFonts w:ascii="Arial" w:cs="Arial" w:eastAsia="Arial" w:hAnsi="Arial"/>
                <w:sz w:val="15"/>
                <w:szCs w:val="15"/>
                <w:color w:val="auto"/>
              </w:rPr>
              <w:t>Comtech Telecommunications Corp. (CMTL)</w:t>
            </w:r>
          </w:p>
        </w:tc>
        <w:tc>
          <w:tcPr>
            <w:tcW w:w="6400" w:type="dxa"/>
            <w:vAlign w:val="bottom"/>
            <w:shd w:val="clear" w:color="auto" w:fill="F3F3F4"/>
          </w:tcPr>
          <w:p>
            <w:pPr>
              <w:ind w:left="600"/>
              <w:spacing w:after="0"/>
              <w:rPr>
                <w:sz w:val="20"/>
                <w:szCs w:val="20"/>
                <w:color w:val="auto"/>
              </w:rPr>
            </w:pPr>
            <w:r>
              <w:rPr>
                <w:rFonts w:ascii="Arial" w:cs="Arial" w:eastAsia="Arial" w:hAnsi="Arial"/>
                <w:sz w:val="15"/>
                <w:szCs w:val="15"/>
                <w:color w:val="auto"/>
              </w:rPr>
              <w:t>SPX Technologies Inc.</w:t>
            </w:r>
          </w:p>
        </w:tc>
      </w:tr>
      <w:tr>
        <w:trPr>
          <w:trHeight w:val="66"/>
        </w:trPr>
        <w:tc>
          <w:tcPr>
            <w:tcW w:w="4840" w:type="dxa"/>
            <w:vAlign w:val="bottom"/>
            <w:tcBorders>
              <w:bottom w:val="single" w:sz="8" w:color="939598"/>
            </w:tcBorders>
            <w:shd w:val="clear" w:color="auto" w:fill="F3F3F4"/>
          </w:tcPr>
          <w:p>
            <w:pPr>
              <w:spacing w:after="0"/>
              <w:rPr>
                <w:sz w:val="5"/>
                <w:szCs w:val="5"/>
                <w:color w:val="auto"/>
              </w:rPr>
            </w:pPr>
          </w:p>
        </w:tc>
        <w:tc>
          <w:tcPr>
            <w:tcW w:w="6400" w:type="dxa"/>
            <w:vAlign w:val="bottom"/>
            <w:tcBorders>
              <w:bottom w:val="single" w:sz="8" w:color="939598"/>
            </w:tcBorders>
            <w:shd w:val="clear" w:color="auto" w:fill="F3F3F4"/>
          </w:tcPr>
          <w:p>
            <w:pPr>
              <w:spacing w:after="0"/>
              <w:rPr>
                <w:sz w:val="5"/>
                <w:szCs w:val="5"/>
                <w:color w:val="auto"/>
              </w:rPr>
            </w:pPr>
          </w:p>
        </w:tc>
      </w:tr>
      <w:tr>
        <w:trPr>
          <w:trHeight w:val="255"/>
        </w:trPr>
        <w:tc>
          <w:tcPr>
            <w:tcW w:w="4840" w:type="dxa"/>
            <w:vAlign w:val="bottom"/>
            <w:shd w:val="clear" w:color="auto" w:fill="F3F3F4"/>
          </w:tcPr>
          <w:p>
            <w:pPr>
              <w:ind w:left="100"/>
              <w:spacing w:after="0"/>
              <w:rPr>
                <w:sz w:val="20"/>
                <w:szCs w:val="20"/>
                <w:color w:val="auto"/>
              </w:rPr>
            </w:pPr>
            <w:r>
              <w:rPr>
                <w:rFonts w:ascii="Arial" w:cs="Arial" w:eastAsia="Arial" w:hAnsi="Arial"/>
                <w:sz w:val="15"/>
                <w:szCs w:val="15"/>
                <w:color w:val="auto"/>
              </w:rPr>
              <w:t>CTS Corporation (CTS)</w:t>
            </w:r>
          </w:p>
        </w:tc>
        <w:tc>
          <w:tcPr>
            <w:tcW w:w="6400" w:type="dxa"/>
            <w:vAlign w:val="bottom"/>
            <w:shd w:val="clear" w:color="auto" w:fill="F3F3F4"/>
          </w:tcPr>
          <w:p>
            <w:pPr>
              <w:ind w:left="600"/>
              <w:spacing w:after="0"/>
              <w:rPr>
                <w:sz w:val="20"/>
                <w:szCs w:val="20"/>
                <w:color w:val="auto"/>
              </w:rPr>
            </w:pPr>
            <w:r>
              <w:rPr>
                <w:rFonts w:ascii="Arial" w:cs="Arial" w:eastAsia="Arial" w:hAnsi="Arial"/>
                <w:sz w:val="15"/>
                <w:szCs w:val="15"/>
                <w:color w:val="auto"/>
              </w:rPr>
              <w:t>Standex International Corporation (SXI)</w:t>
            </w:r>
          </w:p>
        </w:tc>
      </w:tr>
      <w:tr>
        <w:trPr>
          <w:trHeight w:val="66"/>
        </w:trPr>
        <w:tc>
          <w:tcPr>
            <w:tcW w:w="4840" w:type="dxa"/>
            <w:vAlign w:val="bottom"/>
            <w:tcBorders>
              <w:bottom w:val="single" w:sz="8" w:color="939598"/>
            </w:tcBorders>
            <w:shd w:val="clear" w:color="auto" w:fill="F3F3F4"/>
          </w:tcPr>
          <w:p>
            <w:pPr>
              <w:spacing w:after="0"/>
              <w:rPr>
                <w:sz w:val="5"/>
                <w:szCs w:val="5"/>
                <w:color w:val="auto"/>
              </w:rPr>
            </w:pPr>
          </w:p>
        </w:tc>
        <w:tc>
          <w:tcPr>
            <w:tcW w:w="6400" w:type="dxa"/>
            <w:vAlign w:val="bottom"/>
            <w:tcBorders>
              <w:bottom w:val="single" w:sz="8" w:color="939598"/>
            </w:tcBorders>
            <w:shd w:val="clear" w:color="auto" w:fill="F3F3F4"/>
          </w:tcPr>
          <w:p>
            <w:pPr>
              <w:spacing w:after="0"/>
              <w:rPr>
                <w:sz w:val="5"/>
                <w:szCs w:val="5"/>
                <w:color w:val="auto"/>
              </w:rPr>
            </w:pPr>
          </w:p>
        </w:tc>
      </w:tr>
      <w:tr>
        <w:trPr>
          <w:trHeight w:val="255"/>
        </w:trPr>
        <w:tc>
          <w:tcPr>
            <w:tcW w:w="4840" w:type="dxa"/>
            <w:vAlign w:val="bottom"/>
            <w:shd w:val="clear" w:color="auto" w:fill="F3F3F4"/>
          </w:tcPr>
          <w:p>
            <w:pPr>
              <w:ind w:left="100"/>
              <w:spacing w:after="0"/>
              <w:rPr>
                <w:sz w:val="20"/>
                <w:szCs w:val="20"/>
                <w:color w:val="auto"/>
              </w:rPr>
            </w:pPr>
            <w:r>
              <w:rPr>
                <w:rFonts w:ascii="Arial" w:cs="Arial" w:eastAsia="Arial" w:hAnsi="Arial"/>
                <w:sz w:val="15"/>
                <w:szCs w:val="15"/>
                <w:color w:val="auto"/>
              </w:rPr>
              <w:t>FARO Technologies, Inc. (FARO)*</w:t>
            </w:r>
          </w:p>
        </w:tc>
        <w:tc>
          <w:tcPr>
            <w:tcW w:w="6400" w:type="dxa"/>
            <w:vAlign w:val="bottom"/>
            <w:shd w:val="clear" w:color="auto" w:fill="F3F3F4"/>
          </w:tcPr>
          <w:p>
            <w:pPr>
              <w:ind w:left="600"/>
              <w:spacing w:after="0"/>
              <w:rPr>
                <w:sz w:val="20"/>
                <w:szCs w:val="20"/>
                <w:color w:val="auto"/>
              </w:rPr>
            </w:pPr>
            <w:r>
              <w:rPr>
                <w:rFonts w:ascii="Arial" w:cs="Arial" w:eastAsia="Arial" w:hAnsi="Arial"/>
                <w:sz w:val="15"/>
                <w:szCs w:val="15"/>
                <w:color w:val="auto"/>
              </w:rPr>
              <w:t>Tri Mas Corporation (TRS)*</w:t>
            </w:r>
          </w:p>
        </w:tc>
      </w:tr>
      <w:tr>
        <w:trPr>
          <w:trHeight w:val="66"/>
        </w:trPr>
        <w:tc>
          <w:tcPr>
            <w:tcW w:w="4840" w:type="dxa"/>
            <w:vAlign w:val="bottom"/>
            <w:tcBorders>
              <w:bottom w:val="single" w:sz="8" w:color="939598"/>
            </w:tcBorders>
            <w:shd w:val="clear" w:color="auto" w:fill="F3F3F4"/>
          </w:tcPr>
          <w:p>
            <w:pPr>
              <w:spacing w:after="0"/>
              <w:rPr>
                <w:sz w:val="5"/>
                <w:szCs w:val="5"/>
                <w:color w:val="auto"/>
              </w:rPr>
            </w:pPr>
          </w:p>
        </w:tc>
        <w:tc>
          <w:tcPr>
            <w:tcW w:w="6400" w:type="dxa"/>
            <w:vAlign w:val="bottom"/>
            <w:tcBorders>
              <w:bottom w:val="single" w:sz="8" w:color="939598"/>
            </w:tcBorders>
            <w:shd w:val="clear" w:color="auto" w:fill="F3F3F4"/>
          </w:tcPr>
          <w:p>
            <w:pPr>
              <w:spacing w:after="0"/>
              <w:rPr>
                <w:sz w:val="5"/>
                <w:szCs w:val="5"/>
                <w:color w:val="auto"/>
              </w:rPr>
            </w:pPr>
          </w:p>
        </w:tc>
      </w:tr>
      <w:tr>
        <w:trPr>
          <w:trHeight w:val="255"/>
        </w:trPr>
        <w:tc>
          <w:tcPr>
            <w:tcW w:w="4840" w:type="dxa"/>
            <w:vAlign w:val="bottom"/>
            <w:shd w:val="clear" w:color="auto" w:fill="F3F3F4"/>
          </w:tcPr>
          <w:p>
            <w:pPr>
              <w:ind w:left="100"/>
              <w:spacing w:after="0"/>
              <w:rPr>
                <w:sz w:val="20"/>
                <w:szCs w:val="20"/>
                <w:color w:val="auto"/>
              </w:rPr>
            </w:pPr>
            <w:r>
              <w:rPr>
                <w:rFonts w:ascii="Arial" w:cs="Arial" w:eastAsia="Arial" w:hAnsi="Arial"/>
                <w:sz w:val="15"/>
                <w:szCs w:val="15"/>
                <w:color w:val="auto"/>
              </w:rPr>
              <w:t>Franklin Electric Co., Inc. (FELE)</w:t>
            </w:r>
          </w:p>
        </w:tc>
        <w:tc>
          <w:tcPr>
            <w:tcW w:w="6400" w:type="dxa"/>
            <w:vAlign w:val="bottom"/>
            <w:shd w:val="clear" w:color="auto" w:fill="F3F3F4"/>
          </w:tcPr>
          <w:p>
            <w:pPr>
              <w:ind w:left="600"/>
              <w:spacing w:after="0"/>
              <w:rPr>
                <w:sz w:val="20"/>
                <w:szCs w:val="20"/>
                <w:color w:val="auto"/>
              </w:rPr>
            </w:pPr>
            <w:r>
              <w:rPr>
                <w:rFonts w:ascii="Arial" w:cs="Arial" w:eastAsia="Arial" w:hAnsi="Arial"/>
                <w:sz w:val="15"/>
                <w:szCs w:val="15"/>
                <w:color w:val="auto"/>
              </w:rPr>
              <w:t>Viavi Solutions Inc. (VIAV)*</w:t>
            </w:r>
          </w:p>
        </w:tc>
      </w:tr>
      <w:tr>
        <w:trPr>
          <w:trHeight w:val="66"/>
        </w:trPr>
        <w:tc>
          <w:tcPr>
            <w:tcW w:w="4840" w:type="dxa"/>
            <w:vAlign w:val="bottom"/>
            <w:tcBorders>
              <w:bottom w:val="single" w:sz="8" w:color="939598"/>
            </w:tcBorders>
            <w:shd w:val="clear" w:color="auto" w:fill="F3F3F4"/>
          </w:tcPr>
          <w:p>
            <w:pPr>
              <w:spacing w:after="0"/>
              <w:rPr>
                <w:sz w:val="5"/>
                <w:szCs w:val="5"/>
                <w:color w:val="auto"/>
              </w:rPr>
            </w:pPr>
          </w:p>
        </w:tc>
        <w:tc>
          <w:tcPr>
            <w:tcW w:w="6400" w:type="dxa"/>
            <w:vAlign w:val="bottom"/>
            <w:tcBorders>
              <w:bottom w:val="single" w:sz="8" w:color="939598"/>
            </w:tcBorders>
            <w:shd w:val="clear" w:color="auto" w:fill="F3F3F4"/>
          </w:tcPr>
          <w:p>
            <w:pPr>
              <w:spacing w:after="0"/>
              <w:rPr>
                <w:sz w:val="5"/>
                <w:szCs w:val="5"/>
                <w:color w:val="auto"/>
              </w:rPr>
            </w:pPr>
          </w:p>
        </w:tc>
      </w:tr>
      <w:tr>
        <w:trPr>
          <w:trHeight w:val="306"/>
        </w:trPr>
        <w:tc>
          <w:tcPr>
            <w:tcW w:w="4840" w:type="dxa"/>
            <w:vAlign w:val="bottom"/>
            <w:shd w:val="clear" w:color="auto" w:fill="F3F3F4"/>
          </w:tcPr>
          <w:p>
            <w:pPr>
              <w:ind w:left="100"/>
              <w:spacing w:after="0"/>
              <w:rPr>
                <w:sz w:val="20"/>
                <w:szCs w:val="20"/>
                <w:color w:val="auto"/>
              </w:rPr>
            </w:pPr>
            <w:r>
              <w:rPr>
                <w:rFonts w:ascii="Arial" w:cs="Arial" w:eastAsia="Arial" w:hAnsi="Arial"/>
                <w:sz w:val="15"/>
                <w:szCs w:val="15"/>
                <w:color w:val="auto"/>
              </w:rPr>
              <w:t>Helios Technologies (HLIO)</w:t>
            </w:r>
          </w:p>
        </w:tc>
        <w:tc>
          <w:tcPr>
            <w:tcW w:w="6400" w:type="dxa"/>
            <w:vAlign w:val="bottom"/>
            <w:shd w:val="clear" w:color="auto" w:fill="F3F3F4"/>
          </w:tcPr>
          <w:p>
            <w:pPr>
              <w:spacing w:after="0"/>
              <w:rPr>
                <w:sz w:val="24"/>
                <w:szCs w:val="24"/>
                <w:color w:val="auto"/>
              </w:rPr>
            </w:pPr>
          </w:p>
        </w:tc>
      </w:tr>
      <w:tr>
        <w:trPr>
          <w:trHeight w:val="66"/>
        </w:trPr>
        <w:tc>
          <w:tcPr>
            <w:tcW w:w="4840" w:type="dxa"/>
            <w:vAlign w:val="bottom"/>
            <w:tcBorders>
              <w:bottom w:val="single" w:sz="8" w:color="auto"/>
            </w:tcBorders>
            <w:shd w:val="clear" w:color="auto" w:fill="F3F3F4"/>
          </w:tcPr>
          <w:p>
            <w:pPr>
              <w:spacing w:after="0"/>
              <w:rPr>
                <w:sz w:val="5"/>
                <w:szCs w:val="5"/>
                <w:color w:val="auto"/>
              </w:rPr>
            </w:pPr>
          </w:p>
        </w:tc>
        <w:tc>
          <w:tcPr>
            <w:tcW w:w="6400" w:type="dxa"/>
            <w:vAlign w:val="bottom"/>
            <w:tcBorders>
              <w:bottom w:val="single" w:sz="8" w:color="auto"/>
            </w:tcBorders>
            <w:shd w:val="clear" w:color="auto" w:fill="F3F3F4"/>
          </w:tcPr>
          <w:p>
            <w:pPr>
              <w:spacing w:after="0"/>
              <w:rPr>
                <w:sz w:val="5"/>
                <w:szCs w:val="5"/>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*These companies did not report compensation data for the General Counsel position in their proxy materials.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2024 Benchmarking</w:t>
      </w:r>
    </w:p>
    <w:p>
      <w:pPr>
        <w:spacing w:after="0" w:line="154"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For its compensation review for fiscal 2024, the Committee reviewed each principal element of compensation (base salary, cash incentive and LTI), as well as total cash compensation (base salary and cash incentive), and total direct compensation (target cash compensation and LTI) for each of the Company’s executive officer positions, and compared them against the benchmark range from the Compensation Report. For all three of the NEOs, the benchmark range for each element of compensation in the Compensation Report is the median plus or minus 15% as aged by 4%. For fiscal 2024, the Committee utilized the benchmark ranges from the Compensation Report, as aged by 4%, in determining the competitiveness of the executives’ compensation. The Committee also compared relative Company performance against the performance of the companies in the 2022 Peer Group to test the overall reasonableness of pay for performance.</w:t>
      </w:r>
    </w:p>
    <w:p>
      <w:pPr>
        <w:spacing w:after="0" w:line="121"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The Committee used the Compensation Report described above as a guideline and frame of reference in determining appropriate compensation levels and incentives for the executive officers; however, the Committee does not make its decisions according to a formula, and the Committee exercises considerable judgment and discretion in making them. The complexity and composition of the Company does not lend itself to comparisons with a readily ascertainable peer group, and while matching by SIC codes can provide some measure of comparability, there are wide variations in the type and complexity of these companies. The Committee therefore considers the benchmark ranges to be only a guide, and makes individual determinations of compensation for each of the executive officers based on numerous factors including the comparative responsibilities of the executive officers and the Committee’s assessments of individual and Company performance.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Consultant Independence</w:t>
      </w:r>
    </w:p>
    <w:p>
      <w:pPr>
        <w:spacing w:after="0" w:line="150"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In August 2024, the Committee assessed the independence of Pay Governance and BCLP in line with the SEC’s compensation consultant independence factors, and determined there were no conflicts of interest. The Committee will continue to review their independence status annually and will keep the compliance letters on file.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Principal Elements of Compensation Program</w:t>
      </w:r>
    </w:p>
    <w:p>
      <w:pPr>
        <w:spacing w:after="0" w:line="160"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 xml:space="preserve">The principal elements of the 2024 compensation program for executive officers (base salary, annual cash incentive and long-term equity incentive) are reflected in the Summary Compensation Table on </w:t>
      </w:r>
      <w:r>
        <w:rPr>
          <w:rFonts w:ascii="Arial" w:cs="Arial" w:eastAsia="Arial" w:hAnsi="Arial"/>
          <w:sz w:val="15"/>
          <w:szCs w:val="15"/>
          <w:u w:val="single" w:color="auto"/>
          <w:color w:val="auto"/>
        </w:rPr>
        <w:t>page 36</w:t>
      </w:r>
      <w:r>
        <w:rPr>
          <w:rFonts w:ascii="Arial" w:cs="Arial" w:eastAsia="Arial" w:hAnsi="Arial"/>
          <w:sz w:val="15"/>
          <w:szCs w:val="15"/>
          <w:color w:val="auto"/>
        </w:rPr>
        <w:t>. Each of these elements is described in detail in the corresponding sections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714121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3"/>
        </w:trPr>
        <w:tc>
          <w:tcPr>
            <w:tcW w:w="2040" w:type="dxa"/>
            <w:vAlign w:val="bottom"/>
          </w:tcPr>
          <w:p>
            <w:pPr>
              <w:ind w:left="100"/>
              <w:spacing w:after="0"/>
              <w:rPr>
                <w:sz w:val="20"/>
                <w:szCs w:val="20"/>
                <w:color w:val="auto"/>
              </w:rPr>
            </w:pPr>
            <w:r>
              <w:rPr>
                <w:rFonts w:ascii="Arial" w:cs="Arial" w:eastAsia="Arial" w:hAnsi="Arial"/>
                <w:sz w:val="12"/>
                <w:szCs w:val="12"/>
                <w:b w:val="1"/>
                <w:bCs w:val="1"/>
                <w:color w:val="auto"/>
              </w:rPr>
              <w:t>Pay Element</w:t>
            </w:r>
          </w:p>
        </w:tc>
        <w:tc>
          <w:tcPr>
            <w:tcW w:w="202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4500" w:type="dxa"/>
            <w:vAlign w:val="bottom"/>
          </w:tcPr>
          <w:p>
            <w:pPr>
              <w:ind w:left="200"/>
              <w:spacing w:after="0"/>
              <w:rPr>
                <w:sz w:val="20"/>
                <w:szCs w:val="20"/>
                <w:color w:val="auto"/>
              </w:rPr>
            </w:pPr>
            <w:r>
              <w:rPr>
                <w:rFonts w:ascii="Arial" w:cs="Arial" w:eastAsia="Arial" w:hAnsi="Arial"/>
                <w:sz w:val="12"/>
                <w:szCs w:val="12"/>
                <w:b w:val="1"/>
                <w:bCs w:val="1"/>
                <w:color w:val="auto"/>
              </w:rPr>
              <w:t>2024 Metrics</w:t>
            </w:r>
          </w:p>
        </w:tc>
        <w:tc>
          <w:tcPr>
            <w:tcW w:w="2680" w:type="dxa"/>
            <w:vAlign w:val="bottom"/>
          </w:tcPr>
          <w:p>
            <w:pPr>
              <w:ind w:left="120"/>
              <w:spacing w:after="0"/>
              <w:rPr>
                <w:sz w:val="20"/>
                <w:szCs w:val="20"/>
                <w:color w:val="auto"/>
              </w:rPr>
            </w:pPr>
            <w:r>
              <w:rPr>
                <w:rFonts w:ascii="Arial" w:cs="Arial" w:eastAsia="Arial" w:hAnsi="Arial"/>
                <w:sz w:val="12"/>
                <w:szCs w:val="12"/>
                <w:b w:val="1"/>
                <w:bCs w:val="1"/>
                <w:color w:val="auto"/>
              </w:rPr>
              <w:t>Objectives</w:t>
            </w:r>
          </w:p>
        </w:tc>
        <w:tc>
          <w:tcPr>
            <w:tcW w:w="0" w:type="dxa"/>
            <w:vAlign w:val="bottom"/>
          </w:tcPr>
          <w:p>
            <w:pPr>
              <w:spacing w:after="0"/>
              <w:rPr>
                <w:sz w:val="1"/>
                <w:szCs w:val="1"/>
                <w:color w:val="auto"/>
              </w:rPr>
            </w:pPr>
          </w:p>
        </w:tc>
      </w:tr>
      <w:tr>
        <w:trPr>
          <w:trHeight w:val="57"/>
        </w:trPr>
        <w:tc>
          <w:tcPr>
            <w:tcW w:w="20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F3F3F4"/>
          </w:tcPr>
          <w:p>
            <w:pPr>
              <w:ind w:left="100"/>
              <w:spacing w:after="0"/>
              <w:rPr>
                <w:sz w:val="20"/>
                <w:szCs w:val="20"/>
                <w:color w:val="auto"/>
              </w:rPr>
            </w:pPr>
            <w:r>
              <w:rPr>
                <w:rFonts w:ascii="Arial" w:cs="Arial" w:eastAsia="Arial" w:hAnsi="Arial"/>
                <w:sz w:val="13"/>
                <w:szCs w:val="13"/>
                <w:b w:val="1"/>
                <w:bCs w:val="1"/>
                <w:color w:val="auto"/>
              </w:rPr>
              <w:t>Base Salary</w:t>
            </w:r>
          </w:p>
        </w:tc>
        <w:tc>
          <w:tcPr>
            <w:tcW w:w="2020" w:type="dxa"/>
            <w:vAlign w:val="bottom"/>
            <w:shd w:val="clear" w:color="auto" w:fill="F3F3F4"/>
          </w:tcPr>
          <w:p>
            <w:pPr>
              <w:ind w:left="120"/>
              <w:spacing w:after="0"/>
              <w:rPr>
                <w:sz w:val="20"/>
                <w:szCs w:val="20"/>
                <w:color w:val="auto"/>
              </w:rPr>
            </w:pPr>
            <w:r>
              <w:rPr>
                <w:rFonts w:ascii="Arial" w:cs="Arial" w:eastAsia="Arial" w:hAnsi="Arial"/>
                <w:sz w:val="13"/>
                <w:szCs w:val="13"/>
                <w:color w:val="auto"/>
              </w:rPr>
              <w:t>Cash</w:t>
            </w:r>
          </w:p>
        </w:tc>
        <w:tc>
          <w:tcPr>
            <w:tcW w:w="4500" w:type="dxa"/>
            <w:vAlign w:val="bottom"/>
            <w:shd w:val="clear" w:color="auto" w:fill="F3F3F4"/>
          </w:tcPr>
          <w:p>
            <w:pPr>
              <w:ind w:left="200"/>
              <w:spacing w:after="0"/>
              <w:rPr>
                <w:sz w:val="20"/>
                <w:szCs w:val="20"/>
                <w:color w:val="auto"/>
              </w:rPr>
            </w:pPr>
            <w:r>
              <w:rPr>
                <w:rFonts w:ascii="Arial" w:cs="Arial" w:eastAsia="Arial" w:hAnsi="Arial"/>
                <w:sz w:val="13"/>
                <w:szCs w:val="13"/>
                <w:color w:val="auto"/>
              </w:rPr>
              <w:t>Benchmarked to market median, subject to adjustment for individual</w:t>
            </w:r>
          </w:p>
        </w:tc>
        <w:tc>
          <w:tcPr>
            <w:tcW w:w="2680" w:type="dxa"/>
            <w:vAlign w:val="bottom"/>
            <w:shd w:val="clear" w:color="auto" w:fill="F3F3F4"/>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40" w:type="dxa"/>
            <w:vAlign w:val="bottom"/>
            <w:shd w:val="clear" w:color="auto" w:fill="F3F3F4"/>
          </w:tcPr>
          <w:p>
            <w:pPr>
              <w:spacing w:after="0"/>
              <w:rPr>
                <w:sz w:val="13"/>
                <w:szCs w:val="13"/>
                <w:color w:val="auto"/>
              </w:rPr>
            </w:pPr>
          </w:p>
        </w:tc>
        <w:tc>
          <w:tcPr>
            <w:tcW w:w="2020" w:type="dxa"/>
            <w:vAlign w:val="bottom"/>
            <w:shd w:val="clear" w:color="auto" w:fill="F3F3F4"/>
          </w:tcPr>
          <w:p>
            <w:pPr>
              <w:spacing w:after="0"/>
              <w:rPr>
                <w:sz w:val="13"/>
                <w:szCs w:val="13"/>
                <w:color w:val="auto"/>
              </w:rPr>
            </w:pPr>
          </w:p>
        </w:tc>
        <w:tc>
          <w:tcPr>
            <w:tcW w:w="4500" w:type="dxa"/>
            <w:vAlign w:val="bottom"/>
            <w:shd w:val="clear" w:color="auto" w:fill="F3F3F4"/>
          </w:tcPr>
          <w:p>
            <w:pPr>
              <w:ind w:left="200"/>
              <w:spacing w:after="0"/>
              <w:rPr>
                <w:sz w:val="20"/>
                <w:szCs w:val="20"/>
                <w:color w:val="auto"/>
              </w:rPr>
            </w:pPr>
            <w:r>
              <w:rPr>
                <w:rFonts w:ascii="Arial" w:cs="Arial" w:eastAsia="Arial" w:hAnsi="Arial"/>
                <w:sz w:val="13"/>
                <w:szCs w:val="13"/>
                <w:color w:val="auto"/>
              </w:rPr>
              <w:t>factors such as experience and performance</w:t>
            </w:r>
          </w:p>
        </w:tc>
        <w:tc>
          <w:tcPr>
            <w:tcW w:w="2680" w:type="dxa"/>
            <w:vAlign w:val="bottom"/>
            <w:shd w:val="clear" w:color="auto" w:fill="F3F3F4"/>
          </w:tcPr>
          <w:p>
            <w:pPr>
              <w:ind w:left="120"/>
              <w:spacing w:after="0"/>
              <w:rPr>
                <w:sz w:val="20"/>
                <w:szCs w:val="20"/>
                <w:color w:val="auto"/>
              </w:rPr>
            </w:pPr>
            <w:r>
              <w:rPr>
                <w:rFonts w:ascii="Arial" w:cs="Arial" w:eastAsia="Arial" w:hAnsi="Arial"/>
                <w:sz w:val="13"/>
                <w:szCs w:val="13"/>
                <w:color w:val="auto"/>
              </w:rPr>
              <w:t>Attract and retain qualified executives</w:t>
            </w:r>
          </w:p>
        </w:tc>
        <w:tc>
          <w:tcPr>
            <w:tcW w:w="0" w:type="dxa"/>
            <w:vAlign w:val="bottom"/>
          </w:tcPr>
          <w:p>
            <w:pPr>
              <w:spacing w:after="0"/>
              <w:rPr>
                <w:sz w:val="1"/>
                <w:szCs w:val="1"/>
                <w:color w:val="auto"/>
              </w:rPr>
            </w:pPr>
          </w:p>
        </w:tc>
      </w:tr>
      <w:tr>
        <w:trPr>
          <w:trHeight w:val="151"/>
        </w:trPr>
        <w:tc>
          <w:tcPr>
            <w:tcW w:w="2040" w:type="dxa"/>
            <w:vAlign w:val="bottom"/>
            <w:tcBorders>
              <w:bottom w:val="single" w:sz="8" w:color="939598"/>
            </w:tcBorders>
            <w:shd w:val="clear" w:color="auto" w:fill="F3F3F4"/>
          </w:tcPr>
          <w:p>
            <w:pPr>
              <w:spacing w:after="0"/>
              <w:rPr>
                <w:sz w:val="13"/>
                <w:szCs w:val="13"/>
                <w:color w:val="auto"/>
              </w:rPr>
            </w:pPr>
          </w:p>
        </w:tc>
        <w:tc>
          <w:tcPr>
            <w:tcW w:w="2020" w:type="dxa"/>
            <w:vAlign w:val="bottom"/>
            <w:tcBorders>
              <w:bottom w:val="single" w:sz="8" w:color="939598"/>
            </w:tcBorders>
            <w:shd w:val="clear" w:color="auto" w:fill="F3F3F4"/>
          </w:tcPr>
          <w:p>
            <w:pPr>
              <w:spacing w:after="0"/>
              <w:rPr>
                <w:sz w:val="13"/>
                <w:szCs w:val="13"/>
                <w:color w:val="auto"/>
              </w:rPr>
            </w:pPr>
          </w:p>
        </w:tc>
        <w:tc>
          <w:tcPr>
            <w:tcW w:w="4500" w:type="dxa"/>
            <w:vAlign w:val="bottom"/>
            <w:tcBorders>
              <w:bottom w:val="single" w:sz="8" w:color="939598"/>
            </w:tcBorders>
            <w:shd w:val="clear" w:color="auto" w:fill="F3F3F4"/>
          </w:tcPr>
          <w:p>
            <w:pPr>
              <w:spacing w:after="0"/>
              <w:rPr>
                <w:sz w:val="13"/>
                <w:szCs w:val="13"/>
                <w:color w:val="auto"/>
              </w:rPr>
            </w:pPr>
          </w:p>
        </w:tc>
        <w:tc>
          <w:tcPr>
            <w:tcW w:w="2680" w:type="dxa"/>
            <w:vAlign w:val="bottom"/>
            <w:tcBorders>
              <w:bottom w:val="single" w:sz="8" w:color="939598"/>
            </w:tcBorders>
            <w:shd w:val="clear" w:color="auto" w:fill="F3F3F4"/>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2040" w:type="dxa"/>
            <w:vAlign w:val="bottom"/>
            <w:shd w:val="clear" w:color="auto" w:fill="F3F3F4"/>
          </w:tcPr>
          <w:p>
            <w:pPr>
              <w:ind w:left="100"/>
              <w:spacing w:after="0"/>
              <w:rPr>
                <w:sz w:val="20"/>
                <w:szCs w:val="20"/>
                <w:color w:val="auto"/>
              </w:rPr>
            </w:pPr>
            <w:r>
              <w:rPr>
                <w:rFonts w:ascii="Arial" w:cs="Arial" w:eastAsia="Arial" w:hAnsi="Arial"/>
                <w:sz w:val="13"/>
                <w:szCs w:val="13"/>
                <w:b w:val="1"/>
                <w:bCs w:val="1"/>
                <w:color w:val="auto"/>
              </w:rPr>
              <w:t>Annual Incentive Plan (PCP)</w:t>
            </w:r>
          </w:p>
        </w:tc>
        <w:tc>
          <w:tcPr>
            <w:tcW w:w="2020" w:type="dxa"/>
            <w:vAlign w:val="bottom"/>
            <w:shd w:val="clear" w:color="auto" w:fill="F3F3F4"/>
          </w:tcPr>
          <w:p>
            <w:pPr>
              <w:ind w:left="120"/>
              <w:spacing w:after="0"/>
              <w:rPr>
                <w:sz w:val="20"/>
                <w:szCs w:val="20"/>
                <w:color w:val="auto"/>
              </w:rPr>
            </w:pPr>
            <w:r>
              <w:rPr>
                <w:rFonts w:ascii="Arial" w:cs="Arial" w:eastAsia="Arial" w:hAnsi="Arial"/>
                <w:sz w:val="13"/>
                <w:szCs w:val="13"/>
                <w:color w:val="auto"/>
              </w:rPr>
              <w:t>Cash</w:t>
            </w:r>
          </w:p>
        </w:tc>
        <w:tc>
          <w:tcPr>
            <w:tcW w:w="4500" w:type="dxa"/>
            <w:vAlign w:val="bottom"/>
            <w:shd w:val="clear" w:color="auto" w:fill="F3F3F4"/>
          </w:tcPr>
          <w:p>
            <w:pPr>
              <w:ind w:left="200"/>
              <w:spacing w:after="0"/>
              <w:rPr>
                <w:sz w:val="20"/>
                <w:szCs w:val="20"/>
                <w:color w:val="auto"/>
              </w:rPr>
            </w:pPr>
            <w:r>
              <w:rPr>
                <w:rFonts w:ascii="Arial" w:cs="Arial" w:eastAsia="Arial" w:hAnsi="Arial"/>
                <w:sz w:val="13"/>
                <w:szCs w:val="13"/>
                <w:color w:val="auto"/>
              </w:rPr>
              <w:t>100% based on financial results:</w:t>
            </w:r>
          </w:p>
        </w:tc>
        <w:tc>
          <w:tcPr>
            <w:tcW w:w="2680" w:type="dxa"/>
            <w:vAlign w:val="bottom"/>
            <w:shd w:val="clear" w:color="auto" w:fill="F3F3F4"/>
          </w:tcPr>
          <w:p>
            <w:pPr>
              <w:ind w:left="120"/>
              <w:spacing w:after="0"/>
              <w:rPr>
                <w:sz w:val="20"/>
                <w:szCs w:val="20"/>
                <w:color w:val="auto"/>
              </w:rPr>
            </w:pPr>
            <w:r>
              <w:rPr>
                <w:rFonts w:ascii="Arial" w:cs="Arial" w:eastAsia="Arial" w:hAnsi="Arial"/>
                <w:sz w:val="13"/>
                <w:szCs w:val="13"/>
                <w:color w:val="auto"/>
              </w:rPr>
              <w:t>Drive profitability, growth and progress</w:t>
            </w:r>
          </w:p>
        </w:tc>
        <w:tc>
          <w:tcPr>
            <w:tcW w:w="0" w:type="dxa"/>
            <w:vAlign w:val="bottom"/>
          </w:tcPr>
          <w:p>
            <w:pPr>
              <w:spacing w:after="0"/>
              <w:rPr>
                <w:sz w:val="1"/>
                <w:szCs w:val="1"/>
                <w:color w:val="auto"/>
              </w:rPr>
            </w:pPr>
          </w:p>
        </w:tc>
      </w:tr>
      <w:tr>
        <w:trPr>
          <w:trHeight w:val="176"/>
        </w:trPr>
        <w:tc>
          <w:tcPr>
            <w:tcW w:w="2040" w:type="dxa"/>
            <w:vAlign w:val="bottom"/>
            <w:shd w:val="clear" w:color="auto" w:fill="F3F3F4"/>
          </w:tcPr>
          <w:p>
            <w:pPr>
              <w:spacing w:after="0"/>
              <w:rPr>
                <w:sz w:val="15"/>
                <w:szCs w:val="15"/>
                <w:color w:val="auto"/>
              </w:rPr>
            </w:pPr>
          </w:p>
        </w:tc>
        <w:tc>
          <w:tcPr>
            <w:tcW w:w="2020" w:type="dxa"/>
            <w:vAlign w:val="bottom"/>
            <w:shd w:val="clear" w:color="auto" w:fill="F3F3F4"/>
          </w:tcPr>
          <w:p>
            <w:pPr>
              <w:spacing w:after="0"/>
              <w:rPr>
                <w:sz w:val="15"/>
                <w:szCs w:val="15"/>
                <w:color w:val="auto"/>
              </w:rPr>
            </w:pPr>
          </w:p>
        </w:tc>
        <w:tc>
          <w:tcPr>
            <w:tcW w:w="4500" w:type="dxa"/>
            <w:vAlign w:val="bottom"/>
            <w:vMerge w:val="restart"/>
            <w:shd w:val="clear" w:color="auto" w:fill="F3F3F4"/>
          </w:tcPr>
          <w:p>
            <w:pPr>
              <w:ind w:left="200"/>
              <w:spacing w:after="0"/>
              <w:rPr>
                <w:sz w:val="20"/>
                <w:szCs w:val="20"/>
                <w:color w:val="auto"/>
              </w:rPr>
            </w:pPr>
            <w:r>
              <w:rPr>
                <w:rFonts w:ascii="Arial" w:cs="Arial" w:eastAsia="Arial" w:hAnsi="Arial"/>
                <w:sz w:val="13"/>
                <w:szCs w:val="13"/>
                <w:color w:val="auto"/>
              </w:rPr>
              <w:t>●    70% based on Adjusted EPS</w:t>
            </w:r>
          </w:p>
        </w:tc>
        <w:tc>
          <w:tcPr>
            <w:tcW w:w="2680" w:type="dxa"/>
            <w:vAlign w:val="bottom"/>
            <w:shd w:val="clear" w:color="auto" w:fill="F3F3F4"/>
          </w:tcPr>
          <w:p>
            <w:pPr>
              <w:ind w:left="120"/>
              <w:spacing w:after="0"/>
              <w:rPr>
                <w:sz w:val="20"/>
                <w:szCs w:val="20"/>
                <w:color w:val="auto"/>
              </w:rPr>
            </w:pPr>
            <w:r>
              <w:rPr>
                <w:rFonts w:ascii="Arial" w:cs="Arial" w:eastAsia="Arial" w:hAnsi="Arial"/>
                <w:sz w:val="13"/>
                <w:szCs w:val="13"/>
                <w:color w:val="auto"/>
              </w:rPr>
              <w:t>against strategy</w:t>
            </w:r>
          </w:p>
        </w:tc>
        <w:tc>
          <w:tcPr>
            <w:tcW w:w="0" w:type="dxa"/>
            <w:vAlign w:val="bottom"/>
          </w:tcPr>
          <w:p>
            <w:pPr>
              <w:spacing w:after="0"/>
              <w:rPr>
                <w:sz w:val="1"/>
                <w:szCs w:val="1"/>
                <w:color w:val="auto"/>
              </w:rPr>
            </w:pPr>
          </w:p>
        </w:tc>
      </w:tr>
      <w:tr>
        <w:trPr>
          <w:trHeight w:val="50"/>
        </w:trPr>
        <w:tc>
          <w:tcPr>
            <w:tcW w:w="2040" w:type="dxa"/>
            <w:vAlign w:val="bottom"/>
            <w:shd w:val="clear" w:color="auto" w:fill="F3F3F4"/>
          </w:tcPr>
          <w:p>
            <w:pPr>
              <w:spacing w:after="0"/>
              <w:rPr>
                <w:sz w:val="4"/>
                <w:szCs w:val="4"/>
                <w:color w:val="auto"/>
              </w:rPr>
            </w:pPr>
          </w:p>
        </w:tc>
        <w:tc>
          <w:tcPr>
            <w:tcW w:w="2020" w:type="dxa"/>
            <w:vAlign w:val="bottom"/>
            <w:shd w:val="clear" w:color="auto" w:fill="F3F3F4"/>
          </w:tcPr>
          <w:p>
            <w:pPr>
              <w:spacing w:after="0"/>
              <w:rPr>
                <w:sz w:val="4"/>
                <w:szCs w:val="4"/>
                <w:color w:val="auto"/>
              </w:rPr>
            </w:pPr>
          </w:p>
        </w:tc>
        <w:tc>
          <w:tcPr>
            <w:tcW w:w="4500" w:type="dxa"/>
            <w:vAlign w:val="bottom"/>
            <w:vMerge w:val="continue"/>
            <w:shd w:val="clear" w:color="auto" w:fill="F3F3F4"/>
          </w:tcPr>
          <w:p>
            <w:pPr>
              <w:spacing w:after="0"/>
              <w:rPr>
                <w:sz w:val="4"/>
                <w:szCs w:val="4"/>
                <w:color w:val="auto"/>
              </w:rPr>
            </w:pPr>
          </w:p>
        </w:tc>
        <w:tc>
          <w:tcPr>
            <w:tcW w:w="2680" w:type="dxa"/>
            <w:vAlign w:val="bottom"/>
            <w:shd w:val="clear" w:color="auto" w:fill="F3F3F4"/>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40" w:type="dxa"/>
            <w:vAlign w:val="bottom"/>
            <w:tcBorders>
              <w:bottom w:val="single" w:sz="8" w:color="F3F3F4"/>
            </w:tcBorders>
            <w:shd w:val="clear" w:color="auto" w:fill="F3F3F4"/>
          </w:tcPr>
          <w:p>
            <w:pPr>
              <w:spacing w:after="0"/>
              <w:rPr>
                <w:sz w:val="21"/>
                <w:szCs w:val="21"/>
                <w:color w:val="auto"/>
              </w:rPr>
            </w:pPr>
          </w:p>
        </w:tc>
        <w:tc>
          <w:tcPr>
            <w:tcW w:w="2020" w:type="dxa"/>
            <w:vAlign w:val="bottom"/>
            <w:tcBorders>
              <w:bottom w:val="single" w:sz="8" w:color="F3F3F4"/>
            </w:tcBorders>
            <w:shd w:val="clear" w:color="auto" w:fill="F3F3F4"/>
          </w:tcPr>
          <w:p>
            <w:pPr>
              <w:spacing w:after="0"/>
              <w:rPr>
                <w:sz w:val="21"/>
                <w:szCs w:val="21"/>
                <w:color w:val="auto"/>
              </w:rPr>
            </w:pPr>
          </w:p>
        </w:tc>
        <w:tc>
          <w:tcPr>
            <w:tcW w:w="4500" w:type="dxa"/>
            <w:vAlign w:val="bottom"/>
            <w:tcBorders>
              <w:bottom w:val="single" w:sz="8" w:color="F3F3F4"/>
            </w:tcBorders>
            <w:shd w:val="clear" w:color="auto" w:fill="F3F3F4"/>
          </w:tcPr>
          <w:p>
            <w:pPr>
              <w:ind w:left="200"/>
              <w:spacing w:after="0"/>
              <w:rPr>
                <w:sz w:val="20"/>
                <w:szCs w:val="20"/>
                <w:color w:val="auto"/>
              </w:rPr>
            </w:pPr>
            <w:r>
              <w:rPr>
                <w:rFonts w:ascii="Arial" w:cs="Arial" w:eastAsia="Arial" w:hAnsi="Arial"/>
                <w:sz w:val="13"/>
                <w:szCs w:val="13"/>
                <w:color w:val="auto"/>
              </w:rPr>
              <w:t>●    30% based on Adjusted Cash Flow from Operating Activities</w:t>
            </w:r>
          </w:p>
        </w:tc>
        <w:tc>
          <w:tcPr>
            <w:tcW w:w="2680" w:type="dxa"/>
            <w:vAlign w:val="bottom"/>
            <w:tcBorders>
              <w:bottom w:val="single" w:sz="8" w:color="F3F3F4"/>
            </w:tcBorders>
            <w:shd w:val="clear" w:color="auto" w:fill="F3F3F4"/>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4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Long-Term Equity Incentive</w:t>
            </w:r>
          </w:p>
        </w:tc>
        <w:tc>
          <w:tcPr>
            <w:tcW w:w="2020" w:type="dxa"/>
            <w:vAlign w:val="bottom"/>
            <w:tcBorders>
              <w:top w:val="single" w:sz="8" w:color="939598"/>
            </w:tcBorders>
            <w:shd w:val="clear" w:color="auto" w:fill="F3F3F4"/>
          </w:tcPr>
          <w:p>
            <w:pPr>
              <w:ind w:left="120"/>
              <w:spacing w:after="0"/>
              <w:rPr>
                <w:sz w:val="20"/>
                <w:szCs w:val="20"/>
                <w:color w:val="auto"/>
              </w:rPr>
            </w:pPr>
            <w:r>
              <w:rPr>
                <w:rFonts w:ascii="Arial" w:cs="Arial" w:eastAsia="Arial" w:hAnsi="Arial"/>
                <w:sz w:val="13"/>
                <w:szCs w:val="13"/>
                <w:color w:val="auto"/>
              </w:rPr>
              <w:t>Performance Share Units</w:t>
            </w:r>
          </w:p>
        </w:tc>
        <w:tc>
          <w:tcPr>
            <w:tcW w:w="4500" w:type="dxa"/>
            <w:vAlign w:val="bottom"/>
            <w:tcBorders>
              <w:top w:val="single" w:sz="8" w:color="939598"/>
            </w:tcBorders>
            <w:shd w:val="clear" w:color="auto" w:fill="F3F3F4"/>
          </w:tcPr>
          <w:p>
            <w:pPr>
              <w:ind w:left="200"/>
              <w:spacing w:after="0"/>
              <w:rPr>
                <w:sz w:val="20"/>
                <w:szCs w:val="20"/>
                <w:color w:val="auto"/>
              </w:rPr>
            </w:pPr>
            <w:r>
              <w:rPr>
                <w:rFonts w:ascii="Arial" w:cs="Arial" w:eastAsia="Arial" w:hAnsi="Arial"/>
                <w:sz w:val="13"/>
                <w:szCs w:val="13"/>
                <w:color w:val="auto"/>
              </w:rPr>
              <w:t>Awards vest after 3-year performance period</w:t>
            </w:r>
          </w:p>
        </w:tc>
        <w:tc>
          <w:tcPr>
            <w:tcW w:w="2680" w:type="dxa"/>
            <w:vAlign w:val="bottom"/>
            <w:tcBorders>
              <w:top w:val="single" w:sz="8" w:color="939598"/>
            </w:tcBorders>
            <w:shd w:val="clear" w:color="auto" w:fill="F3F3F4"/>
          </w:tcPr>
          <w:p>
            <w:pPr>
              <w:ind w:left="120"/>
              <w:spacing w:after="0"/>
              <w:rPr>
                <w:sz w:val="20"/>
                <w:szCs w:val="20"/>
                <w:color w:val="auto"/>
              </w:rPr>
            </w:pPr>
            <w:r>
              <w:rPr>
                <w:rFonts w:ascii="Arial" w:cs="Arial" w:eastAsia="Arial" w:hAnsi="Arial"/>
                <w:sz w:val="13"/>
                <w:szCs w:val="13"/>
                <w:color w:val="auto"/>
              </w:rPr>
              <w:t>Align NEOs’ efforts with creation of long-</w:t>
            </w:r>
          </w:p>
        </w:tc>
        <w:tc>
          <w:tcPr>
            <w:tcW w:w="0" w:type="dxa"/>
            <w:vAlign w:val="bottom"/>
          </w:tcPr>
          <w:p>
            <w:pPr>
              <w:spacing w:after="0"/>
              <w:rPr>
                <w:sz w:val="1"/>
                <w:szCs w:val="1"/>
                <w:color w:val="auto"/>
              </w:rPr>
            </w:pPr>
          </w:p>
        </w:tc>
      </w:tr>
      <w:tr>
        <w:trPr>
          <w:trHeight w:val="186"/>
        </w:trPr>
        <w:tc>
          <w:tcPr>
            <w:tcW w:w="2040" w:type="dxa"/>
            <w:vAlign w:val="bottom"/>
            <w:shd w:val="clear" w:color="auto" w:fill="F3F3F4"/>
          </w:tcPr>
          <w:p>
            <w:pPr>
              <w:ind w:left="100"/>
              <w:spacing w:after="0"/>
              <w:rPr>
                <w:sz w:val="20"/>
                <w:szCs w:val="20"/>
                <w:color w:val="auto"/>
              </w:rPr>
            </w:pPr>
            <w:r>
              <w:rPr>
                <w:rFonts w:ascii="Arial" w:cs="Arial" w:eastAsia="Arial" w:hAnsi="Arial"/>
                <w:sz w:val="13"/>
                <w:szCs w:val="13"/>
                <w:b w:val="1"/>
                <w:bCs w:val="1"/>
                <w:color w:val="auto"/>
              </w:rPr>
              <w:t>(LTI)</w:t>
            </w:r>
          </w:p>
        </w:tc>
        <w:tc>
          <w:tcPr>
            <w:tcW w:w="2020" w:type="dxa"/>
            <w:vAlign w:val="bottom"/>
            <w:shd w:val="clear" w:color="auto" w:fill="F3F3F4"/>
          </w:tcPr>
          <w:p>
            <w:pPr>
              <w:ind w:left="120"/>
              <w:spacing w:after="0"/>
              <w:rPr>
                <w:sz w:val="20"/>
                <w:szCs w:val="20"/>
                <w:color w:val="auto"/>
              </w:rPr>
            </w:pPr>
            <w:r>
              <w:rPr>
                <w:rFonts w:ascii="Arial" w:cs="Arial" w:eastAsia="Arial" w:hAnsi="Arial"/>
                <w:sz w:val="13"/>
                <w:szCs w:val="13"/>
                <w:color w:val="auto"/>
              </w:rPr>
              <w:t>(PSUs)</w:t>
            </w:r>
          </w:p>
        </w:tc>
        <w:tc>
          <w:tcPr>
            <w:tcW w:w="4500" w:type="dxa"/>
            <w:vAlign w:val="bottom"/>
            <w:shd w:val="clear" w:color="auto" w:fill="F3F3F4"/>
          </w:tcPr>
          <w:p>
            <w:pPr>
              <w:ind w:left="200"/>
              <w:spacing w:after="0"/>
              <w:rPr>
                <w:sz w:val="20"/>
                <w:szCs w:val="20"/>
                <w:color w:val="auto"/>
              </w:rPr>
            </w:pPr>
            <w:r>
              <w:rPr>
                <w:rFonts w:ascii="Arial" w:cs="Arial" w:eastAsia="Arial" w:hAnsi="Arial"/>
                <w:sz w:val="13"/>
                <w:szCs w:val="13"/>
                <w:color w:val="auto"/>
              </w:rPr>
              <w:t>●    60% based on EBITDA growth</w:t>
            </w:r>
          </w:p>
        </w:tc>
        <w:tc>
          <w:tcPr>
            <w:tcW w:w="2680" w:type="dxa"/>
            <w:vAlign w:val="bottom"/>
            <w:shd w:val="clear" w:color="auto" w:fill="F3F3F4"/>
          </w:tcPr>
          <w:p>
            <w:pPr>
              <w:ind w:left="120"/>
              <w:spacing w:after="0"/>
              <w:rPr>
                <w:sz w:val="20"/>
                <w:szCs w:val="20"/>
                <w:color w:val="auto"/>
              </w:rPr>
            </w:pPr>
            <w:r>
              <w:rPr>
                <w:rFonts w:ascii="Arial" w:cs="Arial" w:eastAsia="Arial" w:hAnsi="Arial"/>
                <w:sz w:val="13"/>
                <w:szCs w:val="13"/>
                <w:color w:val="auto"/>
              </w:rPr>
              <w:t>term shareholder value</w:t>
            </w:r>
          </w:p>
        </w:tc>
        <w:tc>
          <w:tcPr>
            <w:tcW w:w="0" w:type="dxa"/>
            <w:vAlign w:val="bottom"/>
          </w:tcPr>
          <w:p>
            <w:pPr>
              <w:spacing w:after="0"/>
              <w:rPr>
                <w:sz w:val="1"/>
                <w:szCs w:val="1"/>
                <w:color w:val="auto"/>
              </w:rPr>
            </w:pPr>
          </w:p>
        </w:tc>
      </w:tr>
      <w:tr>
        <w:trPr>
          <w:trHeight w:val="194"/>
        </w:trPr>
        <w:tc>
          <w:tcPr>
            <w:tcW w:w="2040" w:type="dxa"/>
            <w:vAlign w:val="bottom"/>
            <w:shd w:val="clear" w:color="auto" w:fill="F3F3F4"/>
          </w:tcPr>
          <w:p>
            <w:pPr>
              <w:spacing w:after="0"/>
              <w:rPr>
                <w:sz w:val="16"/>
                <w:szCs w:val="16"/>
                <w:color w:val="auto"/>
              </w:rPr>
            </w:pPr>
          </w:p>
        </w:tc>
        <w:tc>
          <w:tcPr>
            <w:tcW w:w="2020" w:type="dxa"/>
            <w:vAlign w:val="bottom"/>
            <w:shd w:val="clear" w:color="auto" w:fill="F3F3F4"/>
          </w:tcPr>
          <w:p>
            <w:pPr>
              <w:spacing w:after="0"/>
              <w:rPr>
                <w:sz w:val="16"/>
                <w:szCs w:val="16"/>
                <w:color w:val="auto"/>
              </w:rPr>
            </w:pPr>
          </w:p>
        </w:tc>
        <w:tc>
          <w:tcPr>
            <w:tcW w:w="4500" w:type="dxa"/>
            <w:vAlign w:val="bottom"/>
            <w:shd w:val="clear" w:color="auto" w:fill="F3F3F4"/>
          </w:tcPr>
          <w:p>
            <w:pPr>
              <w:ind w:left="200"/>
              <w:spacing w:after="0"/>
              <w:rPr>
                <w:sz w:val="20"/>
                <w:szCs w:val="20"/>
                <w:color w:val="auto"/>
              </w:rPr>
            </w:pPr>
            <w:r>
              <w:rPr>
                <w:rFonts w:ascii="Arial" w:cs="Arial" w:eastAsia="Arial" w:hAnsi="Arial"/>
                <w:sz w:val="13"/>
                <w:szCs w:val="13"/>
                <w:color w:val="auto"/>
              </w:rPr>
              <w:t>●    40% based on Return on Invested Capital</w:t>
            </w:r>
          </w:p>
        </w:tc>
        <w:tc>
          <w:tcPr>
            <w:tcW w:w="2680" w:type="dxa"/>
            <w:vAlign w:val="bottom"/>
            <w:shd w:val="clear" w:color="auto" w:fill="F3F3F4"/>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40" w:type="dxa"/>
            <w:vAlign w:val="bottom"/>
            <w:tcBorders>
              <w:bottom w:val="single" w:sz="8" w:color="F3F3F4"/>
            </w:tcBorders>
            <w:shd w:val="clear" w:color="auto" w:fill="F3F3F4"/>
          </w:tcPr>
          <w:p>
            <w:pPr>
              <w:spacing w:after="0"/>
              <w:rPr>
                <w:sz w:val="21"/>
                <w:szCs w:val="21"/>
                <w:color w:val="auto"/>
              </w:rPr>
            </w:pPr>
          </w:p>
        </w:tc>
        <w:tc>
          <w:tcPr>
            <w:tcW w:w="2020" w:type="dxa"/>
            <w:vAlign w:val="bottom"/>
            <w:tcBorders>
              <w:bottom w:val="single" w:sz="8" w:color="F3F3F4"/>
            </w:tcBorders>
            <w:shd w:val="clear" w:color="auto" w:fill="F3F3F4"/>
          </w:tcPr>
          <w:p>
            <w:pPr>
              <w:spacing w:after="0"/>
              <w:rPr>
                <w:sz w:val="21"/>
                <w:szCs w:val="21"/>
                <w:color w:val="auto"/>
              </w:rPr>
            </w:pPr>
          </w:p>
        </w:tc>
        <w:tc>
          <w:tcPr>
            <w:tcW w:w="4500" w:type="dxa"/>
            <w:vAlign w:val="bottom"/>
            <w:tcBorders>
              <w:bottom w:val="single" w:sz="8" w:color="F3F3F4"/>
            </w:tcBorders>
            <w:shd w:val="clear" w:color="auto" w:fill="F3F3F4"/>
          </w:tcPr>
          <w:p>
            <w:pPr>
              <w:ind w:left="200"/>
              <w:spacing w:after="0"/>
              <w:rPr>
                <w:sz w:val="20"/>
                <w:szCs w:val="20"/>
                <w:color w:val="auto"/>
              </w:rPr>
            </w:pPr>
            <w:r>
              <w:rPr>
                <w:rFonts w:ascii="Arial" w:cs="Arial" w:eastAsia="Arial" w:hAnsi="Arial"/>
                <w:sz w:val="13"/>
                <w:szCs w:val="13"/>
                <w:color w:val="auto"/>
              </w:rPr>
              <w:t>●    Potential for modification based on rTSR</w:t>
            </w:r>
          </w:p>
        </w:tc>
        <w:tc>
          <w:tcPr>
            <w:tcW w:w="2680" w:type="dxa"/>
            <w:vAlign w:val="bottom"/>
            <w:tcBorders>
              <w:bottom w:val="single" w:sz="8" w:color="F3F3F4"/>
            </w:tcBorders>
            <w:shd w:val="clear" w:color="auto" w:fill="F3F3F4"/>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40" w:type="dxa"/>
            <w:vAlign w:val="bottom"/>
            <w:tcBorders>
              <w:top w:val="single" w:sz="8" w:color="F3F3F4"/>
            </w:tcBorders>
            <w:shd w:val="clear" w:color="auto" w:fill="F3F3F4"/>
          </w:tcPr>
          <w:p>
            <w:pPr>
              <w:spacing w:after="0"/>
              <w:rPr>
                <w:sz w:val="17"/>
                <w:szCs w:val="17"/>
                <w:color w:val="auto"/>
              </w:rPr>
            </w:pPr>
          </w:p>
        </w:tc>
        <w:tc>
          <w:tcPr>
            <w:tcW w:w="2020" w:type="dxa"/>
            <w:vAlign w:val="bottom"/>
            <w:tcBorders>
              <w:top w:val="single" w:sz="8" w:color="939598"/>
            </w:tcBorders>
            <w:shd w:val="clear" w:color="auto" w:fill="F3F3F4"/>
          </w:tcPr>
          <w:p>
            <w:pPr>
              <w:ind w:left="120"/>
              <w:spacing w:after="0"/>
              <w:rPr>
                <w:sz w:val="20"/>
                <w:szCs w:val="20"/>
                <w:color w:val="auto"/>
              </w:rPr>
            </w:pPr>
            <w:r>
              <w:rPr>
                <w:rFonts w:ascii="Arial" w:cs="Arial" w:eastAsia="Arial" w:hAnsi="Arial"/>
                <w:sz w:val="13"/>
                <w:szCs w:val="13"/>
                <w:color w:val="auto"/>
              </w:rPr>
              <w:t>Restricted Share Units (RSUs)</w:t>
            </w:r>
          </w:p>
        </w:tc>
        <w:tc>
          <w:tcPr>
            <w:tcW w:w="4500" w:type="dxa"/>
            <w:vAlign w:val="bottom"/>
            <w:tcBorders>
              <w:top w:val="single" w:sz="8" w:color="939598"/>
            </w:tcBorders>
            <w:shd w:val="clear" w:color="auto" w:fill="F3F3F4"/>
          </w:tcPr>
          <w:p>
            <w:pPr>
              <w:ind w:left="200"/>
              <w:spacing w:after="0"/>
              <w:rPr>
                <w:sz w:val="20"/>
                <w:szCs w:val="20"/>
                <w:color w:val="auto"/>
              </w:rPr>
            </w:pPr>
            <w:r>
              <w:rPr>
                <w:rFonts w:ascii="Arial" w:cs="Arial" w:eastAsia="Arial" w:hAnsi="Arial"/>
                <w:sz w:val="13"/>
                <w:szCs w:val="13"/>
                <w:color w:val="auto"/>
              </w:rPr>
              <w:t>2024 awards vest in thirds approximately 1, 2 and 3 years after grant</w:t>
            </w:r>
          </w:p>
        </w:tc>
        <w:tc>
          <w:tcPr>
            <w:tcW w:w="2680" w:type="dxa"/>
            <w:vAlign w:val="bottom"/>
            <w:tcBorders>
              <w:top w:val="single" w:sz="8" w:color="939598"/>
            </w:tcBorders>
            <w:shd w:val="clear" w:color="auto" w:fill="F3F3F4"/>
          </w:tcPr>
          <w:p>
            <w:pPr>
              <w:ind w:left="120"/>
              <w:spacing w:after="0"/>
              <w:rPr>
                <w:sz w:val="20"/>
                <w:szCs w:val="20"/>
                <w:color w:val="auto"/>
              </w:rPr>
            </w:pPr>
            <w:r>
              <w:rPr>
                <w:rFonts w:ascii="Arial" w:cs="Arial" w:eastAsia="Arial" w:hAnsi="Arial"/>
                <w:sz w:val="13"/>
                <w:szCs w:val="13"/>
                <w:color w:val="auto"/>
              </w:rPr>
              <w:t>Retention, ownership and full alignment</w:t>
            </w:r>
          </w:p>
        </w:tc>
        <w:tc>
          <w:tcPr>
            <w:tcW w:w="0" w:type="dxa"/>
            <w:vAlign w:val="bottom"/>
          </w:tcPr>
          <w:p>
            <w:pPr>
              <w:spacing w:after="0"/>
              <w:rPr>
                <w:sz w:val="1"/>
                <w:szCs w:val="1"/>
                <w:color w:val="auto"/>
              </w:rPr>
            </w:pPr>
          </w:p>
        </w:tc>
      </w:tr>
      <w:tr>
        <w:trPr>
          <w:trHeight w:val="227"/>
        </w:trPr>
        <w:tc>
          <w:tcPr>
            <w:tcW w:w="2040" w:type="dxa"/>
            <w:vAlign w:val="bottom"/>
            <w:tcBorders>
              <w:bottom w:val="single" w:sz="8" w:color="F3F3F4"/>
            </w:tcBorders>
            <w:shd w:val="clear" w:color="auto" w:fill="F3F3F4"/>
          </w:tcPr>
          <w:p>
            <w:pPr>
              <w:spacing w:after="0"/>
              <w:rPr>
                <w:sz w:val="19"/>
                <w:szCs w:val="19"/>
                <w:color w:val="auto"/>
              </w:rPr>
            </w:pPr>
          </w:p>
        </w:tc>
        <w:tc>
          <w:tcPr>
            <w:tcW w:w="2020" w:type="dxa"/>
            <w:vAlign w:val="bottom"/>
            <w:tcBorders>
              <w:bottom w:val="single" w:sz="8" w:color="F3F3F4"/>
            </w:tcBorders>
            <w:shd w:val="clear" w:color="auto" w:fill="F3F3F4"/>
          </w:tcPr>
          <w:p>
            <w:pPr>
              <w:spacing w:after="0"/>
              <w:rPr>
                <w:sz w:val="19"/>
                <w:szCs w:val="19"/>
                <w:color w:val="auto"/>
              </w:rPr>
            </w:pPr>
          </w:p>
        </w:tc>
        <w:tc>
          <w:tcPr>
            <w:tcW w:w="4500" w:type="dxa"/>
            <w:vAlign w:val="bottom"/>
            <w:tcBorders>
              <w:bottom w:val="single" w:sz="8" w:color="F3F3F4"/>
            </w:tcBorders>
            <w:shd w:val="clear" w:color="auto" w:fill="F3F3F4"/>
          </w:tcPr>
          <w:p>
            <w:pPr>
              <w:spacing w:after="0"/>
              <w:rPr>
                <w:sz w:val="19"/>
                <w:szCs w:val="19"/>
                <w:color w:val="auto"/>
              </w:rPr>
            </w:pPr>
          </w:p>
        </w:tc>
        <w:tc>
          <w:tcPr>
            <w:tcW w:w="2680" w:type="dxa"/>
            <w:vAlign w:val="bottom"/>
            <w:tcBorders>
              <w:bottom w:val="single" w:sz="8" w:color="F3F3F4"/>
            </w:tcBorders>
            <w:shd w:val="clear" w:color="auto" w:fill="F3F3F4"/>
          </w:tcPr>
          <w:p>
            <w:pPr>
              <w:ind w:left="120"/>
              <w:spacing w:after="0"/>
              <w:rPr>
                <w:sz w:val="20"/>
                <w:szCs w:val="20"/>
                <w:color w:val="auto"/>
              </w:rPr>
            </w:pPr>
            <w:r>
              <w:rPr>
                <w:rFonts w:ascii="Arial" w:cs="Arial" w:eastAsia="Arial" w:hAnsi="Arial"/>
                <w:sz w:val="13"/>
                <w:szCs w:val="13"/>
                <w:color w:val="auto"/>
              </w:rPr>
              <w:t>with the shareholder experience</w:t>
            </w:r>
          </w:p>
        </w:tc>
        <w:tc>
          <w:tcPr>
            <w:tcW w:w="0" w:type="dxa"/>
            <w:vAlign w:val="bottom"/>
          </w:tcPr>
          <w:p>
            <w:pPr>
              <w:spacing w:after="0"/>
              <w:rPr>
                <w:sz w:val="1"/>
                <w:szCs w:val="1"/>
                <w:color w:val="auto"/>
              </w:rPr>
            </w:pPr>
          </w:p>
        </w:tc>
      </w:tr>
      <w:tr>
        <w:trPr>
          <w:trHeight w:val="250"/>
        </w:trPr>
        <w:tc>
          <w:tcPr>
            <w:tcW w:w="204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Benefits</w:t>
            </w:r>
          </w:p>
        </w:tc>
        <w:tc>
          <w:tcPr>
            <w:tcW w:w="6520" w:type="dxa"/>
            <w:vAlign w:val="bottom"/>
            <w:tcBorders>
              <w:top w:val="single" w:sz="8" w:color="939598"/>
              <w:bottom w:val="single" w:sz="8" w:color="F3F3F4"/>
            </w:tcBorders>
            <w:gridSpan w:val="2"/>
            <w:shd w:val="clear" w:color="auto" w:fill="F3F3F4"/>
          </w:tcPr>
          <w:p>
            <w:pPr>
              <w:ind w:left="120"/>
              <w:spacing w:after="0"/>
              <w:rPr>
                <w:sz w:val="20"/>
                <w:szCs w:val="20"/>
                <w:color w:val="auto"/>
              </w:rPr>
            </w:pPr>
            <w:r>
              <w:rPr>
                <w:rFonts w:ascii="Arial" w:cs="Arial" w:eastAsia="Arial" w:hAnsi="Arial"/>
                <w:sz w:val="13"/>
                <w:szCs w:val="13"/>
                <w:color w:val="auto"/>
              </w:rPr>
              <w:t>Consistent with other similarly situated personnel</w:t>
            </w:r>
          </w:p>
        </w:tc>
        <w:tc>
          <w:tcPr>
            <w:tcW w:w="2680" w:type="dxa"/>
            <w:vAlign w:val="bottom"/>
            <w:tcBorders>
              <w:top w:val="single" w:sz="8" w:color="939598"/>
              <w:bottom w:val="single" w:sz="8" w:color="F3F3F4"/>
            </w:tcBorders>
            <w:shd w:val="clear" w:color="auto" w:fill="F3F3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939598"/>
          </w:tcPr>
          <w:p>
            <w:pPr>
              <w:spacing w:after="0" w:line="20" w:lineRule="exact"/>
              <w:rPr>
                <w:sz w:val="1"/>
                <w:szCs w:val="1"/>
                <w:color w:val="auto"/>
              </w:rPr>
            </w:pPr>
          </w:p>
        </w:tc>
        <w:tc>
          <w:tcPr>
            <w:tcW w:w="2020" w:type="dxa"/>
            <w:vAlign w:val="bottom"/>
            <w:shd w:val="clear" w:color="auto" w:fill="939598"/>
          </w:tcPr>
          <w:p>
            <w:pPr>
              <w:spacing w:after="0" w:line="20" w:lineRule="exact"/>
              <w:rPr>
                <w:sz w:val="1"/>
                <w:szCs w:val="1"/>
                <w:color w:val="auto"/>
              </w:rPr>
            </w:pPr>
          </w:p>
        </w:tc>
        <w:tc>
          <w:tcPr>
            <w:tcW w:w="4500" w:type="dxa"/>
            <w:vAlign w:val="bottom"/>
            <w:shd w:val="clear" w:color="auto" w:fill="939598"/>
          </w:tcPr>
          <w:p>
            <w:pPr>
              <w:spacing w:after="0" w:line="20" w:lineRule="exact"/>
              <w:rPr>
                <w:sz w:val="1"/>
                <w:szCs w:val="1"/>
                <w:color w:val="auto"/>
              </w:rPr>
            </w:pPr>
          </w:p>
        </w:tc>
        <w:tc>
          <w:tcPr>
            <w:tcW w:w="2680" w:type="dxa"/>
            <w:vAlign w:val="bottom"/>
            <w:shd w:val="clear" w:color="auto" w:fill="9395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left="20"/>
        <w:spacing w:after="0" w:line="264" w:lineRule="auto"/>
        <w:rPr>
          <w:sz w:val="20"/>
          <w:szCs w:val="20"/>
          <w:color w:val="auto"/>
        </w:rPr>
      </w:pPr>
      <w:r>
        <w:rPr>
          <w:rFonts w:ascii="Arial" w:cs="Arial" w:eastAsia="Arial" w:hAnsi="Arial"/>
          <w:sz w:val="15"/>
          <w:szCs w:val="15"/>
          <w:color w:val="auto"/>
        </w:rPr>
        <w:t>We do not believe that any risks arising from our compensation policies and practices are reasonably likely to have a material adverse effect on the Company. Any such risk is mitigated by the multiple elements of the compensation programs, including base salary, annual cash incentive programs, and LTI awards which are earned over multiple years. This structure encourages decision-making that is in the best long-term interests of the Company and our shareholders.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Direct Compensation</w:t>
      </w:r>
    </w:p>
    <w:p>
      <w:pPr>
        <w:spacing w:after="0" w:line="192" w:lineRule="exact"/>
        <w:rPr>
          <w:sz w:val="20"/>
          <w:szCs w:val="20"/>
          <w:color w:val="auto"/>
        </w:rPr>
      </w:pPr>
    </w:p>
    <w:p>
      <w:pPr>
        <w:jc w:val="both"/>
        <w:ind w:left="20" w:right="20"/>
        <w:spacing w:after="0" w:line="282" w:lineRule="auto"/>
        <w:rPr>
          <w:sz w:val="20"/>
          <w:szCs w:val="20"/>
          <w:color w:val="auto"/>
        </w:rPr>
      </w:pPr>
      <w:r>
        <w:rPr>
          <w:rFonts w:ascii="Arial" w:cs="Arial" w:eastAsia="Arial" w:hAnsi="Arial"/>
          <w:sz w:val="15"/>
          <w:szCs w:val="15"/>
          <w:color w:val="auto"/>
        </w:rPr>
        <w:t>The executive officers receive total direct compensation consisting of cash compensation (base salary plus annual cash incentive compensation) and long-term equity incentive compensation. Each of these elements is described in detail in the corresponding sections below.</w:t>
      </w:r>
    </w:p>
    <w:p>
      <w:pPr>
        <w:spacing w:after="0" w:line="137" w:lineRule="exact"/>
        <w:rPr>
          <w:sz w:val="20"/>
          <w:szCs w:val="20"/>
          <w:color w:val="auto"/>
        </w:rPr>
      </w:pPr>
    </w:p>
    <w:p>
      <w:pPr>
        <w:jc w:val="both"/>
        <w:ind w:left="20" w:right="20"/>
        <w:spacing w:after="0" w:line="255" w:lineRule="auto"/>
        <w:rPr>
          <w:sz w:val="20"/>
          <w:szCs w:val="20"/>
          <w:color w:val="auto"/>
        </w:rPr>
      </w:pPr>
      <w:r>
        <w:rPr>
          <w:rFonts w:ascii="Arial" w:cs="Arial" w:eastAsia="Arial" w:hAnsi="Arial"/>
          <w:sz w:val="15"/>
          <w:szCs w:val="15"/>
          <w:color w:val="auto"/>
        </w:rPr>
        <w:t>The Committee sets target levels for total direct compensation based on the skills, experience, breadth of their role, and performance of each executive officer, taking into account the benchmarking described above and compensation recommendations made by the CEO (except with respect to his own position). The Committee also considers the Company’s performance. For fiscal 2024, the Committee increased the executive officers’ total direct compensation as described in detail below. Total direct compensation for fiscal 2024 was within the benchmark range for Mr. Schatz, slightly above the benchmark range for Mr. Tucker, and below the benchmark range for Mr. Sayler.</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Base Salaries</w:t>
      </w:r>
    </w:p>
    <w:p>
      <w:pPr>
        <w:spacing w:after="0" w:line="192" w:lineRule="exact"/>
        <w:rPr>
          <w:sz w:val="20"/>
          <w:szCs w:val="20"/>
          <w:color w:val="auto"/>
        </w:rPr>
      </w:pPr>
    </w:p>
    <w:p>
      <w:pPr>
        <w:jc w:val="both"/>
        <w:ind w:left="20" w:right="20"/>
        <w:spacing w:after="0" w:line="282" w:lineRule="auto"/>
        <w:rPr>
          <w:sz w:val="20"/>
          <w:szCs w:val="20"/>
          <w:color w:val="auto"/>
        </w:rPr>
      </w:pPr>
      <w:r>
        <w:rPr>
          <w:rFonts w:ascii="Arial" w:cs="Arial" w:eastAsia="Arial" w:hAnsi="Arial"/>
          <w:sz w:val="15"/>
          <w:szCs w:val="15"/>
          <w:color w:val="auto"/>
        </w:rPr>
        <w:t>Base salaries are designed to attract, retain, motivate and reward competent, qualified, experienced executives, although we emphasize performance-based compensation for the executive officers.</w:t>
      </w:r>
    </w:p>
    <w:p>
      <w:pPr>
        <w:spacing w:after="0" w:line="137" w:lineRule="exact"/>
        <w:rPr>
          <w:sz w:val="20"/>
          <w:szCs w:val="20"/>
          <w:color w:val="auto"/>
        </w:rPr>
      </w:pPr>
    </w:p>
    <w:p>
      <w:pPr>
        <w:ind w:left="20" w:right="20"/>
        <w:spacing w:after="0" w:line="282" w:lineRule="auto"/>
        <w:rPr>
          <w:sz w:val="20"/>
          <w:szCs w:val="20"/>
          <w:color w:val="auto"/>
        </w:rPr>
      </w:pPr>
      <w:r>
        <w:rPr>
          <w:rFonts w:ascii="Arial" w:cs="Arial" w:eastAsia="Arial" w:hAnsi="Arial"/>
          <w:sz w:val="15"/>
          <w:szCs w:val="15"/>
          <w:color w:val="auto"/>
        </w:rPr>
        <w:t>Fiscal 2024 base salaries for the executive officers were set by the Committee in the first quarter of fiscal 2024. Annual base salaries for the executive officers for fiscal 2024 and fiscal 2023 were as follows: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Base Salaries</w:t>
      </w:r>
      <w:r>
        <w:rPr>
          <w:rFonts w:ascii="Arial" w:cs="Arial" w:eastAsia="Arial" w:hAnsi="Arial"/>
          <w:sz w:val="22"/>
          <w:szCs w:val="22"/>
          <w:b w:val="1"/>
          <w:bCs w:val="1"/>
          <w:color w:val="auto"/>
          <w:vertAlign w:val="superscript"/>
        </w:rPr>
        <w:t>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00" w:type="dxa"/>
            <w:vAlign w:val="bottom"/>
          </w:tcPr>
          <w:p>
            <w:pPr>
              <w:ind w:left="120"/>
              <w:spacing w:after="0"/>
              <w:rPr>
                <w:sz w:val="20"/>
                <w:szCs w:val="20"/>
                <w:color w:val="auto"/>
              </w:rPr>
            </w:pPr>
            <w:r>
              <w:rPr>
                <w:rFonts w:ascii="Arial" w:cs="Arial" w:eastAsia="Arial" w:hAnsi="Arial"/>
                <w:sz w:val="13"/>
                <w:szCs w:val="13"/>
                <w:b w:val="1"/>
                <w:bCs w:val="1"/>
                <w:color w:val="auto"/>
              </w:rPr>
              <w:t>Officer</w:t>
            </w:r>
          </w:p>
        </w:tc>
        <w:tc>
          <w:tcPr>
            <w:tcW w:w="3380" w:type="dxa"/>
            <w:vAlign w:val="bottom"/>
          </w:tcPr>
          <w:p>
            <w:pPr>
              <w:jc w:val="right"/>
              <w:ind w:right="494"/>
              <w:spacing w:after="0"/>
              <w:rPr>
                <w:sz w:val="20"/>
                <w:szCs w:val="20"/>
                <w:color w:val="auto"/>
              </w:rPr>
            </w:pPr>
            <w:r>
              <w:rPr>
                <w:rFonts w:ascii="Arial" w:cs="Arial" w:eastAsia="Arial" w:hAnsi="Arial"/>
                <w:sz w:val="13"/>
                <w:szCs w:val="13"/>
                <w:b w:val="1"/>
                <w:bCs w:val="1"/>
                <w:color w:val="auto"/>
              </w:rPr>
              <w:t>FY 2024 Base Salary</w:t>
            </w:r>
          </w:p>
        </w:tc>
        <w:tc>
          <w:tcPr>
            <w:tcW w:w="2800" w:type="dxa"/>
            <w:vAlign w:val="bottom"/>
          </w:tcPr>
          <w:p>
            <w:pPr>
              <w:jc w:val="right"/>
              <w:ind w:right="674"/>
              <w:spacing w:after="0"/>
              <w:rPr>
                <w:sz w:val="20"/>
                <w:szCs w:val="20"/>
                <w:color w:val="auto"/>
              </w:rPr>
            </w:pPr>
            <w:r>
              <w:rPr>
                <w:rFonts w:ascii="Arial" w:cs="Arial" w:eastAsia="Arial" w:hAnsi="Arial"/>
                <w:sz w:val="13"/>
                <w:szCs w:val="13"/>
                <w:b w:val="1"/>
                <w:bCs w:val="1"/>
                <w:color w:val="auto"/>
              </w:rPr>
              <w:t>FY 2023 Base Salary</w:t>
            </w:r>
          </w:p>
        </w:tc>
        <w:tc>
          <w:tcPr>
            <w:tcW w:w="2360" w:type="dxa"/>
            <w:vAlign w:val="bottom"/>
          </w:tcPr>
          <w:p>
            <w:pPr>
              <w:jc w:val="right"/>
              <w:ind w:right="54"/>
              <w:spacing w:after="0"/>
              <w:rPr>
                <w:sz w:val="20"/>
                <w:szCs w:val="20"/>
                <w:color w:val="auto"/>
              </w:rPr>
            </w:pPr>
            <w:r>
              <w:rPr>
                <w:rFonts w:ascii="Arial" w:cs="Arial" w:eastAsia="Arial" w:hAnsi="Arial"/>
                <w:sz w:val="13"/>
                <w:szCs w:val="13"/>
                <w:b w:val="1"/>
                <w:bCs w:val="1"/>
                <w:color w:val="auto"/>
              </w:rPr>
              <w:t>Percent Increase from FY 2023</w:t>
            </w:r>
          </w:p>
        </w:tc>
      </w:tr>
      <w:tr>
        <w:trPr>
          <w:trHeight w:val="55"/>
        </w:trPr>
        <w:tc>
          <w:tcPr>
            <w:tcW w:w="2700" w:type="dxa"/>
            <w:vAlign w:val="bottom"/>
            <w:tcBorders>
              <w:bottom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r>
      <w:tr>
        <w:trPr>
          <w:trHeight w:val="301"/>
        </w:trPr>
        <w:tc>
          <w:tcPr>
            <w:tcW w:w="2700" w:type="dxa"/>
            <w:vAlign w:val="bottom"/>
            <w:tcBorders>
              <w:bottom w:val="single" w:sz="8" w:color="F3F3F4"/>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Bryan H. Sayler</w:t>
            </w:r>
          </w:p>
        </w:tc>
        <w:tc>
          <w:tcPr>
            <w:tcW w:w="3380" w:type="dxa"/>
            <w:vAlign w:val="bottom"/>
            <w:tcBorders>
              <w:bottom w:val="single" w:sz="8" w:color="F3F3F4"/>
            </w:tcBorders>
            <w:shd w:val="clear" w:color="auto" w:fill="F3F3F4"/>
          </w:tcPr>
          <w:p>
            <w:pPr>
              <w:jc w:val="right"/>
              <w:ind w:right="154"/>
              <w:spacing w:after="0"/>
              <w:rPr>
                <w:sz w:val="20"/>
                <w:szCs w:val="20"/>
                <w:color w:val="auto"/>
              </w:rPr>
            </w:pPr>
            <w:r>
              <w:rPr>
                <w:rFonts w:ascii="Arial" w:cs="Arial" w:eastAsia="Arial" w:hAnsi="Arial"/>
                <w:sz w:val="13"/>
                <w:szCs w:val="13"/>
                <w:color w:val="auto"/>
              </w:rPr>
              <w:t>$    755,000</w:t>
            </w:r>
          </w:p>
        </w:tc>
        <w:tc>
          <w:tcPr>
            <w:tcW w:w="2800" w:type="dxa"/>
            <w:vAlign w:val="bottom"/>
            <w:tcBorders>
              <w:bottom w:val="single" w:sz="8" w:color="F3F3F4"/>
            </w:tcBorders>
            <w:shd w:val="clear" w:color="auto" w:fill="F3F3F4"/>
          </w:tcPr>
          <w:p>
            <w:pPr>
              <w:jc w:val="right"/>
              <w:ind w:right="334"/>
              <w:spacing w:after="0"/>
              <w:rPr>
                <w:sz w:val="20"/>
                <w:szCs w:val="20"/>
                <w:color w:val="auto"/>
              </w:rPr>
            </w:pPr>
            <w:r>
              <w:rPr>
                <w:rFonts w:ascii="Arial" w:cs="Arial" w:eastAsia="Arial" w:hAnsi="Arial"/>
                <w:sz w:val="13"/>
                <w:szCs w:val="13"/>
                <w:color w:val="auto"/>
              </w:rPr>
              <w:t>$    715,000</w:t>
            </w:r>
          </w:p>
        </w:tc>
        <w:tc>
          <w:tcPr>
            <w:tcW w:w="236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5.6%</w:t>
            </w:r>
          </w:p>
        </w:tc>
      </w:tr>
      <w:tr>
        <w:trPr>
          <w:trHeight w:val="301"/>
        </w:trPr>
        <w:tc>
          <w:tcPr>
            <w:tcW w:w="2700" w:type="dxa"/>
            <w:vAlign w:val="bottom"/>
            <w:tcBorders>
              <w:top w:val="single" w:sz="8" w:color="939598"/>
              <w:bottom w:val="single" w:sz="8" w:color="F3F3F4"/>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Christopher L. Tucker</w:t>
            </w:r>
          </w:p>
        </w:tc>
        <w:tc>
          <w:tcPr>
            <w:tcW w:w="3380" w:type="dxa"/>
            <w:vAlign w:val="bottom"/>
            <w:tcBorders>
              <w:top w:val="single" w:sz="8" w:color="939598"/>
              <w:bottom w:val="single" w:sz="8" w:color="F3F3F4"/>
            </w:tcBorders>
            <w:shd w:val="clear" w:color="auto" w:fill="F3F3F4"/>
          </w:tcPr>
          <w:p>
            <w:pPr>
              <w:jc w:val="right"/>
              <w:ind w:right="154"/>
              <w:spacing w:after="0"/>
              <w:rPr>
                <w:sz w:val="20"/>
                <w:szCs w:val="20"/>
                <w:color w:val="auto"/>
              </w:rPr>
            </w:pPr>
            <w:r>
              <w:rPr>
                <w:rFonts w:ascii="Arial" w:cs="Arial" w:eastAsia="Arial" w:hAnsi="Arial"/>
                <w:sz w:val="13"/>
                <w:szCs w:val="13"/>
                <w:color w:val="auto"/>
              </w:rPr>
              <w:t>598,500</w:t>
            </w:r>
          </w:p>
        </w:tc>
        <w:tc>
          <w:tcPr>
            <w:tcW w:w="2800" w:type="dxa"/>
            <w:vAlign w:val="bottom"/>
            <w:tcBorders>
              <w:top w:val="single" w:sz="8" w:color="939598"/>
              <w:bottom w:val="single" w:sz="8" w:color="F3F3F4"/>
            </w:tcBorders>
            <w:shd w:val="clear" w:color="auto" w:fill="F3F3F4"/>
          </w:tcPr>
          <w:p>
            <w:pPr>
              <w:jc w:val="right"/>
              <w:ind w:right="334"/>
              <w:spacing w:after="0"/>
              <w:rPr>
                <w:sz w:val="20"/>
                <w:szCs w:val="20"/>
                <w:color w:val="auto"/>
              </w:rPr>
            </w:pPr>
            <w:r>
              <w:rPr>
                <w:rFonts w:ascii="Arial" w:cs="Arial" w:eastAsia="Arial" w:hAnsi="Arial"/>
                <w:sz w:val="13"/>
                <w:szCs w:val="13"/>
                <w:color w:val="auto"/>
              </w:rPr>
              <w:t>570,000</w:t>
            </w:r>
          </w:p>
        </w:tc>
        <w:tc>
          <w:tcPr>
            <w:tcW w:w="23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5%</w:t>
            </w:r>
          </w:p>
        </w:tc>
      </w:tr>
      <w:tr>
        <w:trPr>
          <w:trHeight w:val="276"/>
        </w:trPr>
        <w:tc>
          <w:tcPr>
            <w:tcW w:w="2700" w:type="dxa"/>
            <w:vAlign w:val="bottom"/>
            <w:tcBorders>
              <w:top w:val="single" w:sz="8" w:color="939598"/>
              <w:bottom w:val="single" w:sz="8" w:color="F3F3F4"/>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David M. Schatz</w:t>
            </w:r>
          </w:p>
        </w:tc>
        <w:tc>
          <w:tcPr>
            <w:tcW w:w="3380" w:type="dxa"/>
            <w:vAlign w:val="bottom"/>
            <w:tcBorders>
              <w:top w:val="single" w:sz="8" w:color="939598"/>
              <w:bottom w:val="single" w:sz="8" w:color="F3F3F4"/>
            </w:tcBorders>
            <w:shd w:val="clear" w:color="auto" w:fill="F3F3F4"/>
          </w:tcPr>
          <w:p>
            <w:pPr>
              <w:jc w:val="right"/>
              <w:ind w:right="154"/>
              <w:spacing w:after="0"/>
              <w:rPr>
                <w:sz w:val="20"/>
                <w:szCs w:val="20"/>
                <w:color w:val="auto"/>
              </w:rPr>
            </w:pPr>
            <w:r>
              <w:rPr>
                <w:rFonts w:ascii="Arial" w:cs="Arial" w:eastAsia="Arial" w:hAnsi="Arial"/>
                <w:sz w:val="13"/>
                <w:szCs w:val="13"/>
                <w:color w:val="auto"/>
              </w:rPr>
              <w:t>405,800</w:t>
            </w:r>
          </w:p>
        </w:tc>
        <w:tc>
          <w:tcPr>
            <w:tcW w:w="2800" w:type="dxa"/>
            <w:vAlign w:val="bottom"/>
            <w:tcBorders>
              <w:top w:val="single" w:sz="8" w:color="939598"/>
              <w:bottom w:val="single" w:sz="8" w:color="F3F3F4"/>
            </w:tcBorders>
            <w:shd w:val="clear" w:color="auto" w:fill="F3F3F4"/>
          </w:tcPr>
          <w:p>
            <w:pPr>
              <w:jc w:val="right"/>
              <w:ind w:right="334"/>
              <w:spacing w:after="0"/>
              <w:rPr>
                <w:sz w:val="20"/>
                <w:szCs w:val="20"/>
                <w:color w:val="auto"/>
              </w:rPr>
            </w:pPr>
            <w:r>
              <w:rPr>
                <w:rFonts w:ascii="Arial" w:cs="Arial" w:eastAsia="Arial" w:hAnsi="Arial"/>
                <w:sz w:val="13"/>
                <w:szCs w:val="13"/>
                <w:color w:val="auto"/>
              </w:rPr>
              <w:t>394,000</w:t>
            </w:r>
          </w:p>
        </w:tc>
        <w:tc>
          <w:tcPr>
            <w:tcW w:w="23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3%</w:t>
            </w:r>
          </w:p>
        </w:tc>
      </w:tr>
      <w:tr>
        <w:trPr>
          <w:trHeight w:val="20"/>
        </w:trPr>
        <w:tc>
          <w:tcPr>
            <w:tcW w:w="2700" w:type="dxa"/>
            <w:vAlign w:val="bottom"/>
            <w:shd w:val="clear" w:color="auto" w:fill="939598"/>
          </w:tcPr>
          <w:p>
            <w:pPr>
              <w:spacing w:after="0" w:line="20" w:lineRule="exact"/>
              <w:rPr>
                <w:sz w:val="1"/>
                <w:szCs w:val="1"/>
                <w:color w:val="auto"/>
              </w:rPr>
            </w:pPr>
          </w:p>
        </w:tc>
        <w:tc>
          <w:tcPr>
            <w:tcW w:w="3380" w:type="dxa"/>
            <w:vAlign w:val="bottom"/>
            <w:shd w:val="clear" w:color="auto" w:fill="939598"/>
          </w:tcPr>
          <w:p>
            <w:pPr>
              <w:spacing w:after="0" w:line="20" w:lineRule="exact"/>
              <w:rPr>
                <w:sz w:val="1"/>
                <w:szCs w:val="1"/>
                <w:color w:val="auto"/>
              </w:rPr>
            </w:pPr>
          </w:p>
        </w:tc>
        <w:tc>
          <w:tcPr>
            <w:tcW w:w="2800" w:type="dxa"/>
            <w:vAlign w:val="bottom"/>
            <w:shd w:val="clear" w:color="auto" w:fill="939598"/>
          </w:tcPr>
          <w:p>
            <w:pPr>
              <w:spacing w:after="0" w:line="20" w:lineRule="exact"/>
              <w:rPr>
                <w:sz w:val="1"/>
                <w:szCs w:val="1"/>
                <w:color w:val="auto"/>
              </w:rPr>
            </w:pPr>
          </w:p>
        </w:tc>
        <w:tc>
          <w:tcPr>
            <w:tcW w:w="2360" w:type="dxa"/>
            <w:vAlign w:val="bottom"/>
            <w:shd w:val="clear" w:color="auto" w:fill="939598"/>
          </w:tcPr>
          <w:p>
            <w:pPr>
              <w:spacing w:after="0" w:line="20" w:lineRule="exact"/>
              <w:rPr>
                <w:sz w:val="1"/>
                <w:szCs w:val="1"/>
                <w:color w:val="auto"/>
              </w:rPr>
            </w:pPr>
          </w:p>
        </w:tc>
      </w:tr>
    </w:tbl>
    <w:p>
      <w:pPr>
        <w:spacing w:after="0" w:line="240" w:lineRule="exact"/>
        <w:rPr>
          <w:sz w:val="20"/>
          <w:szCs w:val="20"/>
          <w:color w:val="auto"/>
        </w:rPr>
      </w:pPr>
    </w:p>
    <w:p>
      <w:pPr>
        <w:ind w:left="260" w:hanging="242"/>
        <w:spacing w:after="0"/>
        <w:tabs>
          <w:tab w:leader="none" w:pos="2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Amounts shown are annual rates for fiscal 2024; the actual amounts paid are set forth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289560</wp:posOffset>
            </wp:positionV>
            <wp:extent cx="7141210"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17"/>
          <w:szCs w:val="17"/>
          <w:b w:val="1"/>
          <w:bCs w:val="1"/>
          <w:color w:val="auto"/>
        </w:rPr>
        <w:t>Changes to Base Salaries for Fiscal 2025</w:t>
      </w:r>
    </w:p>
    <w:p>
      <w:pPr>
        <w:spacing w:after="0" w:line="188"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5"/>
          <w:szCs w:val="15"/>
          <w:color w:val="auto"/>
        </w:rPr>
        <w:t>For fiscal 2025 the Committee determined that increases in base salary of 10%, 3% and 5% were warranted for Mr. Sayler, Mr. Tucker and Mr. Schatz, resulting in base salaries of $830,500, $616,500 and $426,100, respectively. To assist in evaluating 2025 executive compensation, the Committee engaged Pay Governance to conduct a comprehensive 2024 market assessment. Mr. Sayler’s percentage increase was higher because his base salary was 12% below the median of the survey and 19% below the median of the peer group proxy data presented by Pay Governance.</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Annual Cash Incentive</w:t>
      </w:r>
    </w:p>
    <w:p>
      <w:pPr>
        <w:spacing w:after="0" w:line="192" w:lineRule="exact"/>
        <w:rPr>
          <w:sz w:val="20"/>
          <w:szCs w:val="20"/>
          <w:color w:val="auto"/>
        </w:rPr>
      </w:pPr>
    </w:p>
    <w:p>
      <w:pPr>
        <w:jc w:val="both"/>
        <w:ind w:left="20" w:right="20"/>
        <w:spacing w:after="0" w:line="285" w:lineRule="auto"/>
        <w:rPr>
          <w:sz w:val="20"/>
          <w:szCs w:val="20"/>
          <w:color w:val="auto"/>
        </w:rPr>
      </w:pPr>
      <w:r>
        <w:rPr>
          <w:rFonts w:ascii="Arial" w:cs="Arial" w:eastAsia="Arial" w:hAnsi="Arial"/>
          <w:sz w:val="13"/>
          <w:szCs w:val="13"/>
          <w:color w:val="auto"/>
        </w:rPr>
        <w:t>The Committee uses annual performance-based cash incentives to compensate the executive officers. The Committee establishes at-risk performance targets for the executive officers using financial and operational goals linking compensation to overall Company performance. The annual cash incentive targets for fiscal 2024 and fiscal 2023 were as follows: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Target Cash Incentive Compensation</w:t>
      </w:r>
      <w:r>
        <w:rPr>
          <w:rFonts w:ascii="Arial" w:cs="Arial" w:eastAsia="Arial" w:hAnsi="Arial"/>
          <w:sz w:val="25"/>
          <w:szCs w:val="25"/>
          <w:b w:val="1"/>
          <w:bCs w:val="1"/>
          <w:color w:val="auto"/>
          <w:vertAlign w:val="superscript"/>
        </w:rPr>
        <w:t>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80" w:type="dxa"/>
            <w:vAlign w:val="bottom"/>
          </w:tcPr>
          <w:p>
            <w:pPr>
              <w:ind w:left="120"/>
              <w:spacing w:after="0"/>
              <w:rPr>
                <w:sz w:val="20"/>
                <w:szCs w:val="20"/>
                <w:color w:val="auto"/>
              </w:rPr>
            </w:pPr>
            <w:r>
              <w:rPr>
                <w:rFonts w:ascii="Arial" w:cs="Arial" w:eastAsia="Arial" w:hAnsi="Arial"/>
                <w:sz w:val="12"/>
                <w:szCs w:val="12"/>
                <w:b w:val="1"/>
                <w:bCs w:val="1"/>
                <w:color w:val="auto"/>
              </w:rPr>
              <w:t>Officer</w:t>
            </w:r>
          </w:p>
        </w:tc>
        <w:tc>
          <w:tcPr>
            <w:tcW w:w="3400" w:type="dxa"/>
            <w:vAlign w:val="bottom"/>
          </w:tcPr>
          <w:p>
            <w:pPr>
              <w:jc w:val="right"/>
              <w:ind w:right="115"/>
              <w:spacing w:after="0"/>
              <w:rPr>
                <w:sz w:val="20"/>
                <w:szCs w:val="20"/>
                <w:color w:val="auto"/>
              </w:rPr>
            </w:pPr>
            <w:r>
              <w:rPr>
                <w:rFonts w:ascii="Arial" w:cs="Arial" w:eastAsia="Arial" w:hAnsi="Arial"/>
                <w:sz w:val="12"/>
                <w:szCs w:val="12"/>
                <w:b w:val="1"/>
                <w:bCs w:val="1"/>
                <w:color w:val="auto"/>
              </w:rPr>
              <w:t>FY 2024 Target Cash Incentive</w:t>
            </w:r>
          </w:p>
        </w:tc>
        <w:tc>
          <w:tcPr>
            <w:tcW w:w="3060" w:type="dxa"/>
            <w:vAlign w:val="bottom"/>
          </w:tcPr>
          <w:p>
            <w:pPr>
              <w:jc w:val="right"/>
              <w:ind w:right="475"/>
              <w:spacing w:after="0"/>
              <w:rPr>
                <w:sz w:val="20"/>
                <w:szCs w:val="20"/>
                <w:color w:val="auto"/>
              </w:rPr>
            </w:pPr>
            <w:r>
              <w:rPr>
                <w:rFonts w:ascii="Arial" w:cs="Arial" w:eastAsia="Arial" w:hAnsi="Arial"/>
                <w:sz w:val="12"/>
                <w:szCs w:val="12"/>
                <w:b w:val="1"/>
                <w:bCs w:val="1"/>
                <w:color w:val="auto"/>
              </w:rPr>
              <w:t>FY 2023 Target Cash Incentive</w:t>
            </w:r>
          </w:p>
        </w:tc>
        <w:tc>
          <w:tcPr>
            <w:tcW w:w="2300" w:type="dxa"/>
            <w:vAlign w:val="bottom"/>
          </w:tcPr>
          <w:p>
            <w:pPr>
              <w:jc w:val="right"/>
              <w:ind w:right="55"/>
              <w:spacing w:after="0"/>
              <w:rPr>
                <w:sz w:val="20"/>
                <w:szCs w:val="20"/>
                <w:color w:val="auto"/>
              </w:rPr>
            </w:pPr>
            <w:r>
              <w:rPr>
                <w:rFonts w:ascii="Arial" w:cs="Arial" w:eastAsia="Arial" w:hAnsi="Arial"/>
                <w:sz w:val="12"/>
                <w:szCs w:val="12"/>
                <w:b w:val="1"/>
                <w:bCs w:val="1"/>
                <w:color w:val="auto"/>
              </w:rPr>
              <w:t>Percent Increase from FY 2023</w:t>
            </w:r>
          </w:p>
        </w:tc>
      </w:tr>
      <w:tr>
        <w:trPr>
          <w:trHeight w:val="57"/>
        </w:trPr>
        <w:tc>
          <w:tcPr>
            <w:tcW w:w="248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r>
      <w:tr>
        <w:trPr>
          <w:trHeight w:val="301"/>
        </w:trPr>
        <w:tc>
          <w:tcPr>
            <w:tcW w:w="2480" w:type="dxa"/>
            <w:vAlign w:val="bottom"/>
            <w:tcBorders>
              <w:bottom w:val="single" w:sz="8" w:color="F3F3F4"/>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Bryan H. Sayler</w:t>
            </w:r>
          </w:p>
        </w:tc>
        <w:tc>
          <w:tcPr>
            <w:tcW w:w="3400" w:type="dxa"/>
            <w:vAlign w:val="bottom"/>
            <w:tcBorders>
              <w:bottom w:val="single" w:sz="8" w:color="F3F3F4"/>
            </w:tcBorders>
            <w:shd w:val="clear" w:color="auto" w:fill="F3F3F4"/>
          </w:tcPr>
          <w:p>
            <w:pPr>
              <w:jc w:val="right"/>
              <w:ind w:right="35"/>
              <w:spacing w:after="0"/>
              <w:rPr>
                <w:sz w:val="20"/>
                <w:szCs w:val="20"/>
                <w:color w:val="auto"/>
              </w:rPr>
            </w:pPr>
            <w:r>
              <w:rPr>
                <w:rFonts w:ascii="Arial" w:cs="Arial" w:eastAsia="Arial" w:hAnsi="Arial"/>
                <w:sz w:val="13"/>
                <w:szCs w:val="13"/>
                <w:color w:val="auto"/>
              </w:rPr>
              <w:t>$   755,000</w:t>
            </w:r>
          </w:p>
        </w:tc>
        <w:tc>
          <w:tcPr>
            <w:tcW w:w="3060" w:type="dxa"/>
            <w:vAlign w:val="bottom"/>
            <w:tcBorders>
              <w:bottom w:val="single" w:sz="8" w:color="F3F3F4"/>
            </w:tcBorders>
            <w:shd w:val="clear" w:color="auto" w:fill="F3F3F4"/>
          </w:tcPr>
          <w:p>
            <w:pPr>
              <w:jc w:val="right"/>
              <w:ind w:right="395"/>
              <w:spacing w:after="0"/>
              <w:rPr>
                <w:sz w:val="20"/>
                <w:szCs w:val="20"/>
                <w:color w:val="auto"/>
              </w:rPr>
            </w:pPr>
            <w:r>
              <w:rPr>
                <w:rFonts w:ascii="Arial" w:cs="Arial" w:eastAsia="Arial" w:hAnsi="Arial"/>
                <w:sz w:val="13"/>
                <w:szCs w:val="13"/>
                <w:color w:val="auto"/>
              </w:rPr>
              <w:t>$   715,000</w:t>
            </w:r>
          </w:p>
        </w:tc>
        <w:tc>
          <w:tcPr>
            <w:tcW w:w="230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5.6%</w:t>
            </w:r>
          </w:p>
        </w:tc>
      </w:tr>
      <w:tr>
        <w:trPr>
          <w:trHeight w:val="301"/>
        </w:trPr>
        <w:tc>
          <w:tcPr>
            <w:tcW w:w="2480" w:type="dxa"/>
            <w:vAlign w:val="bottom"/>
            <w:tcBorders>
              <w:top w:val="single" w:sz="8" w:color="939598"/>
              <w:bottom w:val="single" w:sz="8" w:color="F3F3F4"/>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Christopher L. Tucker</w:t>
            </w:r>
          </w:p>
        </w:tc>
        <w:tc>
          <w:tcPr>
            <w:tcW w:w="3400" w:type="dxa"/>
            <w:vAlign w:val="bottom"/>
            <w:tcBorders>
              <w:top w:val="single" w:sz="8" w:color="939598"/>
              <w:bottom w:val="single" w:sz="8" w:color="F3F3F4"/>
            </w:tcBorders>
            <w:shd w:val="clear" w:color="auto" w:fill="F3F3F4"/>
          </w:tcPr>
          <w:p>
            <w:pPr>
              <w:jc w:val="right"/>
              <w:ind w:right="35"/>
              <w:spacing w:after="0"/>
              <w:rPr>
                <w:sz w:val="20"/>
                <w:szCs w:val="20"/>
                <w:color w:val="auto"/>
              </w:rPr>
            </w:pPr>
            <w:r>
              <w:rPr>
                <w:rFonts w:ascii="Arial" w:cs="Arial" w:eastAsia="Arial" w:hAnsi="Arial"/>
                <w:sz w:val="13"/>
                <w:szCs w:val="13"/>
                <w:color w:val="auto"/>
              </w:rPr>
              <w:t>389,000</w:t>
            </w:r>
          </w:p>
        </w:tc>
        <w:tc>
          <w:tcPr>
            <w:tcW w:w="3060" w:type="dxa"/>
            <w:vAlign w:val="bottom"/>
            <w:tcBorders>
              <w:top w:val="single" w:sz="8" w:color="939598"/>
              <w:bottom w:val="single" w:sz="8" w:color="F3F3F4"/>
            </w:tcBorders>
            <w:shd w:val="clear" w:color="auto" w:fill="F3F3F4"/>
          </w:tcPr>
          <w:p>
            <w:pPr>
              <w:jc w:val="right"/>
              <w:ind w:right="395"/>
              <w:spacing w:after="0"/>
              <w:rPr>
                <w:sz w:val="20"/>
                <w:szCs w:val="20"/>
                <w:color w:val="auto"/>
              </w:rPr>
            </w:pPr>
            <w:r>
              <w:rPr>
                <w:rFonts w:ascii="Arial" w:cs="Arial" w:eastAsia="Arial" w:hAnsi="Arial"/>
                <w:sz w:val="13"/>
                <w:szCs w:val="13"/>
                <w:color w:val="auto"/>
              </w:rPr>
              <w:t>373,000</w:t>
            </w:r>
          </w:p>
        </w:tc>
        <w:tc>
          <w:tcPr>
            <w:tcW w:w="230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4.3%</w:t>
            </w:r>
          </w:p>
        </w:tc>
      </w:tr>
      <w:tr>
        <w:trPr>
          <w:trHeight w:val="276"/>
        </w:trPr>
        <w:tc>
          <w:tcPr>
            <w:tcW w:w="2480" w:type="dxa"/>
            <w:vAlign w:val="bottom"/>
            <w:tcBorders>
              <w:top w:val="single" w:sz="8" w:color="939598"/>
              <w:bottom w:val="single" w:sz="8" w:color="F3F3F4"/>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David M. Schatz</w:t>
            </w:r>
          </w:p>
        </w:tc>
        <w:tc>
          <w:tcPr>
            <w:tcW w:w="3400" w:type="dxa"/>
            <w:vAlign w:val="bottom"/>
            <w:tcBorders>
              <w:top w:val="single" w:sz="8" w:color="939598"/>
              <w:bottom w:val="single" w:sz="8" w:color="F3F3F4"/>
            </w:tcBorders>
            <w:shd w:val="clear" w:color="auto" w:fill="F3F3F4"/>
          </w:tcPr>
          <w:p>
            <w:pPr>
              <w:jc w:val="right"/>
              <w:ind w:right="35"/>
              <w:spacing w:after="0"/>
              <w:rPr>
                <w:sz w:val="20"/>
                <w:szCs w:val="20"/>
                <w:color w:val="auto"/>
              </w:rPr>
            </w:pPr>
            <w:r>
              <w:rPr>
                <w:rFonts w:ascii="Arial" w:cs="Arial" w:eastAsia="Arial" w:hAnsi="Arial"/>
                <w:sz w:val="13"/>
                <w:szCs w:val="13"/>
                <w:color w:val="auto"/>
              </w:rPr>
              <w:t>202,900</w:t>
            </w:r>
          </w:p>
        </w:tc>
        <w:tc>
          <w:tcPr>
            <w:tcW w:w="3060" w:type="dxa"/>
            <w:vAlign w:val="bottom"/>
            <w:tcBorders>
              <w:top w:val="single" w:sz="8" w:color="939598"/>
              <w:bottom w:val="single" w:sz="8" w:color="F3F3F4"/>
            </w:tcBorders>
            <w:shd w:val="clear" w:color="auto" w:fill="F3F3F4"/>
          </w:tcPr>
          <w:p>
            <w:pPr>
              <w:jc w:val="right"/>
              <w:ind w:right="395"/>
              <w:spacing w:after="0"/>
              <w:rPr>
                <w:sz w:val="20"/>
                <w:szCs w:val="20"/>
                <w:color w:val="auto"/>
              </w:rPr>
            </w:pPr>
            <w:r>
              <w:rPr>
                <w:rFonts w:ascii="Arial" w:cs="Arial" w:eastAsia="Arial" w:hAnsi="Arial"/>
                <w:sz w:val="13"/>
                <w:szCs w:val="13"/>
                <w:color w:val="auto"/>
              </w:rPr>
              <w:t>176,000</w:t>
            </w:r>
          </w:p>
        </w:tc>
        <w:tc>
          <w:tcPr>
            <w:tcW w:w="230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15.3%</w:t>
            </w:r>
          </w:p>
        </w:tc>
      </w:tr>
      <w:tr>
        <w:trPr>
          <w:trHeight w:val="20"/>
        </w:trPr>
        <w:tc>
          <w:tcPr>
            <w:tcW w:w="2480" w:type="dxa"/>
            <w:vAlign w:val="bottom"/>
            <w:shd w:val="clear" w:color="auto" w:fill="939598"/>
          </w:tcPr>
          <w:p>
            <w:pPr>
              <w:spacing w:after="0" w:line="20" w:lineRule="exact"/>
              <w:rPr>
                <w:sz w:val="1"/>
                <w:szCs w:val="1"/>
                <w:color w:val="auto"/>
              </w:rPr>
            </w:pPr>
          </w:p>
        </w:tc>
        <w:tc>
          <w:tcPr>
            <w:tcW w:w="3400" w:type="dxa"/>
            <w:vAlign w:val="bottom"/>
            <w:shd w:val="clear" w:color="auto" w:fill="939598"/>
          </w:tcPr>
          <w:p>
            <w:pPr>
              <w:spacing w:after="0" w:line="20" w:lineRule="exact"/>
              <w:rPr>
                <w:sz w:val="1"/>
                <w:szCs w:val="1"/>
                <w:color w:val="auto"/>
              </w:rPr>
            </w:pPr>
          </w:p>
        </w:tc>
        <w:tc>
          <w:tcPr>
            <w:tcW w:w="3060" w:type="dxa"/>
            <w:vAlign w:val="bottom"/>
            <w:shd w:val="clear" w:color="auto" w:fill="939598"/>
          </w:tcPr>
          <w:p>
            <w:pPr>
              <w:spacing w:after="0" w:line="20" w:lineRule="exact"/>
              <w:rPr>
                <w:sz w:val="1"/>
                <w:szCs w:val="1"/>
                <w:color w:val="auto"/>
              </w:rPr>
            </w:pPr>
          </w:p>
        </w:tc>
        <w:tc>
          <w:tcPr>
            <w:tcW w:w="2300" w:type="dxa"/>
            <w:vAlign w:val="bottom"/>
            <w:shd w:val="clear" w:color="auto" w:fill="939598"/>
          </w:tcPr>
          <w:p>
            <w:pPr>
              <w:spacing w:after="0" w:line="20" w:lineRule="exact"/>
              <w:rPr>
                <w:sz w:val="1"/>
                <w:szCs w:val="1"/>
                <w:color w:val="auto"/>
              </w:rPr>
            </w:pPr>
          </w:p>
        </w:tc>
      </w:tr>
    </w:tbl>
    <w:p>
      <w:pPr>
        <w:spacing w:after="0" w:line="240" w:lineRule="exact"/>
        <w:rPr>
          <w:sz w:val="20"/>
          <w:szCs w:val="20"/>
          <w:color w:val="auto"/>
        </w:rPr>
      </w:pPr>
    </w:p>
    <w:p>
      <w:pPr>
        <w:ind w:left="260" w:hanging="242"/>
        <w:spacing w:after="0"/>
        <w:tabs>
          <w:tab w:leader="none" w:pos="2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Amounts shown are annual targets for fiscal 2024; the actual amounts paid are set forth in the Summary Compensation Table.</w:t>
      </w:r>
    </w:p>
    <w:p>
      <w:pPr>
        <w:spacing w:after="0" w:line="394"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5"/>
          <w:szCs w:val="15"/>
          <w:color w:val="auto"/>
        </w:rPr>
        <w:t>The fiscal 2024 cash incentive targets for the executive officers were established pursuant to our Performance Compensation Plan (PCP) authorized under the 2018 Omnibus Incentive Plan. This at risk plan closely links the executive officers’ pay to our financial results and provides compensation variability in the form of reduced payments when performance is below targets and higher compensation when performance exceeds targets. The PCP has a fixed target with a payout range based on performance. The Committee has discretion to either increase or decrease the actual cash incentive payouts. For fiscal 2024, the Committee determined to set the cash incentive targets as a percent of base salary in line with market practices. The 2024 cash incentive targets for Mr. Sayler, Mr. Tucker and Mr. Schatz were 100% of 2024 base salary, 65% of 2024 base salary, and 50% of 2024 base salary, respectively.</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Changes to Annual Cash Incentive for Fiscal 2025</w:t>
      </w:r>
    </w:p>
    <w:p>
      <w:pPr>
        <w:spacing w:after="0" w:line="188"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5"/>
          <w:szCs w:val="15"/>
          <w:color w:val="auto"/>
        </w:rPr>
        <w:t>Consistent with fiscal 2024, the Committee determined that the cash incentive targets for fiscal 2025 would be set as a percent of base salary in line with market practices. The fiscal 2025 cash incentive targets for Mr. Sayler, Mr. Tucker and Mr. Schatz are $830,500 (100% of 2025 base salary), $400,725 (65% of 2025 base salary), and $213,050 (50% of 2025 base salary), respectively.</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Total Target Cash Compensation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target percentages of total cash compensation represented by base salary and by the PCP target varied for fiscal 2024 based on the position, as follows: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Target Total Cash Compensation: Fiscal 2024</w:t>
      </w:r>
      <w:r>
        <w:rPr>
          <w:rFonts w:ascii="Arial" w:cs="Arial" w:eastAsia="Arial" w:hAnsi="Arial"/>
          <w:sz w:val="25"/>
          <w:szCs w:val="25"/>
          <w:b w:val="1"/>
          <w:bCs w:val="1"/>
          <w:color w:val="auto"/>
          <w:vertAlign w:val="superscript"/>
        </w:rPr>
        <w:t>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20" w:type="dxa"/>
            <w:vAlign w:val="bottom"/>
          </w:tcPr>
          <w:p>
            <w:pPr>
              <w:jc w:val="right"/>
              <w:ind w:right="1297"/>
              <w:spacing w:after="0"/>
              <w:rPr>
                <w:sz w:val="20"/>
                <w:szCs w:val="20"/>
                <w:color w:val="auto"/>
              </w:rPr>
            </w:pPr>
            <w:r>
              <w:rPr>
                <w:rFonts w:ascii="Arial" w:cs="Arial" w:eastAsia="Arial" w:hAnsi="Arial"/>
                <w:sz w:val="12"/>
                <w:szCs w:val="12"/>
                <w:b w:val="1"/>
                <w:bCs w:val="1"/>
                <w:color w:val="auto"/>
              </w:rPr>
              <w:t>Base Salary</w:t>
            </w:r>
          </w:p>
        </w:tc>
        <w:tc>
          <w:tcPr>
            <w:tcW w:w="2700" w:type="dxa"/>
            <w:vAlign w:val="bottom"/>
          </w:tcPr>
          <w:p>
            <w:pPr>
              <w:jc w:val="right"/>
              <w:ind w:right="137"/>
              <w:spacing w:after="0"/>
              <w:rPr>
                <w:sz w:val="20"/>
                <w:szCs w:val="20"/>
                <w:color w:val="auto"/>
              </w:rPr>
            </w:pPr>
            <w:r>
              <w:rPr>
                <w:rFonts w:ascii="Arial" w:cs="Arial" w:eastAsia="Arial" w:hAnsi="Arial"/>
                <w:sz w:val="12"/>
                <w:szCs w:val="12"/>
                <w:b w:val="1"/>
                <w:bCs w:val="1"/>
                <w:color w:val="auto"/>
              </w:rPr>
              <w:t>Cash Incentive Target (PCP)</w:t>
            </w: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1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Officer</w:t>
            </w:r>
          </w:p>
        </w:tc>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20" w:type="dxa"/>
            <w:vAlign w:val="bottom"/>
          </w:tcPr>
          <w:p>
            <w:pPr>
              <w:jc w:val="right"/>
              <w:ind w:right="397"/>
              <w:spacing w:after="0"/>
              <w:rPr>
                <w:sz w:val="20"/>
                <w:szCs w:val="20"/>
                <w:color w:val="auto"/>
              </w:rPr>
            </w:pPr>
            <w:r>
              <w:rPr>
                <w:rFonts w:ascii="Arial" w:cs="Arial" w:eastAsia="Arial" w:hAnsi="Arial"/>
                <w:sz w:val="12"/>
                <w:szCs w:val="12"/>
                <w:b w:val="1"/>
                <w:bCs w:val="1"/>
                <w:color w:val="auto"/>
              </w:rPr>
              <w:t>Percent of Target Total</w:t>
            </w:r>
          </w:p>
        </w:tc>
        <w:tc>
          <w:tcPr>
            <w:tcW w:w="2700" w:type="dxa"/>
            <w:vAlign w:val="bottom"/>
          </w:tcPr>
          <w:p>
            <w:pPr>
              <w:jc w:val="right"/>
              <w:spacing w:after="0"/>
              <w:rPr>
                <w:sz w:val="20"/>
                <w:szCs w:val="20"/>
                <w:color w:val="auto"/>
              </w:rPr>
            </w:pPr>
            <w:r>
              <w:rPr>
                <w:rFonts w:ascii="Arial" w:cs="Arial" w:eastAsia="Arial" w:hAnsi="Arial"/>
                <w:sz w:val="12"/>
                <w:szCs w:val="12"/>
                <w:b w:val="1"/>
                <w:bCs w:val="1"/>
                <w:color w:val="auto"/>
              </w:rPr>
              <w:t> Percent of Target Total</w:t>
            </w:r>
          </w:p>
        </w:tc>
        <w:tc>
          <w:tcPr>
            <w:tcW w:w="360" w:type="dxa"/>
            <w:vAlign w:val="bottom"/>
          </w:tcPr>
          <w:p>
            <w:pPr>
              <w:spacing w:after="0"/>
              <w:rPr>
                <w:sz w:val="15"/>
                <w:szCs w:val="15"/>
                <w:color w:val="auto"/>
              </w:rPr>
            </w:pPr>
          </w:p>
        </w:tc>
        <w:tc>
          <w:tcPr>
            <w:tcW w:w="1780" w:type="dxa"/>
            <w:vAlign w:val="bottom"/>
          </w:tcPr>
          <w:p>
            <w:pPr>
              <w:jc w:val="right"/>
              <w:ind w:right="456"/>
              <w:spacing w:after="0"/>
              <w:rPr>
                <w:sz w:val="20"/>
                <w:szCs w:val="20"/>
                <w:color w:val="auto"/>
              </w:rPr>
            </w:pPr>
            <w:r>
              <w:rPr>
                <w:rFonts w:ascii="Arial" w:cs="Arial" w:eastAsia="Arial" w:hAnsi="Arial"/>
                <w:sz w:val="12"/>
                <w:szCs w:val="12"/>
                <w:b w:val="1"/>
                <w:bCs w:val="1"/>
                <w:color w:val="auto"/>
              </w:rPr>
              <w:t>Target Total Cash</w:t>
            </w:r>
          </w:p>
        </w:tc>
        <w:tc>
          <w:tcPr>
            <w:tcW w:w="0" w:type="dxa"/>
            <w:vAlign w:val="bottom"/>
          </w:tcPr>
          <w:p>
            <w:pPr>
              <w:spacing w:after="0"/>
              <w:rPr>
                <w:sz w:val="1"/>
                <w:szCs w:val="1"/>
                <w:color w:val="auto"/>
              </w:rPr>
            </w:pPr>
          </w:p>
        </w:tc>
      </w:tr>
      <w:tr>
        <w:trPr>
          <w:trHeight w:val="163"/>
        </w:trPr>
        <w:tc>
          <w:tcPr>
            <w:tcW w:w="214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20" w:type="dxa"/>
            <w:vAlign w:val="bottom"/>
          </w:tcPr>
          <w:p>
            <w:pPr>
              <w:jc w:val="right"/>
              <w:ind w:right="457"/>
              <w:spacing w:after="0"/>
              <w:rPr>
                <w:sz w:val="20"/>
                <w:szCs w:val="20"/>
                <w:color w:val="auto"/>
              </w:rPr>
            </w:pPr>
            <w:r>
              <w:rPr>
                <w:rFonts w:ascii="Arial" w:cs="Arial" w:eastAsia="Arial" w:hAnsi="Arial"/>
                <w:sz w:val="12"/>
                <w:szCs w:val="12"/>
                <w:b w:val="1"/>
                <w:bCs w:val="1"/>
                <w:color w:val="auto"/>
              </w:rPr>
              <w:t>Cash Compensation</w:t>
            </w:r>
          </w:p>
        </w:tc>
        <w:tc>
          <w:tcPr>
            <w:tcW w:w="2700" w:type="dxa"/>
            <w:vAlign w:val="bottom"/>
          </w:tcPr>
          <w:p>
            <w:pPr>
              <w:jc w:val="right"/>
              <w:ind w:right="37"/>
              <w:spacing w:after="0"/>
              <w:rPr>
                <w:sz w:val="20"/>
                <w:szCs w:val="20"/>
                <w:color w:val="auto"/>
              </w:rPr>
            </w:pPr>
            <w:r>
              <w:rPr>
                <w:rFonts w:ascii="Arial" w:cs="Arial" w:eastAsia="Arial" w:hAnsi="Arial"/>
                <w:sz w:val="12"/>
                <w:szCs w:val="12"/>
                <w:b w:val="1"/>
                <w:bCs w:val="1"/>
                <w:color w:val="auto"/>
              </w:rPr>
              <w:t>Cash Compensation</w:t>
            </w:r>
          </w:p>
        </w:tc>
        <w:tc>
          <w:tcPr>
            <w:tcW w:w="360" w:type="dxa"/>
            <w:vAlign w:val="bottom"/>
          </w:tcPr>
          <w:p>
            <w:pPr>
              <w:spacing w:after="0"/>
              <w:rPr>
                <w:sz w:val="14"/>
                <w:szCs w:val="14"/>
                <w:color w:val="auto"/>
              </w:rPr>
            </w:pPr>
          </w:p>
        </w:tc>
        <w:tc>
          <w:tcPr>
            <w:tcW w:w="1780" w:type="dxa"/>
            <w:vAlign w:val="bottom"/>
          </w:tcPr>
          <w:p>
            <w:pPr>
              <w:jc w:val="right"/>
              <w:ind w:right="536"/>
              <w:spacing w:after="0"/>
              <w:rPr>
                <w:sz w:val="20"/>
                <w:szCs w:val="20"/>
                <w:color w:val="auto"/>
              </w:rPr>
            </w:pPr>
            <w:r>
              <w:rPr>
                <w:rFonts w:ascii="Arial" w:cs="Arial" w:eastAsia="Arial" w:hAnsi="Arial"/>
                <w:sz w:val="12"/>
                <w:szCs w:val="12"/>
                <w:b w:val="1"/>
                <w:bCs w:val="1"/>
                <w:color w:val="auto"/>
              </w:rPr>
              <w:t>Compensation</w:t>
            </w:r>
          </w:p>
        </w:tc>
        <w:tc>
          <w:tcPr>
            <w:tcW w:w="0" w:type="dxa"/>
            <w:vAlign w:val="bottom"/>
          </w:tcPr>
          <w:p>
            <w:pPr>
              <w:spacing w:after="0"/>
              <w:rPr>
                <w:sz w:val="1"/>
                <w:szCs w:val="1"/>
                <w:color w:val="auto"/>
              </w:rPr>
            </w:pPr>
          </w:p>
        </w:tc>
      </w:tr>
      <w:tr>
        <w:trPr>
          <w:trHeight w:val="44"/>
        </w:trPr>
        <w:tc>
          <w:tcPr>
            <w:tcW w:w="2140" w:type="dxa"/>
            <w:vAlign w:val="bottom"/>
            <w:tcBorders>
              <w:bottom w:val="single" w:sz="8" w:color="939598"/>
            </w:tcBorders>
          </w:tcPr>
          <w:p>
            <w:pPr>
              <w:spacing w:after="0"/>
              <w:rPr>
                <w:sz w:val="3"/>
                <w:szCs w:val="3"/>
                <w:color w:val="auto"/>
              </w:rPr>
            </w:pPr>
          </w:p>
        </w:tc>
        <w:tc>
          <w:tcPr>
            <w:tcW w:w="1260" w:type="dxa"/>
            <w:vAlign w:val="bottom"/>
            <w:tcBorders>
              <w:bottom w:val="single" w:sz="8" w:color="939598"/>
            </w:tcBorders>
          </w:tcPr>
          <w:p>
            <w:pPr>
              <w:spacing w:after="0"/>
              <w:rPr>
                <w:sz w:val="3"/>
                <w:szCs w:val="3"/>
                <w:color w:val="auto"/>
              </w:rPr>
            </w:pPr>
          </w:p>
        </w:tc>
        <w:tc>
          <w:tcPr>
            <w:tcW w:w="480" w:type="dxa"/>
            <w:vAlign w:val="bottom"/>
            <w:tcBorders>
              <w:bottom w:val="single" w:sz="8" w:color="939598"/>
            </w:tcBorders>
          </w:tcPr>
          <w:p>
            <w:pPr>
              <w:spacing w:after="0"/>
              <w:rPr>
                <w:sz w:val="3"/>
                <w:szCs w:val="3"/>
                <w:color w:val="auto"/>
              </w:rPr>
            </w:pPr>
          </w:p>
        </w:tc>
        <w:tc>
          <w:tcPr>
            <w:tcW w:w="2520" w:type="dxa"/>
            <w:vAlign w:val="bottom"/>
            <w:tcBorders>
              <w:bottom w:val="single" w:sz="8" w:color="939598"/>
            </w:tcBorders>
          </w:tcPr>
          <w:p>
            <w:pPr>
              <w:spacing w:after="0"/>
              <w:rPr>
                <w:sz w:val="3"/>
                <w:szCs w:val="3"/>
                <w:color w:val="auto"/>
              </w:rPr>
            </w:pPr>
          </w:p>
        </w:tc>
        <w:tc>
          <w:tcPr>
            <w:tcW w:w="2700" w:type="dxa"/>
            <w:vAlign w:val="bottom"/>
            <w:tcBorders>
              <w:bottom w:val="single" w:sz="8" w:color="939598"/>
            </w:tcBorders>
          </w:tcPr>
          <w:p>
            <w:pPr>
              <w:spacing w:after="0"/>
              <w:rPr>
                <w:sz w:val="3"/>
                <w:szCs w:val="3"/>
                <w:color w:val="auto"/>
              </w:rPr>
            </w:pPr>
          </w:p>
        </w:tc>
        <w:tc>
          <w:tcPr>
            <w:tcW w:w="360" w:type="dxa"/>
            <w:vAlign w:val="bottom"/>
            <w:tcBorders>
              <w:bottom w:val="single" w:sz="8" w:color="939598"/>
            </w:tcBorders>
          </w:tcPr>
          <w:p>
            <w:pPr>
              <w:spacing w:after="0"/>
              <w:rPr>
                <w:sz w:val="3"/>
                <w:szCs w:val="3"/>
                <w:color w:val="auto"/>
              </w:rPr>
            </w:pPr>
          </w:p>
        </w:tc>
        <w:tc>
          <w:tcPr>
            <w:tcW w:w="178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2140" w:type="dxa"/>
            <w:vAlign w:val="bottom"/>
            <w:tcBorders>
              <w:bottom w:val="single" w:sz="8" w:color="F3F3F4"/>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Bryan H. Sayler</w:t>
            </w:r>
          </w:p>
        </w:tc>
        <w:tc>
          <w:tcPr>
            <w:tcW w:w="1740" w:type="dxa"/>
            <w:vAlign w:val="bottom"/>
            <w:tcBorders>
              <w:bottom w:val="single" w:sz="8" w:color="F3F3F4"/>
            </w:tcBorders>
            <w:gridSpan w:val="2"/>
            <w:shd w:val="clear" w:color="auto" w:fill="F3F3F4"/>
          </w:tcPr>
          <w:p>
            <w:pPr>
              <w:jc w:val="right"/>
              <w:ind w:right="480"/>
              <w:spacing w:after="0"/>
              <w:rPr>
                <w:sz w:val="20"/>
                <w:szCs w:val="20"/>
                <w:color w:val="auto"/>
              </w:rPr>
            </w:pPr>
            <w:r>
              <w:rPr>
                <w:rFonts w:ascii="Arial" w:cs="Arial" w:eastAsia="Arial" w:hAnsi="Arial"/>
                <w:sz w:val="13"/>
                <w:szCs w:val="13"/>
                <w:color w:val="auto"/>
              </w:rPr>
              <w:t>$ 755,000</w:t>
            </w:r>
          </w:p>
        </w:tc>
        <w:tc>
          <w:tcPr>
            <w:tcW w:w="2520" w:type="dxa"/>
            <w:vAlign w:val="bottom"/>
            <w:tcBorders>
              <w:bottom w:val="single" w:sz="8" w:color="F3F3F4"/>
            </w:tcBorders>
            <w:shd w:val="clear" w:color="auto" w:fill="F3F3F4"/>
          </w:tcPr>
          <w:p>
            <w:pPr>
              <w:jc w:val="right"/>
              <w:ind w:right="417"/>
              <w:spacing w:after="0"/>
              <w:rPr>
                <w:sz w:val="20"/>
                <w:szCs w:val="20"/>
                <w:color w:val="auto"/>
              </w:rPr>
            </w:pPr>
            <w:r>
              <w:rPr>
                <w:rFonts w:ascii="Arial" w:cs="Arial" w:eastAsia="Arial" w:hAnsi="Arial"/>
                <w:sz w:val="13"/>
                <w:szCs w:val="13"/>
                <w:color w:val="auto"/>
              </w:rPr>
              <w:t>50%</w:t>
            </w:r>
          </w:p>
        </w:tc>
        <w:tc>
          <w:tcPr>
            <w:tcW w:w="2700" w:type="dxa"/>
            <w:vAlign w:val="bottom"/>
            <w:tcBorders>
              <w:bottom w:val="single" w:sz="8" w:color="F3F3F4"/>
            </w:tcBorders>
            <w:shd w:val="clear" w:color="auto" w:fill="F3F3F4"/>
          </w:tcPr>
          <w:p>
            <w:pPr>
              <w:jc w:val="right"/>
              <w:ind w:right="1537"/>
              <w:spacing w:after="0"/>
              <w:rPr>
                <w:sz w:val="20"/>
                <w:szCs w:val="20"/>
                <w:color w:val="auto"/>
              </w:rPr>
            </w:pPr>
            <w:r>
              <w:rPr>
                <w:rFonts w:ascii="Arial" w:cs="Arial" w:eastAsia="Arial" w:hAnsi="Arial"/>
                <w:sz w:val="13"/>
                <w:szCs w:val="13"/>
                <w:color w:val="auto"/>
              </w:rPr>
              <w:t>$ 755,000</w:t>
            </w:r>
          </w:p>
        </w:tc>
        <w:tc>
          <w:tcPr>
            <w:tcW w:w="360" w:type="dxa"/>
            <w:vAlign w:val="bottom"/>
            <w:tcBorders>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w w:val="99"/>
              </w:rPr>
              <w:t>50%</w:t>
            </w:r>
          </w:p>
        </w:tc>
        <w:tc>
          <w:tcPr>
            <w:tcW w:w="178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$ 1,510,000</w:t>
            </w:r>
          </w:p>
        </w:tc>
        <w:tc>
          <w:tcPr>
            <w:tcW w:w="0" w:type="dxa"/>
            <w:vAlign w:val="bottom"/>
          </w:tcPr>
          <w:p>
            <w:pPr>
              <w:spacing w:after="0"/>
              <w:rPr>
                <w:sz w:val="1"/>
                <w:szCs w:val="1"/>
                <w:color w:val="auto"/>
              </w:rPr>
            </w:pPr>
          </w:p>
        </w:tc>
      </w:tr>
      <w:tr>
        <w:trPr>
          <w:trHeight w:val="275"/>
        </w:trPr>
        <w:tc>
          <w:tcPr>
            <w:tcW w:w="2140" w:type="dxa"/>
            <w:vAlign w:val="bottom"/>
            <w:tcBorders>
              <w:top w:val="single" w:sz="8" w:color="939598"/>
              <w:bottom w:val="single" w:sz="8" w:color="F3F3F4"/>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Christopher L. Tucker</w:t>
            </w:r>
          </w:p>
        </w:tc>
        <w:tc>
          <w:tcPr>
            <w:tcW w:w="12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598,500</w:t>
            </w:r>
          </w:p>
        </w:tc>
        <w:tc>
          <w:tcPr>
            <w:tcW w:w="480" w:type="dxa"/>
            <w:vAlign w:val="bottom"/>
            <w:tcBorders>
              <w:top w:val="single" w:sz="8" w:color="939598"/>
              <w:bottom w:val="single" w:sz="8" w:color="F3F3F4"/>
            </w:tcBorders>
            <w:shd w:val="clear" w:color="auto" w:fill="F3F3F4"/>
          </w:tcPr>
          <w:p>
            <w:pPr>
              <w:spacing w:after="0"/>
              <w:rPr>
                <w:sz w:val="23"/>
                <w:szCs w:val="23"/>
                <w:color w:val="auto"/>
              </w:rPr>
            </w:pPr>
          </w:p>
        </w:tc>
        <w:tc>
          <w:tcPr>
            <w:tcW w:w="2520" w:type="dxa"/>
            <w:vAlign w:val="bottom"/>
            <w:tcBorders>
              <w:top w:val="single" w:sz="8" w:color="939598"/>
              <w:bottom w:val="single" w:sz="8" w:color="F3F3F4"/>
            </w:tcBorders>
            <w:shd w:val="clear" w:color="auto" w:fill="F3F3F4"/>
          </w:tcPr>
          <w:p>
            <w:pPr>
              <w:jc w:val="right"/>
              <w:ind w:right="417"/>
              <w:spacing w:after="0"/>
              <w:rPr>
                <w:sz w:val="20"/>
                <w:szCs w:val="20"/>
                <w:color w:val="auto"/>
              </w:rPr>
            </w:pPr>
            <w:r>
              <w:rPr>
                <w:rFonts w:ascii="Arial" w:cs="Arial" w:eastAsia="Arial" w:hAnsi="Arial"/>
                <w:sz w:val="13"/>
                <w:szCs w:val="13"/>
                <w:color w:val="auto"/>
              </w:rPr>
              <w:t>61%</w:t>
            </w:r>
          </w:p>
        </w:tc>
        <w:tc>
          <w:tcPr>
            <w:tcW w:w="2700" w:type="dxa"/>
            <w:vAlign w:val="bottom"/>
            <w:tcBorders>
              <w:top w:val="single" w:sz="8" w:color="939598"/>
              <w:bottom w:val="single" w:sz="8" w:color="F3F3F4"/>
            </w:tcBorders>
            <w:shd w:val="clear" w:color="auto" w:fill="F3F3F4"/>
          </w:tcPr>
          <w:p>
            <w:pPr>
              <w:jc w:val="right"/>
              <w:ind w:right="1537"/>
              <w:spacing w:after="0"/>
              <w:rPr>
                <w:sz w:val="20"/>
                <w:szCs w:val="20"/>
                <w:color w:val="auto"/>
              </w:rPr>
            </w:pPr>
            <w:r>
              <w:rPr>
                <w:rFonts w:ascii="Arial" w:cs="Arial" w:eastAsia="Arial" w:hAnsi="Arial"/>
                <w:sz w:val="13"/>
                <w:szCs w:val="13"/>
                <w:color w:val="auto"/>
              </w:rPr>
              <w:t>389,000</w:t>
            </w:r>
          </w:p>
        </w:tc>
        <w:tc>
          <w:tcPr>
            <w:tcW w:w="36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w w:val="99"/>
              </w:rPr>
              <w:t>39%</w:t>
            </w:r>
          </w:p>
        </w:tc>
        <w:tc>
          <w:tcPr>
            <w:tcW w:w="178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$987,500</w:t>
            </w:r>
          </w:p>
        </w:tc>
        <w:tc>
          <w:tcPr>
            <w:tcW w:w="0" w:type="dxa"/>
            <w:vAlign w:val="bottom"/>
          </w:tcPr>
          <w:p>
            <w:pPr>
              <w:spacing w:after="0"/>
              <w:rPr>
                <w:sz w:val="1"/>
                <w:szCs w:val="1"/>
                <w:color w:val="auto"/>
              </w:rPr>
            </w:pPr>
          </w:p>
        </w:tc>
      </w:tr>
      <w:tr>
        <w:trPr>
          <w:trHeight w:val="250"/>
        </w:trPr>
        <w:tc>
          <w:tcPr>
            <w:tcW w:w="2140" w:type="dxa"/>
            <w:vAlign w:val="bottom"/>
            <w:tcBorders>
              <w:top w:val="single" w:sz="8" w:color="939598"/>
              <w:bottom w:val="single" w:sz="8" w:color="F3F3F4"/>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David M. Schatz</w:t>
            </w:r>
          </w:p>
        </w:tc>
        <w:tc>
          <w:tcPr>
            <w:tcW w:w="12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405,800</w:t>
            </w:r>
          </w:p>
        </w:tc>
        <w:tc>
          <w:tcPr>
            <w:tcW w:w="480" w:type="dxa"/>
            <w:vAlign w:val="bottom"/>
            <w:tcBorders>
              <w:top w:val="single" w:sz="8" w:color="939598"/>
              <w:bottom w:val="single" w:sz="8" w:color="F3F3F4"/>
            </w:tcBorders>
            <w:shd w:val="clear" w:color="auto" w:fill="F3F3F4"/>
          </w:tcPr>
          <w:p>
            <w:pPr>
              <w:spacing w:after="0"/>
              <w:rPr>
                <w:sz w:val="21"/>
                <w:szCs w:val="21"/>
                <w:color w:val="auto"/>
              </w:rPr>
            </w:pPr>
          </w:p>
        </w:tc>
        <w:tc>
          <w:tcPr>
            <w:tcW w:w="2520" w:type="dxa"/>
            <w:vAlign w:val="bottom"/>
            <w:tcBorders>
              <w:top w:val="single" w:sz="8" w:color="939598"/>
              <w:bottom w:val="single" w:sz="8" w:color="F3F3F4"/>
            </w:tcBorders>
            <w:shd w:val="clear" w:color="auto" w:fill="F3F3F4"/>
          </w:tcPr>
          <w:p>
            <w:pPr>
              <w:jc w:val="right"/>
              <w:ind w:right="417"/>
              <w:spacing w:after="0"/>
              <w:rPr>
                <w:sz w:val="20"/>
                <w:szCs w:val="20"/>
                <w:color w:val="auto"/>
              </w:rPr>
            </w:pPr>
            <w:r>
              <w:rPr>
                <w:rFonts w:ascii="Arial" w:cs="Arial" w:eastAsia="Arial" w:hAnsi="Arial"/>
                <w:sz w:val="13"/>
                <w:szCs w:val="13"/>
                <w:color w:val="auto"/>
              </w:rPr>
              <w:t>67%</w:t>
            </w:r>
          </w:p>
        </w:tc>
        <w:tc>
          <w:tcPr>
            <w:tcW w:w="2700" w:type="dxa"/>
            <w:vAlign w:val="bottom"/>
            <w:tcBorders>
              <w:top w:val="single" w:sz="8" w:color="939598"/>
              <w:bottom w:val="single" w:sz="8" w:color="F3F3F4"/>
            </w:tcBorders>
            <w:shd w:val="clear" w:color="auto" w:fill="F3F3F4"/>
          </w:tcPr>
          <w:p>
            <w:pPr>
              <w:jc w:val="right"/>
              <w:ind w:right="1537"/>
              <w:spacing w:after="0"/>
              <w:rPr>
                <w:sz w:val="20"/>
                <w:szCs w:val="20"/>
                <w:color w:val="auto"/>
              </w:rPr>
            </w:pPr>
            <w:r>
              <w:rPr>
                <w:rFonts w:ascii="Arial" w:cs="Arial" w:eastAsia="Arial" w:hAnsi="Arial"/>
                <w:sz w:val="13"/>
                <w:szCs w:val="13"/>
                <w:color w:val="auto"/>
              </w:rPr>
              <w:t>202,900</w:t>
            </w:r>
          </w:p>
        </w:tc>
        <w:tc>
          <w:tcPr>
            <w:tcW w:w="36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w w:val="99"/>
              </w:rPr>
              <w:t>33%</w:t>
            </w:r>
          </w:p>
        </w:tc>
        <w:tc>
          <w:tcPr>
            <w:tcW w:w="178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$608,700</w:t>
            </w:r>
          </w:p>
        </w:tc>
        <w:tc>
          <w:tcPr>
            <w:tcW w:w="0" w:type="dxa"/>
            <w:vAlign w:val="bottom"/>
          </w:tcPr>
          <w:p>
            <w:pPr>
              <w:spacing w:after="0"/>
              <w:rPr>
                <w:sz w:val="1"/>
                <w:szCs w:val="1"/>
                <w:color w:val="auto"/>
              </w:rPr>
            </w:pPr>
          </w:p>
        </w:tc>
      </w:tr>
      <w:tr>
        <w:trPr>
          <w:trHeight w:val="20"/>
        </w:trPr>
        <w:tc>
          <w:tcPr>
            <w:tcW w:w="2140" w:type="dxa"/>
            <w:vAlign w:val="bottom"/>
            <w:shd w:val="clear" w:color="auto" w:fill="939598"/>
          </w:tcPr>
          <w:p>
            <w:pPr>
              <w:spacing w:after="0" w:line="20" w:lineRule="exact"/>
              <w:rPr>
                <w:sz w:val="1"/>
                <w:szCs w:val="1"/>
                <w:color w:val="auto"/>
              </w:rPr>
            </w:pPr>
          </w:p>
        </w:tc>
        <w:tc>
          <w:tcPr>
            <w:tcW w:w="1260" w:type="dxa"/>
            <w:vAlign w:val="bottom"/>
            <w:shd w:val="clear" w:color="auto" w:fill="939598"/>
          </w:tcPr>
          <w:p>
            <w:pPr>
              <w:spacing w:after="0" w:line="20" w:lineRule="exact"/>
              <w:rPr>
                <w:sz w:val="1"/>
                <w:szCs w:val="1"/>
                <w:color w:val="auto"/>
              </w:rPr>
            </w:pPr>
          </w:p>
        </w:tc>
        <w:tc>
          <w:tcPr>
            <w:tcW w:w="480" w:type="dxa"/>
            <w:vAlign w:val="bottom"/>
            <w:shd w:val="clear" w:color="auto" w:fill="939598"/>
          </w:tcPr>
          <w:p>
            <w:pPr>
              <w:spacing w:after="0" w:line="20" w:lineRule="exact"/>
              <w:rPr>
                <w:sz w:val="1"/>
                <w:szCs w:val="1"/>
                <w:color w:val="auto"/>
              </w:rPr>
            </w:pPr>
          </w:p>
        </w:tc>
        <w:tc>
          <w:tcPr>
            <w:tcW w:w="2520" w:type="dxa"/>
            <w:vAlign w:val="bottom"/>
            <w:shd w:val="clear" w:color="auto" w:fill="939598"/>
          </w:tcPr>
          <w:p>
            <w:pPr>
              <w:spacing w:after="0" w:line="20" w:lineRule="exact"/>
              <w:rPr>
                <w:sz w:val="1"/>
                <w:szCs w:val="1"/>
                <w:color w:val="auto"/>
              </w:rPr>
            </w:pPr>
          </w:p>
        </w:tc>
        <w:tc>
          <w:tcPr>
            <w:tcW w:w="2700" w:type="dxa"/>
            <w:vAlign w:val="bottom"/>
            <w:shd w:val="clear" w:color="auto" w:fill="939598"/>
          </w:tcPr>
          <w:p>
            <w:pPr>
              <w:spacing w:after="0" w:line="20" w:lineRule="exact"/>
              <w:rPr>
                <w:sz w:val="1"/>
                <w:szCs w:val="1"/>
                <w:color w:val="auto"/>
              </w:rPr>
            </w:pPr>
          </w:p>
        </w:tc>
        <w:tc>
          <w:tcPr>
            <w:tcW w:w="360" w:type="dxa"/>
            <w:vAlign w:val="bottom"/>
            <w:shd w:val="clear" w:color="auto" w:fill="939598"/>
          </w:tcPr>
          <w:p>
            <w:pPr>
              <w:spacing w:after="0" w:line="20" w:lineRule="exact"/>
              <w:rPr>
                <w:sz w:val="1"/>
                <w:szCs w:val="1"/>
                <w:color w:val="auto"/>
              </w:rPr>
            </w:pPr>
          </w:p>
        </w:tc>
        <w:tc>
          <w:tcPr>
            <w:tcW w:w="1780" w:type="dxa"/>
            <w:vAlign w:val="bottom"/>
            <w:shd w:val="clear" w:color="auto" w:fill="9395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Amounts shown are annual targets as of the beginning of fiscal 2024; the actual amounts paid are set forth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278765</wp:posOffset>
            </wp:positionV>
            <wp:extent cx="714121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4" w:name="page35"/>
    <w:bookmarkEnd w:id="34"/>
    <w:p>
      <w:pPr>
        <w:jc w:val="both"/>
        <w:ind w:right="20"/>
        <w:spacing w:after="0" w:line="252" w:lineRule="auto"/>
        <w:rPr>
          <w:sz w:val="20"/>
          <w:szCs w:val="20"/>
          <w:color w:val="auto"/>
        </w:rPr>
      </w:pPr>
      <w:r>
        <w:rPr>
          <w:rFonts w:ascii="Arial" w:cs="Arial" w:eastAsia="Arial" w:hAnsi="Arial"/>
          <w:sz w:val="15"/>
          <w:szCs w:val="15"/>
          <w:color w:val="auto"/>
        </w:rPr>
        <w:t>The higher at-risk target percentage for the CEO as compared to the other executive officers is based on our at risk philosophy and the greater responsibilities of the CEO. Similarly, the CFO has a higher at-risk percentage as compared to the General Counsel. Near the beginning of each fiscal year, after reviewing our business plans for the fiscal year, the Committee determines the key short-term business metrics on which senior management should focus in order to drive results and approves the cash incentive target for each executive officer. Because of the broad responsibilities of the executive officers, their criteria are tied to Company-wide metrics. The Committee then determines the percentage of the cash incentive target which should be tied to each of the metrics and the performance target for each metric, and approves the threshold and maximum multipliers which will be applied to each of the performance targets to determine the payment under the plan. If performance is below the threshold for a metric, there is no payout for that metric.</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Incentive Metrics</w:t>
      </w:r>
    </w:p>
    <w:p>
      <w:pPr>
        <w:spacing w:after="0" w:line="179"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During the first quarter of fiscal 2024 the Committee approved two metrics for achievement of the fiscal 2024 PCP incentive targets, based on the annual operating plan reviewed by the Board of Directors. The first metric in 2024 was “Adjusted EPS,” weighted at 70% of the total PCP target opportunity; Adjusted EPS is a non-GAAP financial measure. Fiscal 2024 Adjusted EPS of $4.18 equaled GAAP diluted EPS of $3.94 excluding $0.24 per share of after-tax charges consisting primarily of $0.09 of debt financing and $0.06 of acquisition costs at Corporate related to the pending SM&amp;P acquisition which was announced in July 2024, $0.05 of restructuring charges (primarily severance) in the A&amp;D, Test and USG segments, and $0.04 of backlog and inventory step-up charges at the Company’s subsidiary MPE Limited which was acquired during fiscal 2024.</w:t>
      </w:r>
    </w:p>
    <w:p>
      <w:pPr>
        <w:spacing w:after="0" w:line="146"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second metric in fiscal 2024 was “Adjusted Cash Flow from Operating Activities,” weighted at 30% of the total PCP target opportunity; Adjusted Cash Flow from Operating Activities is a non-GAAP financial measure. Fiscal 2024 Adjusted Cash Flow from Operating Activities of $132.3 million equaled GAAP Cash Flow from Operating Activities of $127.5 million excluding $4.8 million of adjustments consisting primarily of debt financing and acquisition costs at Corporate related to the pending SM&amp;P acquisition and restructuring charges (primarily severance) in the A&amp;D, Test and USG segments.</w:t>
      </w:r>
    </w:p>
    <w:p>
      <w:pPr>
        <w:spacing w:after="0" w:line="142"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The Committee approved the following targets for the two fiscal 2024 cash incentive metrics. It believes that the selected metrics and the performance benchmarks for each metric, and the threshold and maximum multipliers, provided meaningful incentives for 2024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PCP Targets and Results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jc w:val="right"/>
              <w:ind w:right="256"/>
              <w:spacing w:after="0"/>
              <w:rPr>
                <w:sz w:val="20"/>
                <w:szCs w:val="20"/>
                <w:color w:val="auto"/>
              </w:rPr>
            </w:pPr>
            <w:r>
              <w:rPr>
                <w:rFonts w:ascii="Arial" w:cs="Arial" w:eastAsia="Arial" w:hAnsi="Arial"/>
                <w:sz w:val="12"/>
                <w:szCs w:val="12"/>
                <w:b w:val="1"/>
                <w:bCs w:val="1"/>
                <w:color w:val="auto"/>
              </w:rPr>
              <w:t>2024 Benchmarks</w:t>
            </w: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380" w:type="dxa"/>
            <w:vAlign w:val="bottom"/>
          </w:tcPr>
          <w:p>
            <w:pPr>
              <w:spacing w:after="0"/>
              <w:rPr>
                <w:sz w:val="4"/>
                <w:szCs w:val="4"/>
                <w:color w:val="auto"/>
              </w:rPr>
            </w:pPr>
          </w:p>
        </w:tc>
        <w:tc>
          <w:tcPr>
            <w:tcW w:w="1240" w:type="dxa"/>
            <w:vAlign w:val="bottom"/>
            <w:vMerge w:val="restart"/>
          </w:tcPr>
          <w:p>
            <w:pPr>
              <w:jc w:val="center"/>
              <w:ind w:left="161"/>
              <w:spacing w:after="0"/>
              <w:rPr>
                <w:sz w:val="20"/>
                <w:szCs w:val="20"/>
                <w:color w:val="auto"/>
              </w:rPr>
            </w:pPr>
            <w:r>
              <w:rPr>
                <w:rFonts w:ascii="Arial" w:cs="Arial" w:eastAsia="Arial" w:hAnsi="Arial"/>
                <w:sz w:val="12"/>
                <w:szCs w:val="12"/>
                <w:b w:val="1"/>
                <w:bCs w:val="1"/>
                <w:color w:val="auto"/>
                <w:w w:val="96"/>
              </w:rPr>
              <w:t>Weight (% of</w:t>
            </w:r>
          </w:p>
        </w:tc>
        <w:tc>
          <w:tcPr>
            <w:tcW w:w="34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40" w:type="dxa"/>
            <w:vAlign w:val="bottom"/>
            <w:vMerge w:val="restart"/>
          </w:tcPr>
          <w:p>
            <w:pPr>
              <w:jc w:val="right"/>
              <w:ind w:right="477"/>
              <w:spacing w:after="0"/>
              <w:rPr>
                <w:sz w:val="20"/>
                <w:szCs w:val="20"/>
                <w:color w:val="auto"/>
              </w:rPr>
            </w:pPr>
            <w:r>
              <w:rPr>
                <w:rFonts w:ascii="Arial" w:cs="Arial" w:eastAsia="Arial" w:hAnsi="Arial"/>
                <w:sz w:val="12"/>
                <w:szCs w:val="12"/>
                <w:b w:val="1"/>
                <w:bCs w:val="1"/>
                <w:color w:val="auto"/>
              </w:rPr>
              <w:t>Actual Value</w:t>
            </w:r>
          </w:p>
        </w:tc>
        <w:tc>
          <w:tcPr>
            <w:tcW w:w="2020" w:type="dxa"/>
            <w:vAlign w:val="bottom"/>
            <w:vMerge w:val="restart"/>
          </w:tcPr>
          <w:p>
            <w:pPr>
              <w:jc w:val="right"/>
              <w:ind w:right="616"/>
              <w:spacing w:after="0"/>
              <w:rPr>
                <w:sz w:val="20"/>
                <w:szCs w:val="20"/>
                <w:color w:val="auto"/>
              </w:rPr>
            </w:pPr>
            <w:r>
              <w:rPr>
                <w:rFonts w:ascii="Arial" w:cs="Arial" w:eastAsia="Arial" w:hAnsi="Arial"/>
                <w:sz w:val="12"/>
                <w:szCs w:val="12"/>
                <w:b w:val="1"/>
                <w:bCs w:val="1"/>
                <w:color w:val="auto"/>
              </w:rPr>
              <w:t>Actual % of Payout</w:t>
            </w:r>
          </w:p>
        </w:tc>
        <w:tc>
          <w:tcPr>
            <w:tcW w:w="0" w:type="dxa"/>
            <w:vAlign w:val="bottom"/>
          </w:tcPr>
          <w:p>
            <w:pPr>
              <w:spacing w:after="0"/>
              <w:rPr>
                <w:sz w:val="1"/>
                <w:szCs w:val="1"/>
                <w:color w:val="auto"/>
              </w:rPr>
            </w:pPr>
          </w:p>
        </w:tc>
      </w:tr>
      <w:tr>
        <w:trPr>
          <w:trHeight w:val="152"/>
        </w:trPr>
        <w:tc>
          <w:tcPr>
            <w:tcW w:w="2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Metric</w:t>
            </w:r>
          </w:p>
        </w:tc>
        <w:tc>
          <w:tcPr>
            <w:tcW w:w="12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jc w:val="right"/>
              <w:ind w:right="460"/>
              <w:spacing w:after="0"/>
              <w:rPr>
                <w:sz w:val="20"/>
                <w:szCs w:val="20"/>
                <w:color w:val="auto"/>
              </w:rPr>
            </w:pPr>
            <w:r>
              <w:rPr>
                <w:rFonts w:ascii="Arial" w:cs="Arial" w:eastAsia="Arial" w:hAnsi="Arial"/>
                <w:sz w:val="12"/>
                <w:szCs w:val="12"/>
                <w:b w:val="1"/>
                <w:bCs w:val="1"/>
                <w:color w:val="auto"/>
              </w:rPr>
              <w:t>Threshold</w:t>
            </w:r>
          </w:p>
        </w:tc>
        <w:tc>
          <w:tcPr>
            <w:tcW w:w="1380" w:type="dxa"/>
            <w:vAlign w:val="bottom"/>
            <w:vMerge w:val="restart"/>
          </w:tcPr>
          <w:p>
            <w:pPr>
              <w:jc w:val="right"/>
              <w:ind w:right="656"/>
              <w:spacing w:after="0"/>
              <w:rPr>
                <w:sz w:val="20"/>
                <w:szCs w:val="20"/>
                <w:color w:val="auto"/>
              </w:rPr>
            </w:pPr>
            <w:r>
              <w:rPr>
                <w:rFonts w:ascii="Arial" w:cs="Arial" w:eastAsia="Arial" w:hAnsi="Arial"/>
                <w:sz w:val="12"/>
                <w:szCs w:val="12"/>
                <w:b w:val="1"/>
                <w:bCs w:val="1"/>
                <w:color w:val="auto"/>
              </w:rPr>
              <w:t>Target</w:t>
            </w:r>
          </w:p>
        </w:tc>
        <w:tc>
          <w:tcPr>
            <w:tcW w:w="1140" w:type="dxa"/>
            <w:vAlign w:val="bottom"/>
            <w:vMerge w:val="restart"/>
          </w:tcPr>
          <w:p>
            <w:pPr>
              <w:jc w:val="right"/>
              <w:ind w:right="335"/>
              <w:spacing w:after="0"/>
              <w:rPr>
                <w:sz w:val="20"/>
                <w:szCs w:val="20"/>
                <w:color w:val="auto"/>
              </w:rPr>
            </w:pPr>
            <w:r>
              <w:rPr>
                <w:rFonts w:ascii="Arial" w:cs="Arial" w:eastAsia="Arial" w:hAnsi="Arial"/>
                <w:sz w:val="12"/>
                <w:szCs w:val="12"/>
                <w:b w:val="1"/>
                <w:bCs w:val="1"/>
                <w:color w:val="auto"/>
              </w:rPr>
              <w:t>Maximum</w:t>
            </w:r>
          </w:p>
        </w:tc>
        <w:tc>
          <w:tcPr>
            <w:tcW w:w="144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80" w:type="dxa"/>
            <w:vAlign w:val="bottom"/>
            <w:vMerge w:val="continue"/>
          </w:tcPr>
          <w:p>
            <w:pPr>
              <w:spacing w:after="0"/>
              <w:rPr>
                <w:sz w:val="14"/>
                <w:szCs w:val="14"/>
                <w:color w:val="auto"/>
              </w:rPr>
            </w:pPr>
          </w:p>
        </w:tc>
        <w:tc>
          <w:tcPr>
            <w:tcW w:w="1240" w:type="dxa"/>
            <w:vAlign w:val="bottom"/>
          </w:tcPr>
          <w:p>
            <w:pPr>
              <w:jc w:val="center"/>
              <w:ind w:left="161"/>
              <w:spacing w:after="0"/>
              <w:rPr>
                <w:sz w:val="20"/>
                <w:szCs w:val="20"/>
                <w:color w:val="auto"/>
              </w:rPr>
            </w:pPr>
            <w:r>
              <w:rPr>
                <w:rFonts w:ascii="Arial" w:cs="Arial" w:eastAsia="Arial" w:hAnsi="Arial"/>
                <w:sz w:val="12"/>
                <w:szCs w:val="12"/>
                <w:b w:val="1"/>
                <w:bCs w:val="1"/>
                <w:color w:val="auto"/>
                <w:w w:val="97"/>
              </w:rPr>
              <w:t>Target Incentive)</w:t>
            </w:r>
          </w:p>
        </w:tc>
        <w:tc>
          <w:tcPr>
            <w:tcW w:w="3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440" w:type="dxa"/>
            <w:vAlign w:val="bottom"/>
          </w:tcPr>
          <w:p>
            <w:pPr>
              <w:jc w:val="right"/>
              <w:ind w:right="577"/>
              <w:spacing w:after="0"/>
              <w:rPr>
                <w:sz w:val="20"/>
                <w:szCs w:val="20"/>
                <w:color w:val="auto"/>
              </w:rPr>
            </w:pPr>
            <w:r>
              <w:rPr>
                <w:rFonts w:ascii="Arial" w:cs="Arial" w:eastAsia="Arial" w:hAnsi="Arial"/>
                <w:sz w:val="12"/>
                <w:szCs w:val="12"/>
                <w:b w:val="1"/>
                <w:bCs w:val="1"/>
                <w:color w:val="auto"/>
              </w:rPr>
              <w:t>Achieved</w:t>
            </w:r>
          </w:p>
        </w:tc>
        <w:tc>
          <w:tcPr>
            <w:tcW w:w="2020" w:type="dxa"/>
            <w:vAlign w:val="bottom"/>
          </w:tcPr>
          <w:p>
            <w:pPr>
              <w:jc w:val="right"/>
              <w:ind w:right="556"/>
              <w:spacing w:after="0"/>
              <w:rPr>
                <w:sz w:val="20"/>
                <w:szCs w:val="20"/>
                <w:color w:val="auto"/>
              </w:rPr>
            </w:pPr>
            <w:r>
              <w:rPr>
                <w:rFonts w:ascii="Arial" w:cs="Arial" w:eastAsia="Arial" w:hAnsi="Arial"/>
                <w:sz w:val="12"/>
                <w:szCs w:val="12"/>
                <w:b w:val="1"/>
                <w:bCs w:val="1"/>
                <w:color w:val="auto"/>
              </w:rPr>
              <w:t>Earned (unweighted)</w:t>
            </w:r>
          </w:p>
        </w:tc>
        <w:tc>
          <w:tcPr>
            <w:tcW w:w="0" w:type="dxa"/>
            <w:vAlign w:val="bottom"/>
          </w:tcPr>
          <w:p>
            <w:pPr>
              <w:spacing w:after="0"/>
              <w:rPr>
                <w:sz w:val="1"/>
                <w:szCs w:val="1"/>
                <w:color w:val="auto"/>
              </w:rPr>
            </w:pPr>
          </w:p>
        </w:tc>
      </w:tr>
      <w:tr>
        <w:trPr>
          <w:trHeight w:val="44"/>
        </w:trPr>
        <w:tc>
          <w:tcPr>
            <w:tcW w:w="238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34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60" w:type="dxa"/>
            <w:vAlign w:val="bottom"/>
            <w:tcBorders>
              <w:bottom w:val="single" w:sz="8" w:color="939598"/>
            </w:tcBorders>
          </w:tcPr>
          <w:p>
            <w:pPr>
              <w:spacing w:after="0"/>
              <w:rPr>
                <w:sz w:val="3"/>
                <w:szCs w:val="3"/>
                <w:color w:val="auto"/>
              </w:rPr>
            </w:pPr>
          </w:p>
        </w:tc>
        <w:tc>
          <w:tcPr>
            <w:tcW w:w="138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440" w:type="dxa"/>
            <w:vAlign w:val="bottom"/>
            <w:tcBorders>
              <w:bottom w:val="single" w:sz="8" w:color="939598"/>
            </w:tcBorders>
          </w:tcPr>
          <w:p>
            <w:pPr>
              <w:spacing w:after="0"/>
              <w:rPr>
                <w:sz w:val="3"/>
                <w:szCs w:val="3"/>
                <w:color w:val="auto"/>
              </w:rPr>
            </w:pPr>
          </w:p>
        </w:tc>
        <w:tc>
          <w:tcPr>
            <w:tcW w:w="202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238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Adjusted EPS</w:t>
            </w:r>
          </w:p>
        </w:tc>
        <w:tc>
          <w:tcPr>
            <w:tcW w:w="1240" w:type="dxa"/>
            <w:vAlign w:val="bottom"/>
            <w:tcBorders>
              <w:bottom w:val="single" w:sz="8" w:color="F3F3F4"/>
            </w:tcBorders>
            <w:shd w:val="clear" w:color="auto" w:fill="F3F3F4"/>
          </w:tcPr>
          <w:p>
            <w:pPr>
              <w:spacing w:after="0"/>
              <w:rPr>
                <w:sz w:val="23"/>
                <w:szCs w:val="23"/>
                <w:color w:val="auto"/>
              </w:rPr>
            </w:pPr>
          </w:p>
        </w:tc>
        <w:tc>
          <w:tcPr>
            <w:tcW w:w="3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70%</w:t>
            </w:r>
          </w:p>
        </w:tc>
        <w:tc>
          <w:tcPr>
            <w:tcW w:w="1300" w:type="dxa"/>
            <w:vAlign w:val="bottom"/>
            <w:tcBorders>
              <w:bottom w:val="single" w:sz="8" w:color="F3F3F4"/>
            </w:tcBorders>
            <w:gridSpan w:val="2"/>
            <w:shd w:val="clear" w:color="auto" w:fill="F3F3F4"/>
          </w:tcPr>
          <w:p>
            <w:pPr>
              <w:jc w:val="right"/>
              <w:ind w:right="60"/>
              <w:spacing w:after="0"/>
              <w:rPr>
                <w:sz w:val="20"/>
                <w:szCs w:val="20"/>
                <w:color w:val="auto"/>
              </w:rPr>
            </w:pPr>
            <w:r>
              <w:rPr>
                <w:rFonts w:ascii="Arial" w:cs="Arial" w:eastAsia="Arial" w:hAnsi="Arial"/>
                <w:sz w:val="13"/>
                <w:szCs w:val="13"/>
                <w:color w:val="auto"/>
              </w:rPr>
              <w:t>$   3.57</w:t>
            </w:r>
          </w:p>
        </w:tc>
        <w:tc>
          <w:tcPr>
            <w:tcW w:w="1380" w:type="dxa"/>
            <w:vAlign w:val="bottom"/>
            <w:tcBorders>
              <w:bottom w:val="single" w:sz="8" w:color="F3F3F4"/>
            </w:tcBorders>
            <w:shd w:val="clear" w:color="auto" w:fill="F3F3F4"/>
          </w:tcPr>
          <w:p>
            <w:pPr>
              <w:jc w:val="right"/>
              <w:ind w:right="156"/>
              <w:spacing w:after="0"/>
              <w:rPr>
                <w:sz w:val="20"/>
                <w:szCs w:val="20"/>
                <w:color w:val="auto"/>
              </w:rPr>
            </w:pPr>
            <w:r>
              <w:rPr>
                <w:rFonts w:ascii="Arial" w:cs="Arial" w:eastAsia="Arial" w:hAnsi="Arial"/>
                <w:sz w:val="13"/>
                <w:szCs w:val="13"/>
                <w:color w:val="auto"/>
              </w:rPr>
              <w:t>$    4.20</w:t>
            </w:r>
          </w:p>
        </w:tc>
        <w:tc>
          <w:tcPr>
            <w:tcW w:w="11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   4.62</w:t>
            </w:r>
          </w:p>
        </w:tc>
        <w:tc>
          <w:tcPr>
            <w:tcW w:w="1440" w:type="dxa"/>
            <w:vAlign w:val="bottom"/>
            <w:tcBorders>
              <w:bottom w:val="single" w:sz="8" w:color="F3F3F4"/>
            </w:tcBorders>
            <w:shd w:val="clear" w:color="auto" w:fill="F3F3F4"/>
          </w:tcPr>
          <w:p>
            <w:pPr>
              <w:jc w:val="right"/>
              <w:ind w:right="157"/>
              <w:spacing w:after="0"/>
              <w:rPr>
                <w:sz w:val="20"/>
                <w:szCs w:val="20"/>
                <w:color w:val="auto"/>
              </w:rPr>
            </w:pPr>
            <w:r>
              <w:rPr>
                <w:rFonts w:ascii="Arial" w:cs="Arial" w:eastAsia="Arial" w:hAnsi="Arial"/>
                <w:sz w:val="13"/>
                <w:szCs w:val="13"/>
                <w:color w:val="auto"/>
              </w:rPr>
              <w:t>$    4.18</w:t>
            </w:r>
          </w:p>
        </w:tc>
        <w:tc>
          <w:tcPr>
            <w:tcW w:w="2020" w:type="dxa"/>
            <w:vAlign w:val="bottom"/>
            <w:tcBorders>
              <w:bottom w:val="single" w:sz="8" w:color="F3F3F4"/>
            </w:tcBorders>
            <w:shd w:val="clear" w:color="auto" w:fill="F3F3F4"/>
          </w:tcPr>
          <w:p>
            <w:pPr>
              <w:jc w:val="right"/>
              <w:ind w:right="76"/>
              <w:spacing w:after="0"/>
              <w:rPr>
                <w:sz w:val="20"/>
                <w:szCs w:val="20"/>
                <w:color w:val="auto"/>
              </w:rPr>
            </w:pPr>
            <w:r>
              <w:rPr>
                <w:rFonts w:ascii="Arial" w:cs="Arial" w:eastAsia="Arial" w:hAnsi="Arial"/>
                <w:sz w:val="13"/>
                <w:szCs w:val="13"/>
                <w:color w:val="auto"/>
              </w:rPr>
              <w:t>97.79%</w:t>
            </w:r>
          </w:p>
        </w:tc>
        <w:tc>
          <w:tcPr>
            <w:tcW w:w="0" w:type="dxa"/>
            <w:vAlign w:val="bottom"/>
          </w:tcPr>
          <w:p>
            <w:pPr>
              <w:spacing w:after="0"/>
              <w:rPr>
                <w:sz w:val="1"/>
                <w:szCs w:val="1"/>
                <w:color w:val="auto"/>
              </w:rPr>
            </w:pPr>
          </w:p>
        </w:tc>
      </w:tr>
      <w:tr>
        <w:trPr>
          <w:trHeight w:val="198"/>
        </w:trPr>
        <w:tc>
          <w:tcPr>
            <w:tcW w:w="238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Adjusted Cash Flow from</w:t>
            </w:r>
          </w:p>
        </w:tc>
        <w:tc>
          <w:tcPr>
            <w:tcW w:w="1240" w:type="dxa"/>
            <w:vAlign w:val="bottom"/>
            <w:tcBorders>
              <w:top w:val="single" w:sz="8" w:color="939598"/>
            </w:tcBorders>
            <w:shd w:val="clear" w:color="auto" w:fill="F3F3F4"/>
          </w:tcPr>
          <w:p>
            <w:pPr>
              <w:spacing w:after="0"/>
              <w:rPr>
                <w:sz w:val="17"/>
                <w:szCs w:val="17"/>
                <w:color w:val="auto"/>
              </w:rPr>
            </w:pPr>
          </w:p>
        </w:tc>
        <w:tc>
          <w:tcPr>
            <w:tcW w:w="340" w:type="dxa"/>
            <w:vAlign w:val="bottom"/>
            <w:tcBorders>
              <w:top w:val="single" w:sz="8" w:color="939598"/>
            </w:tcBorders>
            <w:shd w:val="clear" w:color="auto" w:fill="F3F3F4"/>
          </w:tcPr>
          <w:p>
            <w:pPr>
              <w:spacing w:after="0"/>
              <w:rPr>
                <w:sz w:val="17"/>
                <w:szCs w:val="17"/>
                <w:color w:val="auto"/>
              </w:rPr>
            </w:pPr>
          </w:p>
        </w:tc>
        <w:tc>
          <w:tcPr>
            <w:tcW w:w="1240" w:type="dxa"/>
            <w:vAlign w:val="bottom"/>
            <w:tcBorders>
              <w:top w:val="single" w:sz="8" w:color="939598"/>
            </w:tcBorders>
            <w:shd w:val="clear" w:color="auto" w:fill="F3F3F4"/>
          </w:tcPr>
          <w:p>
            <w:pPr>
              <w:spacing w:after="0"/>
              <w:rPr>
                <w:sz w:val="17"/>
                <w:szCs w:val="17"/>
                <w:color w:val="auto"/>
              </w:rPr>
            </w:pPr>
          </w:p>
        </w:tc>
        <w:tc>
          <w:tcPr>
            <w:tcW w:w="60" w:type="dxa"/>
            <w:vAlign w:val="bottom"/>
            <w:tcBorders>
              <w:top w:val="single" w:sz="8" w:color="939598"/>
            </w:tcBorders>
            <w:shd w:val="clear" w:color="auto" w:fill="F3F3F4"/>
          </w:tcPr>
          <w:p>
            <w:pPr>
              <w:spacing w:after="0"/>
              <w:rPr>
                <w:sz w:val="17"/>
                <w:szCs w:val="17"/>
                <w:color w:val="auto"/>
              </w:rPr>
            </w:pPr>
          </w:p>
        </w:tc>
        <w:tc>
          <w:tcPr>
            <w:tcW w:w="1380" w:type="dxa"/>
            <w:vAlign w:val="bottom"/>
            <w:tcBorders>
              <w:top w:val="single" w:sz="8" w:color="939598"/>
            </w:tcBorders>
            <w:shd w:val="clear" w:color="auto" w:fill="F3F3F4"/>
          </w:tcPr>
          <w:p>
            <w:pPr>
              <w:spacing w:after="0"/>
              <w:rPr>
                <w:sz w:val="17"/>
                <w:szCs w:val="17"/>
                <w:color w:val="auto"/>
              </w:rPr>
            </w:pPr>
          </w:p>
        </w:tc>
        <w:tc>
          <w:tcPr>
            <w:tcW w:w="1140" w:type="dxa"/>
            <w:vAlign w:val="bottom"/>
            <w:tcBorders>
              <w:top w:val="single" w:sz="8" w:color="939598"/>
            </w:tcBorders>
            <w:shd w:val="clear" w:color="auto" w:fill="F3F3F4"/>
          </w:tcPr>
          <w:p>
            <w:pPr>
              <w:spacing w:after="0"/>
              <w:rPr>
                <w:sz w:val="17"/>
                <w:szCs w:val="17"/>
                <w:color w:val="auto"/>
              </w:rPr>
            </w:pPr>
          </w:p>
        </w:tc>
        <w:tc>
          <w:tcPr>
            <w:tcW w:w="1440" w:type="dxa"/>
            <w:vAlign w:val="bottom"/>
            <w:tcBorders>
              <w:top w:val="single" w:sz="8" w:color="939598"/>
            </w:tcBorders>
            <w:shd w:val="clear" w:color="auto" w:fill="F3F3F4"/>
          </w:tcPr>
          <w:p>
            <w:pPr>
              <w:spacing w:after="0"/>
              <w:rPr>
                <w:sz w:val="17"/>
                <w:szCs w:val="17"/>
                <w:color w:val="auto"/>
              </w:rPr>
            </w:pPr>
          </w:p>
        </w:tc>
        <w:tc>
          <w:tcPr>
            <w:tcW w:w="2020" w:type="dxa"/>
            <w:vAlign w:val="bottom"/>
            <w:tcBorders>
              <w:top w:val="single" w:sz="8" w:color="939598"/>
            </w:tcBorders>
            <w:shd w:val="clear" w:color="auto" w:fill="F3F3F4"/>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38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Operating Activities (millions)</w:t>
            </w:r>
          </w:p>
        </w:tc>
        <w:tc>
          <w:tcPr>
            <w:tcW w:w="1240" w:type="dxa"/>
            <w:vAlign w:val="bottom"/>
            <w:tcBorders>
              <w:bottom w:val="single" w:sz="8" w:color="F3F3F4"/>
            </w:tcBorders>
            <w:shd w:val="clear" w:color="auto" w:fill="F3F3F4"/>
          </w:tcPr>
          <w:p>
            <w:pPr>
              <w:spacing w:after="0"/>
              <w:rPr>
                <w:sz w:val="19"/>
                <w:szCs w:val="19"/>
                <w:color w:val="auto"/>
              </w:rPr>
            </w:pPr>
          </w:p>
        </w:tc>
        <w:tc>
          <w:tcPr>
            <w:tcW w:w="3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30%</w:t>
            </w:r>
          </w:p>
        </w:tc>
        <w:tc>
          <w:tcPr>
            <w:tcW w:w="1300" w:type="dxa"/>
            <w:vAlign w:val="bottom"/>
            <w:tcBorders>
              <w:bottom w:val="single" w:sz="8" w:color="F3F3F4"/>
            </w:tcBorders>
            <w:gridSpan w:val="2"/>
            <w:shd w:val="clear" w:color="auto" w:fill="F3F3F4"/>
          </w:tcPr>
          <w:p>
            <w:pPr>
              <w:jc w:val="right"/>
              <w:ind w:right="60"/>
              <w:spacing w:after="0"/>
              <w:rPr>
                <w:sz w:val="20"/>
                <w:szCs w:val="20"/>
                <w:color w:val="auto"/>
              </w:rPr>
            </w:pPr>
            <w:r>
              <w:rPr>
                <w:rFonts w:ascii="Arial" w:cs="Arial" w:eastAsia="Arial" w:hAnsi="Arial"/>
                <w:sz w:val="13"/>
                <w:szCs w:val="13"/>
                <w:color w:val="auto"/>
              </w:rPr>
              <w:t>120.3</w:t>
            </w:r>
          </w:p>
        </w:tc>
        <w:tc>
          <w:tcPr>
            <w:tcW w:w="1380" w:type="dxa"/>
            <w:vAlign w:val="bottom"/>
            <w:tcBorders>
              <w:bottom w:val="single" w:sz="8" w:color="F3F3F4"/>
            </w:tcBorders>
            <w:shd w:val="clear" w:color="auto" w:fill="F3F3F4"/>
          </w:tcPr>
          <w:p>
            <w:pPr>
              <w:jc w:val="right"/>
              <w:ind w:right="156"/>
              <w:spacing w:after="0"/>
              <w:rPr>
                <w:sz w:val="20"/>
                <w:szCs w:val="20"/>
                <w:color w:val="auto"/>
              </w:rPr>
            </w:pPr>
            <w:r>
              <w:rPr>
                <w:rFonts w:ascii="Arial" w:cs="Arial" w:eastAsia="Arial" w:hAnsi="Arial"/>
                <w:sz w:val="13"/>
                <w:szCs w:val="13"/>
                <w:color w:val="auto"/>
              </w:rPr>
              <w:t>141.5</w:t>
            </w:r>
          </w:p>
        </w:tc>
        <w:tc>
          <w:tcPr>
            <w:tcW w:w="11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162.7</w:t>
            </w:r>
          </w:p>
        </w:tc>
        <w:tc>
          <w:tcPr>
            <w:tcW w:w="1440" w:type="dxa"/>
            <w:vAlign w:val="bottom"/>
            <w:tcBorders>
              <w:bottom w:val="single" w:sz="8" w:color="F3F3F4"/>
            </w:tcBorders>
            <w:shd w:val="clear" w:color="auto" w:fill="F3F3F4"/>
          </w:tcPr>
          <w:p>
            <w:pPr>
              <w:jc w:val="right"/>
              <w:ind w:right="157"/>
              <w:spacing w:after="0"/>
              <w:rPr>
                <w:sz w:val="20"/>
                <w:szCs w:val="20"/>
                <w:color w:val="auto"/>
              </w:rPr>
            </w:pPr>
            <w:r>
              <w:rPr>
                <w:rFonts w:ascii="Arial" w:cs="Arial" w:eastAsia="Arial" w:hAnsi="Arial"/>
                <w:sz w:val="13"/>
                <w:szCs w:val="13"/>
                <w:color w:val="auto"/>
              </w:rPr>
              <w:t>132.3</w:t>
            </w:r>
          </w:p>
        </w:tc>
        <w:tc>
          <w:tcPr>
            <w:tcW w:w="2020" w:type="dxa"/>
            <w:vAlign w:val="bottom"/>
            <w:tcBorders>
              <w:bottom w:val="single" w:sz="8" w:color="F3F3F4"/>
            </w:tcBorders>
            <w:shd w:val="clear" w:color="auto" w:fill="F3F3F4"/>
          </w:tcPr>
          <w:p>
            <w:pPr>
              <w:jc w:val="right"/>
              <w:ind w:right="76"/>
              <w:spacing w:after="0"/>
              <w:rPr>
                <w:sz w:val="20"/>
                <w:szCs w:val="20"/>
                <w:color w:val="auto"/>
              </w:rPr>
            </w:pPr>
            <w:r>
              <w:rPr>
                <w:rFonts w:ascii="Arial" w:cs="Arial" w:eastAsia="Arial" w:hAnsi="Arial"/>
                <w:sz w:val="13"/>
                <w:szCs w:val="13"/>
                <w:color w:val="auto"/>
              </w:rPr>
              <w:t>69.76%</w:t>
            </w:r>
          </w:p>
        </w:tc>
        <w:tc>
          <w:tcPr>
            <w:tcW w:w="0" w:type="dxa"/>
            <w:vAlign w:val="bottom"/>
          </w:tcPr>
          <w:p>
            <w:pPr>
              <w:spacing w:after="0"/>
              <w:rPr>
                <w:sz w:val="1"/>
                <w:szCs w:val="1"/>
                <w:color w:val="auto"/>
              </w:rPr>
            </w:pPr>
          </w:p>
        </w:tc>
      </w:tr>
      <w:tr>
        <w:trPr>
          <w:trHeight w:val="198"/>
        </w:trPr>
        <w:tc>
          <w:tcPr>
            <w:tcW w:w="238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 of Target Earned at Each</w:t>
            </w:r>
          </w:p>
        </w:tc>
        <w:tc>
          <w:tcPr>
            <w:tcW w:w="1240" w:type="dxa"/>
            <w:vAlign w:val="bottom"/>
            <w:tcBorders>
              <w:top w:val="single" w:sz="8" w:color="939598"/>
            </w:tcBorders>
            <w:shd w:val="clear" w:color="auto" w:fill="F3F3F4"/>
          </w:tcPr>
          <w:p>
            <w:pPr>
              <w:spacing w:after="0"/>
              <w:rPr>
                <w:sz w:val="17"/>
                <w:szCs w:val="17"/>
                <w:color w:val="auto"/>
              </w:rPr>
            </w:pPr>
          </w:p>
        </w:tc>
        <w:tc>
          <w:tcPr>
            <w:tcW w:w="340" w:type="dxa"/>
            <w:vAlign w:val="bottom"/>
            <w:tcBorders>
              <w:top w:val="single" w:sz="8" w:color="939598"/>
            </w:tcBorders>
            <w:shd w:val="clear" w:color="auto" w:fill="F3F3F4"/>
          </w:tcPr>
          <w:p>
            <w:pPr>
              <w:spacing w:after="0"/>
              <w:rPr>
                <w:sz w:val="17"/>
                <w:szCs w:val="17"/>
                <w:color w:val="auto"/>
              </w:rPr>
            </w:pPr>
          </w:p>
        </w:tc>
        <w:tc>
          <w:tcPr>
            <w:tcW w:w="1240" w:type="dxa"/>
            <w:vAlign w:val="bottom"/>
            <w:tcBorders>
              <w:top w:val="single" w:sz="8" w:color="939598"/>
            </w:tcBorders>
            <w:vMerge w:val="restart"/>
            <w:shd w:val="clear" w:color="auto" w:fill="F3F3F4"/>
          </w:tcPr>
          <w:p>
            <w:pPr>
              <w:jc w:val="right"/>
              <w:spacing w:after="0"/>
              <w:rPr>
                <w:sz w:val="20"/>
                <w:szCs w:val="20"/>
                <w:color w:val="auto"/>
              </w:rPr>
            </w:pPr>
            <w:r>
              <w:rPr>
                <w:rFonts w:ascii="Arial" w:cs="Arial" w:eastAsia="Arial" w:hAnsi="Arial"/>
                <w:sz w:val="13"/>
                <w:szCs w:val="13"/>
                <w:color w:val="auto"/>
              </w:rPr>
              <w:t>30%</w:t>
            </w:r>
            <w:r>
              <w:rPr>
                <w:rFonts w:ascii="Arial" w:cs="Arial" w:eastAsia="Arial" w:hAnsi="Arial"/>
                <w:sz w:val="22"/>
                <w:szCs w:val="22"/>
                <w:color w:val="auto"/>
                <w:vertAlign w:val="superscript"/>
              </w:rPr>
              <w:t>1</w:t>
            </w:r>
          </w:p>
        </w:tc>
        <w:tc>
          <w:tcPr>
            <w:tcW w:w="60" w:type="dxa"/>
            <w:vAlign w:val="bottom"/>
            <w:tcBorders>
              <w:top w:val="single" w:sz="8" w:color="939598"/>
            </w:tcBorders>
            <w:shd w:val="clear" w:color="auto" w:fill="F3F3F4"/>
          </w:tcPr>
          <w:p>
            <w:pPr>
              <w:spacing w:after="0"/>
              <w:rPr>
                <w:sz w:val="17"/>
                <w:szCs w:val="17"/>
                <w:color w:val="auto"/>
              </w:rPr>
            </w:pPr>
          </w:p>
        </w:tc>
        <w:tc>
          <w:tcPr>
            <w:tcW w:w="1380" w:type="dxa"/>
            <w:vAlign w:val="bottom"/>
            <w:tcBorders>
              <w:top w:val="single" w:sz="8" w:color="939598"/>
            </w:tcBorders>
            <w:shd w:val="clear" w:color="auto" w:fill="F3F3F4"/>
          </w:tcPr>
          <w:p>
            <w:pPr>
              <w:spacing w:after="0"/>
              <w:rPr>
                <w:sz w:val="17"/>
                <w:szCs w:val="17"/>
                <w:color w:val="auto"/>
              </w:rPr>
            </w:pPr>
          </w:p>
        </w:tc>
        <w:tc>
          <w:tcPr>
            <w:tcW w:w="1140" w:type="dxa"/>
            <w:vAlign w:val="bottom"/>
            <w:tcBorders>
              <w:top w:val="single" w:sz="8" w:color="939598"/>
            </w:tcBorders>
            <w:shd w:val="clear" w:color="auto" w:fill="F3F3F4"/>
          </w:tcPr>
          <w:p>
            <w:pPr>
              <w:spacing w:after="0"/>
              <w:rPr>
                <w:sz w:val="17"/>
                <w:szCs w:val="17"/>
                <w:color w:val="auto"/>
              </w:rPr>
            </w:pPr>
          </w:p>
        </w:tc>
        <w:tc>
          <w:tcPr>
            <w:tcW w:w="1440" w:type="dxa"/>
            <w:vAlign w:val="bottom"/>
            <w:tcBorders>
              <w:top w:val="single" w:sz="8" w:color="939598"/>
            </w:tcBorders>
            <w:shd w:val="clear" w:color="auto" w:fill="F3F3F4"/>
          </w:tcPr>
          <w:p>
            <w:pPr>
              <w:spacing w:after="0"/>
              <w:rPr>
                <w:sz w:val="17"/>
                <w:szCs w:val="17"/>
                <w:color w:val="auto"/>
              </w:rPr>
            </w:pPr>
          </w:p>
        </w:tc>
        <w:tc>
          <w:tcPr>
            <w:tcW w:w="2020" w:type="dxa"/>
            <w:vAlign w:val="bottom"/>
            <w:tcBorders>
              <w:top w:val="single" w:sz="8" w:color="939598"/>
            </w:tcBorders>
            <w:shd w:val="clear" w:color="auto" w:fill="F3F3F4"/>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80" w:type="dxa"/>
            <w:vAlign w:val="bottom"/>
            <w:tcBorders>
              <w:bottom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Benchmark</w:t>
            </w:r>
          </w:p>
        </w:tc>
        <w:tc>
          <w:tcPr>
            <w:tcW w:w="1240" w:type="dxa"/>
            <w:vAlign w:val="bottom"/>
            <w:tcBorders>
              <w:bottom w:val="single" w:sz="8" w:color="939598"/>
            </w:tcBorders>
            <w:shd w:val="clear" w:color="auto" w:fill="F3F3F4"/>
          </w:tcPr>
          <w:p>
            <w:pPr>
              <w:spacing w:after="0"/>
              <w:rPr>
                <w:sz w:val="19"/>
                <w:szCs w:val="19"/>
                <w:color w:val="auto"/>
              </w:rPr>
            </w:pPr>
          </w:p>
        </w:tc>
        <w:tc>
          <w:tcPr>
            <w:tcW w:w="340" w:type="dxa"/>
            <w:vAlign w:val="bottom"/>
            <w:tcBorders>
              <w:bottom w:val="single" w:sz="8" w:color="939598"/>
            </w:tcBorders>
            <w:shd w:val="clear" w:color="auto" w:fill="F3F3F4"/>
          </w:tcPr>
          <w:p>
            <w:pPr>
              <w:spacing w:after="0"/>
              <w:rPr>
                <w:sz w:val="19"/>
                <w:szCs w:val="19"/>
                <w:color w:val="auto"/>
              </w:rPr>
            </w:pPr>
          </w:p>
        </w:tc>
        <w:tc>
          <w:tcPr>
            <w:tcW w:w="1240" w:type="dxa"/>
            <w:vAlign w:val="bottom"/>
            <w:tcBorders>
              <w:bottom w:val="single" w:sz="8" w:color="939598"/>
            </w:tcBorders>
            <w:vMerge w:val="continue"/>
            <w:shd w:val="clear" w:color="auto" w:fill="F3F3F4"/>
          </w:tcPr>
          <w:p>
            <w:pPr>
              <w:spacing w:after="0"/>
              <w:rPr>
                <w:sz w:val="19"/>
                <w:szCs w:val="19"/>
                <w:color w:val="auto"/>
              </w:rPr>
            </w:pPr>
          </w:p>
        </w:tc>
        <w:tc>
          <w:tcPr>
            <w:tcW w:w="60" w:type="dxa"/>
            <w:vAlign w:val="bottom"/>
            <w:tcBorders>
              <w:bottom w:val="single" w:sz="8" w:color="939598"/>
            </w:tcBorders>
            <w:shd w:val="clear" w:color="auto" w:fill="F3F3F4"/>
          </w:tcPr>
          <w:p>
            <w:pPr>
              <w:spacing w:after="0"/>
              <w:rPr>
                <w:sz w:val="19"/>
                <w:szCs w:val="19"/>
                <w:color w:val="auto"/>
              </w:rPr>
            </w:pPr>
          </w:p>
        </w:tc>
        <w:tc>
          <w:tcPr>
            <w:tcW w:w="1380" w:type="dxa"/>
            <w:vAlign w:val="bottom"/>
            <w:tcBorders>
              <w:bottom w:val="single" w:sz="8" w:color="939598"/>
            </w:tcBorders>
            <w:shd w:val="clear" w:color="auto" w:fill="F3F3F4"/>
          </w:tcPr>
          <w:p>
            <w:pPr>
              <w:jc w:val="right"/>
              <w:ind w:right="156"/>
              <w:spacing w:after="0"/>
              <w:rPr>
                <w:sz w:val="20"/>
                <w:szCs w:val="20"/>
                <w:color w:val="auto"/>
              </w:rPr>
            </w:pPr>
            <w:r>
              <w:rPr>
                <w:rFonts w:ascii="Arial" w:cs="Arial" w:eastAsia="Arial" w:hAnsi="Arial"/>
                <w:sz w:val="13"/>
                <w:szCs w:val="13"/>
                <w:color w:val="auto"/>
              </w:rPr>
              <w:t>100%</w:t>
            </w:r>
          </w:p>
        </w:tc>
        <w:tc>
          <w:tcPr>
            <w:tcW w:w="1140" w:type="dxa"/>
            <w:vAlign w:val="bottom"/>
            <w:tcBorders>
              <w:bottom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200%</w:t>
            </w:r>
          </w:p>
        </w:tc>
        <w:tc>
          <w:tcPr>
            <w:tcW w:w="1440" w:type="dxa"/>
            <w:vAlign w:val="bottom"/>
            <w:tcBorders>
              <w:bottom w:val="single" w:sz="8" w:color="939598"/>
            </w:tcBorders>
            <w:shd w:val="clear" w:color="auto" w:fill="F3F3F4"/>
          </w:tcPr>
          <w:p>
            <w:pPr>
              <w:spacing w:after="0"/>
              <w:rPr>
                <w:sz w:val="19"/>
                <w:szCs w:val="19"/>
                <w:color w:val="auto"/>
              </w:rPr>
            </w:pPr>
          </w:p>
        </w:tc>
        <w:tc>
          <w:tcPr>
            <w:tcW w:w="2020" w:type="dxa"/>
            <w:vAlign w:val="bottom"/>
            <w:tcBorders>
              <w:bottom w:val="single" w:sz="8" w:color="939598"/>
            </w:tcBorders>
            <w:shd w:val="clear" w:color="auto" w:fill="F3F3F4"/>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8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Weighted % of Total Target Earned</w:t>
            </w:r>
          </w:p>
        </w:tc>
        <w:tc>
          <w:tcPr>
            <w:tcW w:w="1240" w:type="dxa"/>
            <w:vAlign w:val="bottom"/>
            <w:tcBorders>
              <w:bottom w:val="single" w:sz="8" w:color="F3F3F4"/>
            </w:tcBorders>
            <w:shd w:val="clear" w:color="auto" w:fill="F3F3F4"/>
          </w:tcPr>
          <w:p>
            <w:pPr>
              <w:spacing w:after="0"/>
              <w:rPr>
                <w:sz w:val="21"/>
                <w:szCs w:val="21"/>
                <w:color w:val="auto"/>
              </w:rPr>
            </w:pPr>
          </w:p>
        </w:tc>
        <w:tc>
          <w:tcPr>
            <w:tcW w:w="340" w:type="dxa"/>
            <w:vAlign w:val="bottom"/>
            <w:tcBorders>
              <w:bottom w:val="single" w:sz="8" w:color="F3F3F4"/>
            </w:tcBorders>
            <w:shd w:val="clear" w:color="auto" w:fill="F3F3F4"/>
          </w:tcPr>
          <w:p>
            <w:pPr>
              <w:spacing w:after="0"/>
              <w:rPr>
                <w:sz w:val="21"/>
                <w:szCs w:val="21"/>
                <w:color w:val="auto"/>
              </w:rPr>
            </w:pPr>
          </w:p>
        </w:tc>
        <w:tc>
          <w:tcPr>
            <w:tcW w:w="1240" w:type="dxa"/>
            <w:vAlign w:val="bottom"/>
            <w:tcBorders>
              <w:bottom w:val="single" w:sz="8" w:color="F3F3F4"/>
            </w:tcBorders>
            <w:shd w:val="clear" w:color="auto" w:fill="F3F3F4"/>
          </w:tcPr>
          <w:p>
            <w:pPr>
              <w:spacing w:after="0"/>
              <w:rPr>
                <w:sz w:val="21"/>
                <w:szCs w:val="21"/>
                <w:color w:val="auto"/>
              </w:rPr>
            </w:pPr>
          </w:p>
        </w:tc>
        <w:tc>
          <w:tcPr>
            <w:tcW w:w="60" w:type="dxa"/>
            <w:vAlign w:val="bottom"/>
            <w:tcBorders>
              <w:bottom w:val="single" w:sz="8" w:color="F3F3F4"/>
            </w:tcBorders>
            <w:shd w:val="clear" w:color="auto" w:fill="F3F3F4"/>
          </w:tcPr>
          <w:p>
            <w:pPr>
              <w:spacing w:after="0"/>
              <w:rPr>
                <w:sz w:val="21"/>
                <w:szCs w:val="21"/>
                <w:color w:val="auto"/>
              </w:rPr>
            </w:pPr>
          </w:p>
        </w:tc>
        <w:tc>
          <w:tcPr>
            <w:tcW w:w="1380" w:type="dxa"/>
            <w:vAlign w:val="bottom"/>
            <w:tcBorders>
              <w:bottom w:val="single" w:sz="8" w:color="F3F3F4"/>
            </w:tcBorders>
            <w:shd w:val="clear" w:color="auto" w:fill="F3F3F4"/>
          </w:tcPr>
          <w:p>
            <w:pPr>
              <w:spacing w:after="0"/>
              <w:rPr>
                <w:sz w:val="21"/>
                <w:szCs w:val="21"/>
                <w:color w:val="auto"/>
              </w:rPr>
            </w:pPr>
          </w:p>
        </w:tc>
        <w:tc>
          <w:tcPr>
            <w:tcW w:w="1140" w:type="dxa"/>
            <w:vAlign w:val="bottom"/>
            <w:tcBorders>
              <w:bottom w:val="single" w:sz="8" w:color="F3F3F4"/>
            </w:tcBorders>
            <w:shd w:val="clear" w:color="auto" w:fill="F3F3F4"/>
          </w:tcPr>
          <w:p>
            <w:pPr>
              <w:spacing w:after="0"/>
              <w:rPr>
                <w:sz w:val="21"/>
                <w:szCs w:val="21"/>
                <w:color w:val="auto"/>
              </w:rPr>
            </w:pPr>
          </w:p>
        </w:tc>
        <w:tc>
          <w:tcPr>
            <w:tcW w:w="1440" w:type="dxa"/>
            <w:vAlign w:val="bottom"/>
            <w:tcBorders>
              <w:bottom w:val="single" w:sz="8" w:color="F3F3F4"/>
            </w:tcBorders>
            <w:shd w:val="clear" w:color="auto" w:fill="F3F3F4"/>
          </w:tcPr>
          <w:p>
            <w:pPr>
              <w:spacing w:after="0"/>
              <w:rPr>
                <w:sz w:val="21"/>
                <w:szCs w:val="21"/>
                <w:color w:val="auto"/>
              </w:rPr>
            </w:pPr>
          </w:p>
        </w:tc>
        <w:tc>
          <w:tcPr>
            <w:tcW w:w="2020" w:type="dxa"/>
            <w:vAlign w:val="bottom"/>
            <w:tcBorders>
              <w:bottom w:val="single" w:sz="8" w:color="F3F3F4"/>
            </w:tcBorders>
            <w:shd w:val="clear" w:color="auto" w:fill="F3F3F4"/>
          </w:tcPr>
          <w:p>
            <w:pPr>
              <w:jc w:val="right"/>
              <w:ind w:right="76"/>
              <w:spacing w:after="0"/>
              <w:rPr>
                <w:sz w:val="20"/>
                <w:szCs w:val="20"/>
                <w:color w:val="auto"/>
              </w:rPr>
            </w:pPr>
            <w:r>
              <w:rPr>
                <w:rFonts w:ascii="Arial" w:cs="Arial" w:eastAsia="Arial" w:hAnsi="Arial"/>
                <w:sz w:val="13"/>
                <w:szCs w:val="13"/>
                <w:color w:val="auto"/>
              </w:rPr>
              <w:t>89.38%</w:t>
            </w:r>
          </w:p>
        </w:tc>
        <w:tc>
          <w:tcPr>
            <w:tcW w:w="0" w:type="dxa"/>
            <w:vAlign w:val="bottom"/>
          </w:tcPr>
          <w:p>
            <w:pPr>
              <w:spacing w:after="0"/>
              <w:rPr>
                <w:sz w:val="1"/>
                <w:szCs w:val="1"/>
                <w:color w:val="auto"/>
              </w:rPr>
            </w:pPr>
          </w:p>
        </w:tc>
      </w:tr>
      <w:tr>
        <w:trPr>
          <w:trHeight w:val="20"/>
        </w:trPr>
        <w:tc>
          <w:tcPr>
            <w:tcW w:w="2380" w:type="dxa"/>
            <w:vAlign w:val="bottom"/>
            <w:shd w:val="clear" w:color="auto" w:fill="939598"/>
          </w:tcPr>
          <w:p>
            <w:pPr>
              <w:spacing w:after="0" w:line="20" w:lineRule="exact"/>
              <w:rPr>
                <w:sz w:val="1"/>
                <w:szCs w:val="1"/>
                <w:color w:val="auto"/>
              </w:rPr>
            </w:pPr>
          </w:p>
        </w:tc>
        <w:tc>
          <w:tcPr>
            <w:tcW w:w="1240" w:type="dxa"/>
            <w:vAlign w:val="bottom"/>
            <w:shd w:val="clear" w:color="auto" w:fill="939598"/>
          </w:tcPr>
          <w:p>
            <w:pPr>
              <w:spacing w:after="0" w:line="20" w:lineRule="exact"/>
              <w:rPr>
                <w:sz w:val="1"/>
                <w:szCs w:val="1"/>
                <w:color w:val="auto"/>
              </w:rPr>
            </w:pPr>
          </w:p>
        </w:tc>
        <w:tc>
          <w:tcPr>
            <w:tcW w:w="340" w:type="dxa"/>
            <w:vAlign w:val="bottom"/>
            <w:shd w:val="clear" w:color="auto" w:fill="939598"/>
          </w:tcPr>
          <w:p>
            <w:pPr>
              <w:spacing w:after="0" w:line="20" w:lineRule="exact"/>
              <w:rPr>
                <w:sz w:val="1"/>
                <w:szCs w:val="1"/>
                <w:color w:val="auto"/>
              </w:rPr>
            </w:pPr>
          </w:p>
        </w:tc>
        <w:tc>
          <w:tcPr>
            <w:tcW w:w="1240" w:type="dxa"/>
            <w:vAlign w:val="bottom"/>
            <w:shd w:val="clear" w:color="auto" w:fill="939598"/>
          </w:tcPr>
          <w:p>
            <w:pPr>
              <w:spacing w:after="0" w:line="20" w:lineRule="exact"/>
              <w:rPr>
                <w:sz w:val="1"/>
                <w:szCs w:val="1"/>
                <w:color w:val="auto"/>
              </w:rPr>
            </w:pPr>
          </w:p>
        </w:tc>
        <w:tc>
          <w:tcPr>
            <w:tcW w:w="60" w:type="dxa"/>
            <w:vAlign w:val="bottom"/>
            <w:shd w:val="clear" w:color="auto" w:fill="939598"/>
          </w:tcPr>
          <w:p>
            <w:pPr>
              <w:spacing w:after="0" w:line="20" w:lineRule="exact"/>
              <w:rPr>
                <w:sz w:val="1"/>
                <w:szCs w:val="1"/>
                <w:color w:val="auto"/>
              </w:rPr>
            </w:pPr>
          </w:p>
        </w:tc>
        <w:tc>
          <w:tcPr>
            <w:tcW w:w="1380" w:type="dxa"/>
            <w:vAlign w:val="bottom"/>
            <w:shd w:val="clear" w:color="auto" w:fill="939598"/>
          </w:tcPr>
          <w:p>
            <w:pPr>
              <w:spacing w:after="0" w:line="20" w:lineRule="exact"/>
              <w:rPr>
                <w:sz w:val="1"/>
                <w:szCs w:val="1"/>
                <w:color w:val="auto"/>
              </w:rPr>
            </w:pPr>
          </w:p>
        </w:tc>
        <w:tc>
          <w:tcPr>
            <w:tcW w:w="1140" w:type="dxa"/>
            <w:vAlign w:val="bottom"/>
            <w:shd w:val="clear" w:color="auto" w:fill="939598"/>
          </w:tcPr>
          <w:p>
            <w:pPr>
              <w:spacing w:after="0" w:line="20" w:lineRule="exact"/>
              <w:rPr>
                <w:sz w:val="1"/>
                <w:szCs w:val="1"/>
                <w:color w:val="auto"/>
              </w:rPr>
            </w:pPr>
          </w:p>
        </w:tc>
        <w:tc>
          <w:tcPr>
            <w:tcW w:w="1440" w:type="dxa"/>
            <w:vAlign w:val="bottom"/>
            <w:shd w:val="clear" w:color="auto" w:fill="939598"/>
          </w:tcPr>
          <w:p>
            <w:pPr>
              <w:spacing w:after="0" w:line="20" w:lineRule="exact"/>
              <w:rPr>
                <w:sz w:val="1"/>
                <w:szCs w:val="1"/>
                <w:color w:val="auto"/>
              </w:rPr>
            </w:pPr>
          </w:p>
        </w:tc>
        <w:tc>
          <w:tcPr>
            <w:tcW w:w="2020" w:type="dxa"/>
            <w:vAlign w:val="bottom"/>
            <w:shd w:val="clear" w:color="auto" w:fill="9395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220" w:hanging="219"/>
        <w:spacing w:after="0"/>
        <w:tabs>
          <w:tab w:leader="none" w:pos="2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If performance is below the threshold for a given metric, there is no payment for that metric.</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Summary Compensation Table on </w:t>
      </w:r>
      <w:r>
        <w:rPr>
          <w:rFonts w:ascii="Arial" w:cs="Arial" w:eastAsia="Arial" w:hAnsi="Arial"/>
          <w:sz w:val="15"/>
          <w:szCs w:val="15"/>
          <w:u w:val="single" w:color="auto"/>
          <w:color w:val="auto"/>
        </w:rPr>
        <w:t>page 36</w:t>
      </w:r>
      <w:r>
        <w:rPr>
          <w:rFonts w:ascii="Arial" w:cs="Arial" w:eastAsia="Arial" w:hAnsi="Arial"/>
          <w:sz w:val="15"/>
          <w:szCs w:val="15"/>
          <w:color w:val="auto"/>
        </w:rPr>
        <w:t xml:space="preserve"> reflects the actual payouts to the executive officers under the PCP for fiscal 2024.</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to Cash Incentive Metrics for Fiscal 2025</w:t>
      </w:r>
    </w:p>
    <w:p>
      <w:pPr>
        <w:spacing w:after="0" w:line="192"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In line with its practice in recent years, the Committee determined to allocate 100% of the executive officers’ cash incentive compensation opportunity to the PCP, and approved the following performance criteria for fiscal 2025:</w:t>
      </w:r>
    </w:p>
    <w:p>
      <w:pPr>
        <w:spacing w:after="0" w:line="132" w:lineRule="exact"/>
        <w:rPr>
          <w:sz w:val="20"/>
          <w:szCs w:val="20"/>
          <w:color w:val="auto"/>
        </w:rPr>
      </w:pPr>
    </w:p>
    <w:p>
      <w:pPr>
        <w:ind w:left="220" w:right="20" w:hanging="206"/>
        <w:spacing w:after="0" w:line="268" w:lineRule="auto"/>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“Adjusted EPS,” weighted at 70% of the total target opportunity and consisting of earnings per share excluding certain defined non-recurring gains and charges expected to be realized or incurred in fiscal 2024 (this is a non-GAAP measure); and</w:t>
      </w:r>
    </w:p>
    <w:p>
      <w:pPr>
        <w:spacing w:after="0" w:line="99" w:lineRule="exact"/>
        <w:rPr>
          <w:rFonts w:ascii="Arial" w:cs="Arial" w:eastAsia="Arial" w:hAnsi="Arial"/>
          <w:sz w:val="14"/>
          <w:szCs w:val="14"/>
          <w:color w:val="auto"/>
        </w:rPr>
      </w:pPr>
    </w:p>
    <w:p>
      <w:pPr>
        <w:ind w:left="220" w:hanging="206"/>
        <w:spacing w:after="0"/>
        <w:tabs>
          <w:tab w:leader="none" w:pos="2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“Adjusted Cash Flow from Operating Activities,” weighted at 30% of the total target opportunity (this is a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283210</wp:posOffset>
            </wp:positionV>
            <wp:extent cx="7141210"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35" w:name="page36"/>
    <w:bookmarkEnd w:id="35"/>
    <w:p>
      <w:pPr>
        <w:jc w:val="both"/>
        <w:ind w:left="20" w:right="20"/>
        <w:spacing w:after="0" w:line="282" w:lineRule="auto"/>
        <w:rPr>
          <w:sz w:val="20"/>
          <w:szCs w:val="20"/>
          <w:color w:val="auto"/>
        </w:rPr>
      </w:pPr>
      <w:r>
        <w:rPr>
          <w:rFonts w:ascii="Arial" w:cs="Arial" w:eastAsia="Arial" w:hAnsi="Arial"/>
          <w:sz w:val="15"/>
          <w:szCs w:val="15"/>
          <w:color w:val="auto"/>
        </w:rPr>
        <w:t>As in 2024, the potential cash incentive compensation for fiscal 2025 will range from 0 to 2.0 times the target opportunity for both Adjusted EPS and Adjusted Cash Flow from Operating Activities, depending on actual 2025 performance.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Long-Term Incentive Compensation</w:t>
      </w:r>
    </w:p>
    <w:p>
      <w:pPr>
        <w:spacing w:after="0" w:line="229" w:lineRule="exact"/>
        <w:rPr>
          <w:sz w:val="20"/>
          <w:szCs w:val="20"/>
          <w:color w:val="auto"/>
        </w:rPr>
      </w:pPr>
    </w:p>
    <w:p>
      <w:pPr>
        <w:jc w:val="both"/>
        <w:ind w:left="20" w:right="20"/>
        <w:spacing w:after="0" w:line="282" w:lineRule="auto"/>
        <w:rPr>
          <w:sz w:val="20"/>
          <w:szCs w:val="20"/>
          <w:color w:val="auto"/>
        </w:rPr>
      </w:pPr>
      <w:r>
        <w:rPr>
          <w:rFonts w:ascii="Arial" w:cs="Arial" w:eastAsia="Arial" w:hAnsi="Arial"/>
          <w:sz w:val="15"/>
          <w:szCs w:val="15"/>
          <w:color w:val="auto"/>
        </w:rPr>
        <w:t>The Company’s annual LTI award program consists of a combination of performance-based share unit (PSU) awards and time-vested restricted share unit (RSU) awards, with each type weighted at 50% of the total LTI opportunity. For fiscal 2024, both the PSU and RSU grants were approved in the first quarter of the fiscal year.</w:t>
      </w:r>
    </w:p>
    <w:p>
      <w:pPr>
        <w:spacing w:after="0" w:line="170" w:lineRule="exact"/>
        <w:rPr>
          <w:sz w:val="20"/>
          <w:szCs w:val="20"/>
          <w:color w:val="auto"/>
        </w:rPr>
      </w:pPr>
    </w:p>
    <w:p>
      <w:pPr>
        <w:jc w:val="both"/>
        <w:ind w:left="20" w:right="20"/>
        <w:spacing w:after="0" w:line="246" w:lineRule="auto"/>
        <w:rPr>
          <w:sz w:val="20"/>
          <w:szCs w:val="20"/>
          <w:color w:val="auto"/>
        </w:rPr>
      </w:pPr>
      <w:r>
        <w:rPr>
          <w:rFonts w:ascii="Arial" w:cs="Arial" w:eastAsia="Arial" w:hAnsi="Arial"/>
          <w:sz w:val="14"/>
          <w:szCs w:val="14"/>
          <w:color w:val="auto"/>
        </w:rPr>
        <w:t>We do not coordinate LTI grants with the release of material non-public information. Company-wide equity grants, including equity grants to our executive officers, are made at regular meetings of the Compensation Committee. We also do not grant stock options or other awards which require a payment by the recipient in order to realize the value of the award.</w:t>
      </w:r>
    </w:p>
    <w:p>
      <w:pPr>
        <w:spacing w:after="0" w:line="191"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5"/>
          <w:szCs w:val="15"/>
          <w:color w:val="auto"/>
        </w:rPr>
        <w:t>The target number of shares in each RSU and PSU award equals the Committee-approved target values divided by the average trading price of the Company’s stock over the last 15 trading days before the effective award date. The actual payout of the RSUs and PSUs will be in shares, whose value at the time of payout may be greater or less than the target values. For an award to vest, the recipient must generally be continuously employed by the Company from the award date through the vesting date.</w:t>
      </w:r>
    </w:p>
    <w:p>
      <w:pPr>
        <w:spacing w:after="0" w:line="192" w:lineRule="exact"/>
        <w:rPr>
          <w:sz w:val="20"/>
          <w:szCs w:val="20"/>
          <w:color w:val="auto"/>
        </w:rPr>
      </w:pPr>
    </w:p>
    <w:p>
      <w:pPr>
        <w:jc w:val="both"/>
        <w:ind w:left="20" w:right="20"/>
        <w:spacing w:after="0" w:line="282" w:lineRule="auto"/>
        <w:rPr>
          <w:sz w:val="20"/>
          <w:szCs w:val="20"/>
          <w:color w:val="auto"/>
        </w:rPr>
      </w:pPr>
      <w:r>
        <w:rPr>
          <w:rFonts w:ascii="Arial" w:cs="Arial" w:eastAsia="Arial" w:hAnsi="Arial"/>
          <w:sz w:val="15"/>
          <w:szCs w:val="15"/>
          <w:color w:val="auto"/>
        </w:rPr>
        <w:t>For the executive officers, the numbers of RSUs granted and the PSU threshold, target and maximum numbers of shares payable according to the performance criteria,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7"/>
              </w:rPr>
              <w:t>RSU Target</w:t>
            </w:r>
          </w:p>
        </w:tc>
        <w:tc>
          <w:tcPr>
            <w:tcW w:w="1580" w:type="dxa"/>
            <w:vAlign w:val="bottom"/>
            <w:vMerge w:val="restart"/>
          </w:tcPr>
          <w:p>
            <w:pPr>
              <w:jc w:val="right"/>
              <w:ind w:right="496"/>
              <w:spacing w:after="0"/>
              <w:rPr>
                <w:sz w:val="20"/>
                <w:szCs w:val="20"/>
                <w:color w:val="auto"/>
              </w:rPr>
            </w:pPr>
            <w:r>
              <w:rPr>
                <w:rFonts w:ascii="Arial" w:cs="Arial" w:eastAsia="Arial" w:hAnsi="Arial"/>
                <w:sz w:val="12"/>
                <w:szCs w:val="12"/>
                <w:b w:val="1"/>
                <w:bCs w:val="1"/>
                <w:color w:val="auto"/>
              </w:rPr>
              <w:t>Number of</w:t>
            </w:r>
          </w:p>
        </w:tc>
        <w:tc>
          <w:tcPr>
            <w:tcW w:w="1340" w:type="dxa"/>
            <w:vAlign w:val="bottom"/>
          </w:tcPr>
          <w:p>
            <w:pPr>
              <w:jc w:val="center"/>
              <w:ind w:right="57"/>
              <w:spacing w:after="0"/>
              <w:rPr>
                <w:sz w:val="20"/>
                <w:szCs w:val="20"/>
                <w:color w:val="auto"/>
              </w:rPr>
            </w:pPr>
            <w:r>
              <w:rPr>
                <w:rFonts w:ascii="Arial" w:cs="Arial" w:eastAsia="Arial" w:hAnsi="Arial"/>
                <w:sz w:val="12"/>
                <w:szCs w:val="12"/>
                <w:b w:val="1"/>
                <w:bCs w:val="1"/>
                <w:color w:val="auto"/>
                <w:w w:val="95"/>
              </w:rPr>
              <w:t>PSU Target</w:t>
            </w:r>
          </w:p>
        </w:tc>
        <w:tc>
          <w:tcPr>
            <w:tcW w:w="134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b w:val="1"/>
                <w:bCs w:val="1"/>
                <w:color w:val="auto"/>
                <w:w w:val="96"/>
              </w:rPr>
              <w:t>PSU Payout Potential (Shares)</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7"/>
              </w:rPr>
              <w:t>Values as of</w:t>
            </w:r>
          </w:p>
        </w:tc>
        <w:tc>
          <w:tcPr>
            <w:tcW w:w="1580" w:type="dxa"/>
            <w:vAlign w:val="bottom"/>
            <w:vMerge w:val="continue"/>
          </w:tcPr>
          <w:p>
            <w:pPr>
              <w:spacing w:after="0"/>
              <w:rPr>
                <w:sz w:val="12"/>
                <w:szCs w:val="12"/>
                <w:color w:val="auto"/>
              </w:rPr>
            </w:pPr>
          </w:p>
        </w:tc>
        <w:tc>
          <w:tcPr>
            <w:tcW w:w="1340" w:type="dxa"/>
            <w:vAlign w:val="bottom"/>
          </w:tcPr>
          <w:p>
            <w:pPr>
              <w:jc w:val="center"/>
              <w:ind w:right="77"/>
              <w:spacing w:after="0"/>
              <w:rPr>
                <w:sz w:val="20"/>
                <w:szCs w:val="20"/>
                <w:color w:val="auto"/>
              </w:rPr>
            </w:pPr>
            <w:r>
              <w:rPr>
                <w:rFonts w:ascii="Arial" w:cs="Arial" w:eastAsia="Arial" w:hAnsi="Arial"/>
                <w:sz w:val="12"/>
                <w:szCs w:val="12"/>
                <w:b w:val="1"/>
                <w:bCs w:val="1"/>
                <w:color w:val="auto"/>
                <w:w w:val="97"/>
              </w:rPr>
              <w:t>Values as of</w:t>
            </w:r>
          </w:p>
        </w:tc>
        <w:tc>
          <w:tcPr>
            <w:tcW w:w="13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Officer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Grant Date</w:t>
            </w: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2"/>
                <w:szCs w:val="12"/>
                <w:b w:val="1"/>
                <w:bCs w:val="1"/>
                <w:color w:val="auto"/>
              </w:rPr>
              <w:t>RSUs Granted</w:t>
            </w: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2"/>
                <w:szCs w:val="12"/>
                <w:b w:val="1"/>
                <w:bCs w:val="1"/>
                <w:color w:val="auto"/>
                <w:w w:val="97"/>
              </w:rPr>
              <w:t>Grant Date</w:t>
            </w:r>
          </w:p>
        </w:tc>
        <w:tc>
          <w:tcPr>
            <w:tcW w:w="1340" w:type="dxa"/>
            <w:vAlign w:val="bottom"/>
            <w:tcBorders>
              <w:bottom w:val="single" w:sz="8" w:color="auto"/>
            </w:tcBorders>
          </w:tcPr>
          <w:p>
            <w:pPr>
              <w:jc w:val="right"/>
              <w:ind w:right="95"/>
              <w:spacing w:after="0"/>
              <w:rPr>
                <w:sz w:val="20"/>
                <w:szCs w:val="20"/>
                <w:color w:val="auto"/>
              </w:rPr>
            </w:pPr>
            <w:r>
              <w:rPr>
                <w:rFonts w:ascii="Arial" w:cs="Arial" w:eastAsia="Arial" w:hAnsi="Arial"/>
                <w:sz w:val="12"/>
                <w:szCs w:val="12"/>
                <w:b w:val="1"/>
                <w:bCs w:val="1"/>
                <w:color w:val="auto"/>
              </w:rPr>
              <w:t>Threshold (50%)</w:t>
            </w:r>
          </w:p>
        </w:tc>
        <w:tc>
          <w:tcPr>
            <w:tcW w:w="1760" w:type="dxa"/>
            <w:vAlign w:val="bottom"/>
            <w:tcBorders>
              <w:bottom w:val="single" w:sz="8" w:color="auto"/>
            </w:tcBorders>
          </w:tcPr>
          <w:p>
            <w:pPr>
              <w:jc w:val="right"/>
              <w:ind w:right="456"/>
              <w:spacing w:after="0"/>
              <w:rPr>
                <w:sz w:val="20"/>
                <w:szCs w:val="20"/>
                <w:color w:val="auto"/>
              </w:rPr>
            </w:pPr>
            <w:r>
              <w:rPr>
                <w:rFonts w:ascii="Arial" w:cs="Arial" w:eastAsia="Arial" w:hAnsi="Arial"/>
                <w:sz w:val="12"/>
                <w:szCs w:val="12"/>
                <w:b w:val="1"/>
                <w:bCs w:val="1"/>
                <w:color w:val="auto"/>
              </w:rPr>
              <w:t>Target (100%)</w:t>
            </w:r>
          </w:p>
        </w:tc>
        <w:tc>
          <w:tcPr>
            <w:tcW w:w="1260" w:type="dxa"/>
            <w:vAlign w:val="bottom"/>
            <w:tcBorders>
              <w:bottom w:val="single" w:sz="8" w:color="auto"/>
            </w:tcBorders>
          </w:tcPr>
          <w:p>
            <w:pPr>
              <w:jc w:val="right"/>
              <w:ind w:right="175"/>
              <w:spacing w:after="0"/>
              <w:rPr>
                <w:sz w:val="20"/>
                <w:szCs w:val="20"/>
                <w:color w:val="auto"/>
              </w:rPr>
            </w:pPr>
            <w:r>
              <w:rPr>
                <w:rFonts w:ascii="Arial" w:cs="Arial" w:eastAsia="Arial" w:hAnsi="Arial"/>
                <w:sz w:val="12"/>
                <w:szCs w:val="12"/>
                <w:b w:val="1"/>
                <w:bCs w:val="1"/>
                <w:color w:val="auto"/>
              </w:rPr>
              <w:t>Maximum (200%)</w:t>
            </w:r>
          </w:p>
        </w:tc>
        <w:tc>
          <w:tcPr>
            <w:tcW w:w="0" w:type="dxa"/>
            <w:vAlign w:val="bottom"/>
          </w:tcPr>
          <w:p>
            <w:pPr>
              <w:spacing w:after="0"/>
              <w:rPr>
                <w:sz w:val="1"/>
                <w:szCs w:val="1"/>
                <w:color w:val="auto"/>
              </w:rPr>
            </w:pPr>
          </w:p>
        </w:tc>
      </w:tr>
      <w:tr>
        <w:trPr>
          <w:trHeight w:val="304"/>
        </w:trPr>
        <w:tc>
          <w:tcPr>
            <w:tcW w:w="2480" w:type="dxa"/>
            <w:vAlign w:val="bottom"/>
            <w:tcBorders>
              <w:bottom w:val="single" w:sz="8" w:color="F3F3F4"/>
            </w:tcBorders>
            <w:shd w:val="clear" w:color="auto" w:fill="F3F3F4"/>
          </w:tcPr>
          <w:p>
            <w:pPr>
              <w:ind w:left="80"/>
              <w:spacing w:after="0"/>
              <w:rPr>
                <w:sz w:val="20"/>
                <w:szCs w:val="20"/>
                <w:color w:val="auto"/>
              </w:rPr>
            </w:pPr>
            <w:r>
              <w:rPr>
                <w:rFonts w:ascii="Arial" w:cs="Arial" w:eastAsia="Arial" w:hAnsi="Arial"/>
                <w:sz w:val="13"/>
                <w:szCs w:val="13"/>
                <w:b w:val="1"/>
                <w:bCs w:val="1"/>
                <w:color w:val="auto"/>
              </w:rPr>
              <w:t>Bryan H. Sayler</w:t>
            </w:r>
          </w:p>
        </w:tc>
        <w:tc>
          <w:tcPr>
            <w:tcW w:w="1480" w:type="dxa"/>
            <w:vAlign w:val="bottom"/>
            <w:tcBorders>
              <w:bottom w:val="single" w:sz="8" w:color="F3F3F4"/>
            </w:tcBorders>
            <w:shd w:val="clear" w:color="auto" w:fill="F3F3F4"/>
          </w:tcPr>
          <w:p>
            <w:pPr>
              <w:jc w:val="right"/>
              <w:ind w:right="77"/>
              <w:spacing w:after="0"/>
              <w:rPr>
                <w:sz w:val="20"/>
                <w:szCs w:val="20"/>
                <w:color w:val="auto"/>
              </w:rPr>
            </w:pPr>
            <w:r>
              <w:rPr>
                <w:rFonts w:ascii="Arial" w:cs="Arial" w:eastAsia="Arial" w:hAnsi="Arial"/>
                <w:sz w:val="13"/>
                <w:szCs w:val="13"/>
                <w:color w:val="auto"/>
              </w:rPr>
              <w:t>$   755,000</w:t>
            </w:r>
          </w:p>
        </w:tc>
        <w:tc>
          <w:tcPr>
            <w:tcW w:w="1580" w:type="dxa"/>
            <w:vAlign w:val="bottom"/>
            <w:tcBorders>
              <w:bottom w:val="single" w:sz="8" w:color="F3F3F4"/>
            </w:tcBorders>
            <w:shd w:val="clear" w:color="auto" w:fill="F3F3F4"/>
          </w:tcPr>
          <w:p>
            <w:pPr>
              <w:jc w:val="right"/>
              <w:ind w:right="196"/>
              <w:spacing w:after="0"/>
              <w:rPr>
                <w:sz w:val="20"/>
                <w:szCs w:val="20"/>
                <w:color w:val="auto"/>
              </w:rPr>
            </w:pPr>
            <w:r>
              <w:rPr>
                <w:rFonts w:ascii="Arial" w:cs="Arial" w:eastAsia="Arial" w:hAnsi="Arial"/>
                <w:sz w:val="13"/>
                <w:szCs w:val="13"/>
                <w:color w:val="auto"/>
              </w:rPr>
              <w:t>7,627</w:t>
            </w:r>
          </w:p>
        </w:tc>
        <w:tc>
          <w:tcPr>
            <w:tcW w:w="1340" w:type="dxa"/>
            <w:vAlign w:val="bottom"/>
            <w:tcBorders>
              <w:bottom w:val="single" w:sz="8" w:color="F3F3F4"/>
            </w:tcBorders>
            <w:shd w:val="clear" w:color="auto" w:fill="F3F3F4"/>
          </w:tcPr>
          <w:p>
            <w:pPr>
              <w:jc w:val="right"/>
              <w:ind w:right="77"/>
              <w:spacing w:after="0"/>
              <w:rPr>
                <w:sz w:val="20"/>
                <w:szCs w:val="20"/>
                <w:color w:val="auto"/>
              </w:rPr>
            </w:pPr>
            <w:r>
              <w:rPr>
                <w:rFonts w:ascii="Arial" w:cs="Arial" w:eastAsia="Arial" w:hAnsi="Arial"/>
                <w:sz w:val="13"/>
                <w:szCs w:val="13"/>
                <w:color w:val="auto"/>
              </w:rPr>
              <w:t>$   755,000</w:t>
            </w:r>
          </w:p>
        </w:tc>
        <w:tc>
          <w:tcPr>
            <w:tcW w:w="13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3,814</w:t>
            </w:r>
          </w:p>
        </w:tc>
        <w:tc>
          <w:tcPr>
            <w:tcW w:w="1760" w:type="dxa"/>
            <w:vAlign w:val="bottom"/>
            <w:tcBorders>
              <w:bottom w:val="single" w:sz="8" w:color="F3F3F4"/>
            </w:tcBorders>
            <w:shd w:val="clear" w:color="auto" w:fill="F3F3F4"/>
          </w:tcPr>
          <w:p>
            <w:pPr>
              <w:jc w:val="right"/>
              <w:ind w:right="256"/>
              <w:spacing w:after="0"/>
              <w:rPr>
                <w:sz w:val="20"/>
                <w:szCs w:val="20"/>
                <w:color w:val="auto"/>
              </w:rPr>
            </w:pPr>
            <w:r>
              <w:rPr>
                <w:rFonts w:ascii="Arial" w:cs="Arial" w:eastAsia="Arial" w:hAnsi="Arial"/>
                <w:sz w:val="13"/>
                <w:szCs w:val="13"/>
                <w:color w:val="auto"/>
              </w:rPr>
              <w:t>7,627</w:t>
            </w:r>
          </w:p>
        </w:tc>
        <w:tc>
          <w:tcPr>
            <w:tcW w:w="1260" w:type="dxa"/>
            <w:vAlign w:val="bottom"/>
            <w:tcBorders>
              <w:bottom w:val="single" w:sz="8" w:color="F3F3F4"/>
            </w:tcBorders>
            <w:shd w:val="clear" w:color="auto" w:fill="F3F3F4"/>
          </w:tcPr>
          <w:p>
            <w:pPr>
              <w:jc w:val="right"/>
              <w:ind w:right="55"/>
              <w:spacing w:after="0"/>
              <w:rPr>
                <w:sz w:val="20"/>
                <w:szCs w:val="20"/>
                <w:color w:val="auto"/>
              </w:rPr>
            </w:pPr>
            <w:r>
              <w:rPr>
                <w:rFonts w:ascii="Arial" w:cs="Arial" w:eastAsia="Arial" w:hAnsi="Arial"/>
                <w:sz w:val="13"/>
                <w:szCs w:val="13"/>
                <w:color w:val="auto"/>
              </w:rPr>
              <w:t>15,254</w:t>
            </w:r>
          </w:p>
        </w:tc>
        <w:tc>
          <w:tcPr>
            <w:tcW w:w="0" w:type="dxa"/>
            <w:vAlign w:val="bottom"/>
          </w:tcPr>
          <w:p>
            <w:pPr>
              <w:spacing w:after="0"/>
              <w:rPr>
                <w:sz w:val="1"/>
                <w:szCs w:val="1"/>
                <w:color w:val="auto"/>
              </w:rPr>
            </w:pPr>
          </w:p>
        </w:tc>
      </w:tr>
      <w:tr>
        <w:trPr>
          <w:trHeight w:val="301"/>
        </w:trPr>
        <w:tc>
          <w:tcPr>
            <w:tcW w:w="2480" w:type="dxa"/>
            <w:vAlign w:val="bottom"/>
            <w:tcBorders>
              <w:top w:val="single" w:sz="8" w:color="939598"/>
              <w:bottom w:val="single" w:sz="8" w:color="F3F3F4"/>
            </w:tcBorders>
            <w:shd w:val="clear" w:color="auto" w:fill="F3F3F4"/>
          </w:tcPr>
          <w:p>
            <w:pPr>
              <w:ind w:left="80"/>
              <w:spacing w:after="0"/>
              <w:rPr>
                <w:sz w:val="20"/>
                <w:szCs w:val="20"/>
                <w:color w:val="auto"/>
              </w:rPr>
            </w:pPr>
            <w:r>
              <w:rPr>
                <w:rFonts w:ascii="Arial" w:cs="Arial" w:eastAsia="Arial" w:hAnsi="Arial"/>
                <w:sz w:val="13"/>
                <w:szCs w:val="13"/>
                <w:b w:val="1"/>
                <w:bCs w:val="1"/>
                <w:color w:val="auto"/>
              </w:rPr>
              <w:t>Christopher L. Tucker</w:t>
            </w:r>
          </w:p>
        </w:tc>
        <w:tc>
          <w:tcPr>
            <w:tcW w:w="1480" w:type="dxa"/>
            <w:vAlign w:val="bottom"/>
            <w:tcBorders>
              <w:top w:val="single" w:sz="8" w:color="939598"/>
              <w:bottom w:val="single" w:sz="8" w:color="F3F3F4"/>
            </w:tcBorders>
            <w:shd w:val="clear" w:color="auto" w:fill="F3F3F4"/>
          </w:tcPr>
          <w:p>
            <w:pPr>
              <w:jc w:val="right"/>
              <w:ind w:right="77"/>
              <w:spacing w:after="0"/>
              <w:rPr>
                <w:sz w:val="20"/>
                <w:szCs w:val="20"/>
                <w:color w:val="auto"/>
              </w:rPr>
            </w:pPr>
            <w:r>
              <w:rPr>
                <w:rFonts w:ascii="Arial" w:cs="Arial" w:eastAsia="Arial" w:hAnsi="Arial"/>
                <w:sz w:val="13"/>
                <w:szCs w:val="13"/>
                <w:color w:val="auto"/>
              </w:rPr>
              <w:t>299,250</w:t>
            </w:r>
          </w:p>
        </w:tc>
        <w:tc>
          <w:tcPr>
            <w:tcW w:w="1580" w:type="dxa"/>
            <w:vAlign w:val="bottom"/>
            <w:tcBorders>
              <w:top w:val="single" w:sz="8" w:color="939598"/>
              <w:bottom w:val="single" w:sz="8" w:color="F3F3F4"/>
            </w:tcBorders>
            <w:shd w:val="clear" w:color="auto" w:fill="F3F3F4"/>
          </w:tcPr>
          <w:p>
            <w:pPr>
              <w:jc w:val="right"/>
              <w:ind w:right="196"/>
              <w:spacing w:after="0"/>
              <w:rPr>
                <w:sz w:val="20"/>
                <w:szCs w:val="20"/>
                <w:color w:val="auto"/>
              </w:rPr>
            </w:pPr>
            <w:r>
              <w:rPr>
                <w:rFonts w:ascii="Arial" w:cs="Arial" w:eastAsia="Arial" w:hAnsi="Arial"/>
                <w:sz w:val="13"/>
                <w:szCs w:val="13"/>
                <w:color w:val="auto"/>
              </w:rPr>
              <w:t>3,023</w:t>
            </w:r>
          </w:p>
        </w:tc>
        <w:tc>
          <w:tcPr>
            <w:tcW w:w="1340" w:type="dxa"/>
            <w:vAlign w:val="bottom"/>
            <w:tcBorders>
              <w:top w:val="single" w:sz="8" w:color="939598"/>
              <w:bottom w:val="single" w:sz="8" w:color="F3F3F4"/>
            </w:tcBorders>
            <w:shd w:val="clear" w:color="auto" w:fill="F3F3F4"/>
          </w:tcPr>
          <w:p>
            <w:pPr>
              <w:jc w:val="right"/>
              <w:ind w:right="77"/>
              <w:spacing w:after="0"/>
              <w:rPr>
                <w:sz w:val="20"/>
                <w:szCs w:val="20"/>
                <w:color w:val="auto"/>
              </w:rPr>
            </w:pPr>
            <w:r>
              <w:rPr>
                <w:rFonts w:ascii="Arial" w:cs="Arial" w:eastAsia="Arial" w:hAnsi="Arial"/>
                <w:sz w:val="13"/>
                <w:szCs w:val="13"/>
                <w:color w:val="auto"/>
              </w:rPr>
              <w:t>299,250</w:t>
            </w:r>
          </w:p>
        </w:tc>
        <w:tc>
          <w:tcPr>
            <w:tcW w:w="134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1,512</w:t>
            </w:r>
          </w:p>
        </w:tc>
        <w:tc>
          <w:tcPr>
            <w:tcW w:w="1760" w:type="dxa"/>
            <w:vAlign w:val="bottom"/>
            <w:tcBorders>
              <w:top w:val="single" w:sz="8" w:color="939598"/>
              <w:bottom w:val="single" w:sz="8" w:color="F3F3F4"/>
            </w:tcBorders>
            <w:shd w:val="clear" w:color="auto" w:fill="F3F3F4"/>
          </w:tcPr>
          <w:p>
            <w:pPr>
              <w:jc w:val="right"/>
              <w:ind w:right="256"/>
              <w:spacing w:after="0"/>
              <w:rPr>
                <w:sz w:val="20"/>
                <w:szCs w:val="20"/>
                <w:color w:val="auto"/>
              </w:rPr>
            </w:pPr>
            <w:r>
              <w:rPr>
                <w:rFonts w:ascii="Arial" w:cs="Arial" w:eastAsia="Arial" w:hAnsi="Arial"/>
                <w:sz w:val="13"/>
                <w:szCs w:val="13"/>
                <w:color w:val="auto"/>
              </w:rPr>
              <w:t>3,023</w:t>
            </w:r>
          </w:p>
        </w:tc>
        <w:tc>
          <w:tcPr>
            <w:tcW w:w="1260" w:type="dxa"/>
            <w:vAlign w:val="bottom"/>
            <w:tcBorders>
              <w:top w:val="single" w:sz="8" w:color="939598"/>
              <w:bottom w:val="single" w:sz="8" w:color="F3F3F4"/>
            </w:tcBorders>
            <w:shd w:val="clear" w:color="auto" w:fill="F3F3F4"/>
          </w:tcPr>
          <w:p>
            <w:pPr>
              <w:jc w:val="right"/>
              <w:ind w:right="55"/>
              <w:spacing w:after="0"/>
              <w:rPr>
                <w:sz w:val="20"/>
                <w:szCs w:val="20"/>
                <w:color w:val="auto"/>
              </w:rPr>
            </w:pPr>
            <w:r>
              <w:rPr>
                <w:rFonts w:ascii="Arial" w:cs="Arial" w:eastAsia="Arial" w:hAnsi="Arial"/>
                <w:sz w:val="13"/>
                <w:szCs w:val="13"/>
                <w:color w:val="auto"/>
              </w:rPr>
              <w:t>6,046</w:t>
            </w:r>
          </w:p>
        </w:tc>
        <w:tc>
          <w:tcPr>
            <w:tcW w:w="0" w:type="dxa"/>
            <w:vAlign w:val="bottom"/>
          </w:tcPr>
          <w:p>
            <w:pPr>
              <w:spacing w:after="0"/>
              <w:rPr>
                <w:sz w:val="1"/>
                <w:szCs w:val="1"/>
                <w:color w:val="auto"/>
              </w:rPr>
            </w:pPr>
          </w:p>
        </w:tc>
      </w:tr>
      <w:tr>
        <w:trPr>
          <w:trHeight w:val="276"/>
        </w:trPr>
        <w:tc>
          <w:tcPr>
            <w:tcW w:w="2480" w:type="dxa"/>
            <w:vAlign w:val="bottom"/>
            <w:tcBorders>
              <w:top w:val="single" w:sz="8" w:color="939598"/>
              <w:bottom w:val="single" w:sz="8" w:color="F3F3F4"/>
            </w:tcBorders>
            <w:shd w:val="clear" w:color="auto" w:fill="F3F3F4"/>
          </w:tcPr>
          <w:p>
            <w:pPr>
              <w:ind w:left="80"/>
              <w:spacing w:after="0"/>
              <w:rPr>
                <w:sz w:val="20"/>
                <w:szCs w:val="20"/>
                <w:color w:val="auto"/>
              </w:rPr>
            </w:pPr>
            <w:r>
              <w:rPr>
                <w:rFonts w:ascii="Arial" w:cs="Arial" w:eastAsia="Arial" w:hAnsi="Arial"/>
                <w:sz w:val="13"/>
                <w:szCs w:val="13"/>
                <w:b w:val="1"/>
                <w:bCs w:val="1"/>
                <w:color w:val="auto"/>
              </w:rPr>
              <w:t>David M. Schatz</w:t>
            </w:r>
          </w:p>
        </w:tc>
        <w:tc>
          <w:tcPr>
            <w:tcW w:w="1480" w:type="dxa"/>
            <w:vAlign w:val="bottom"/>
            <w:tcBorders>
              <w:top w:val="single" w:sz="8" w:color="939598"/>
              <w:bottom w:val="single" w:sz="8" w:color="F3F3F4"/>
            </w:tcBorders>
            <w:shd w:val="clear" w:color="auto" w:fill="F3F3F4"/>
          </w:tcPr>
          <w:p>
            <w:pPr>
              <w:jc w:val="right"/>
              <w:ind w:right="77"/>
              <w:spacing w:after="0"/>
              <w:rPr>
                <w:sz w:val="20"/>
                <w:szCs w:val="20"/>
                <w:color w:val="auto"/>
              </w:rPr>
            </w:pPr>
            <w:r>
              <w:rPr>
                <w:rFonts w:ascii="Arial" w:cs="Arial" w:eastAsia="Arial" w:hAnsi="Arial"/>
                <w:sz w:val="13"/>
                <w:szCs w:val="13"/>
                <w:color w:val="auto"/>
              </w:rPr>
              <w:t>152,500</w:t>
            </w:r>
          </w:p>
        </w:tc>
        <w:tc>
          <w:tcPr>
            <w:tcW w:w="1580" w:type="dxa"/>
            <w:vAlign w:val="bottom"/>
            <w:tcBorders>
              <w:top w:val="single" w:sz="8" w:color="939598"/>
              <w:bottom w:val="single" w:sz="8" w:color="F3F3F4"/>
            </w:tcBorders>
            <w:shd w:val="clear" w:color="auto" w:fill="F3F3F4"/>
          </w:tcPr>
          <w:p>
            <w:pPr>
              <w:jc w:val="right"/>
              <w:ind w:right="196"/>
              <w:spacing w:after="0"/>
              <w:rPr>
                <w:sz w:val="20"/>
                <w:szCs w:val="20"/>
                <w:color w:val="auto"/>
              </w:rPr>
            </w:pPr>
            <w:r>
              <w:rPr>
                <w:rFonts w:ascii="Arial" w:cs="Arial" w:eastAsia="Arial" w:hAnsi="Arial"/>
                <w:sz w:val="13"/>
                <w:szCs w:val="13"/>
                <w:color w:val="auto"/>
              </w:rPr>
              <w:t>1,538</w:t>
            </w:r>
          </w:p>
        </w:tc>
        <w:tc>
          <w:tcPr>
            <w:tcW w:w="1340" w:type="dxa"/>
            <w:vAlign w:val="bottom"/>
            <w:tcBorders>
              <w:top w:val="single" w:sz="8" w:color="939598"/>
              <w:bottom w:val="single" w:sz="8" w:color="F3F3F4"/>
            </w:tcBorders>
            <w:shd w:val="clear" w:color="auto" w:fill="F3F3F4"/>
          </w:tcPr>
          <w:p>
            <w:pPr>
              <w:jc w:val="right"/>
              <w:ind w:right="77"/>
              <w:spacing w:after="0"/>
              <w:rPr>
                <w:sz w:val="20"/>
                <w:szCs w:val="20"/>
                <w:color w:val="auto"/>
              </w:rPr>
            </w:pPr>
            <w:r>
              <w:rPr>
                <w:rFonts w:ascii="Arial" w:cs="Arial" w:eastAsia="Arial" w:hAnsi="Arial"/>
                <w:sz w:val="13"/>
                <w:szCs w:val="13"/>
                <w:color w:val="auto"/>
              </w:rPr>
              <w:t>152,500</w:t>
            </w:r>
          </w:p>
        </w:tc>
        <w:tc>
          <w:tcPr>
            <w:tcW w:w="134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769</w:t>
            </w:r>
          </w:p>
        </w:tc>
        <w:tc>
          <w:tcPr>
            <w:tcW w:w="1760" w:type="dxa"/>
            <w:vAlign w:val="bottom"/>
            <w:tcBorders>
              <w:top w:val="single" w:sz="8" w:color="939598"/>
              <w:bottom w:val="single" w:sz="8" w:color="F3F3F4"/>
            </w:tcBorders>
            <w:shd w:val="clear" w:color="auto" w:fill="F3F3F4"/>
          </w:tcPr>
          <w:p>
            <w:pPr>
              <w:jc w:val="right"/>
              <w:ind w:right="256"/>
              <w:spacing w:after="0"/>
              <w:rPr>
                <w:sz w:val="20"/>
                <w:szCs w:val="20"/>
                <w:color w:val="auto"/>
              </w:rPr>
            </w:pPr>
            <w:r>
              <w:rPr>
                <w:rFonts w:ascii="Arial" w:cs="Arial" w:eastAsia="Arial" w:hAnsi="Arial"/>
                <w:sz w:val="13"/>
                <w:szCs w:val="13"/>
                <w:color w:val="auto"/>
              </w:rPr>
              <w:t>1,538</w:t>
            </w:r>
          </w:p>
        </w:tc>
        <w:tc>
          <w:tcPr>
            <w:tcW w:w="1260" w:type="dxa"/>
            <w:vAlign w:val="bottom"/>
            <w:tcBorders>
              <w:top w:val="single" w:sz="8" w:color="939598"/>
              <w:bottom w:val="single" w:sz="8" w:color="F3F3F4"/>
            </w:tcBorders>
            <w:shd w:val="clear" w:color="auto" w:fill="F3F3F4"/>
          </w:tcPr>
          <w:p>
            <w:pPr>
              <w:jc w:val="right"/>
              <w:ind w:right="55"/>
              <w:spacing w:after="0"/>
              <w:rPr>
                <w:sz w:val="20"/>
                <w:szCs w:val="20"/>
                <w:color w:val="auto"/>
              </w:rPr>
            </w:pPr>
            <w:r>
              <w:rPr>
                <w:rFonts w:ascii="Arial" w:cs="Arial" w:eastAsia="Arial" w:hAnsi="Arial"/>
                <w:sz w:val="13"/>
                <w:szCs w:val="13"/>
                <w:color w:val="auto"/>
              </w:rPr>
              <w:t>3,076</w:t>
            </w:r>
          </w:p>
        </w:tc>
        <w:tc>
          <w:tcPr>
            <w:tcW w:w="0" w:type="dxa"/>
            <w:vAlign w:val="bottom"/>
          </w:tcPr>
          <w:p>
            <w:pPr>
              <w:spacing w:after="0"/>
              <w:rPr>
                <w:sz w:val="1"/>
                <w:szCs w:val="1"/>
                <w:color w:val="auto"/>
              </w:rPr>
            </w:pPr>
          </w:p>
        </w:tc>
      </w:tr>
      <w:tr>
        <w:trPr>
          <w:trHeight w:val="20"/>
        </w:trPr>
        <w:tc>
          <w:tcPr>
            <w:tcW w:w="2480" w:type="dxa"/>
            <w:vAlign w:val="bottom"/>
            <w:shd w:val="clear" w:color="auto" w:fill="939598"/>
          </w:tcPr>
          <w:p>
            <w:pPr>
              <w:spacing w:after="0" w:line="20" w:lineRule="exact"/>
              <w:rPr>
                <w:sz w:val="1"/>
                <w:szCs w:val="1"/>
                <w:color w:val="auto"/>
              </w:rPr>
            </w:pPr>
          </w:p>
        </w:tc>
        <w:tc>
          <w:tcPr>
            <w:tcW w:w="1480" w:type="dxa"/>
            <w:vAlign w:val="bottom"/>
            <w:shd w:val="clear" w:color="auto" w:fill="939598"/>
          </w:tcPr>
          <w:p>
            <w:pPr>
              <w:spacing w:after="0" w:line="20" w:lineRule="exact"/>
              <w:rPr>
                <w:sz w:val="1"/>
                <w:szCs w:val="1"/>
                <w:color w:val="auto"/>
              </w:rPr>
            </w:pPr>
          </w:p>
        </w:tc>
        <w:tc>
          <w:tcPr>
            <w:tcW w:w="1580" w:type="dxa"/>
            <w:vAlign w:val="bottom"/>
            <w:shd w:val="clear" w:color="auto" w:fill="939598"/>
          </w:tcPr>
          <w:p>
            <w:pPr>
              <w:spacing w:after="0" w:line="20" w:lineRule="exact"/>
              <w:rPr>
                <w:sz w:val="1"/>
                <w:szCs w:val="1"/>
                <w:color w:val="auto"/>
              </w:rPr>
            </w:pPr>
          </w:p>
        </w:tc>
        <w:tc>
          <w:tcPr>
            <w:tcW w:w="1340" w:type="dxa"/>
            <w:vAlign w:val="bottom"/>
            <w:shd w:val="clear" w:color="auto" w:fill="939598"/>
          </w:tcPr>
          <w:p>
            <w:pPr>
              <w:spacing w:after="0" w:line="20" w:lineRule="exact"/>
              <w:rPr>
                <w:sz w:val="1"/>
                <w:szCs w:val="1"/>
                <w:color w:val="auto"/>
              </w:rPr>
            </w:pPr>
          </w:p>
        </w:tc>
        <w:tc>
          <w:tcPr>
            <w:tcW w:w="1340" w:type="dxa"/>
            <w:vAlign w:val="bottom"/>
            <w:shd w:val="clear" w:color="auto" w:fill="939598"/>
          </w:tcPr>
          <w:p>
            <w:pPr>
              <w:spacing w:after="0" w:line="20" w:lineRule="exact"/>
              <w:rPr>
                <w:sz w:val="1"/>
                <w:szCs w:val="1"/>
                <w:color w:val="auto"/>
              </w:rPr>
            </w:pPr>
          </w:p>
        </w:tc>
        <w:tc>
          <w:tcPr>
            <w:tcW w:w="1760" w:type="dxa"/>
            <w:vAlign w:val="bottom"/>
            <w:shd w:val="clear" w:color="auto" w:fill="939598"/>
          </w:tcPr>
          <w:p>
            <w:pPr>
              <w:spacing w:after="0" w:line="20" w:lineRule="exact"/>
              <w:rPr>
                <w:sz w:val="1"/>
                <w:szCs w:val="1"/>
                <w:color w:val="auto"/>
              </w:rPr>
            </w:pPr>
          </w:p>
        </w:tc>
        <w:tc>
          <w:tcPr>
            <w:tcW w:w="1260" w:type="dxa"/>
            <w:vAlign w:val="bottom"/>
            <w:shd w:val="clear" w:color="auto" w:fill="93959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Restricted Share Units (RSUs)</w:t>
      </w:r>
    </w:p>
    <w:p>
      <w:pPr>
        <w:spacing w:after="0" w:line="229" w:lineRule="exact"/>
        <w:rPr>
          <w:sz w:val="20"/>
          <w:szCs w:val="20"/>
          <w:color w:val="auto"/>
        </w:rPr>
      </w:pPr>
    </w:p>
    <w:p>
      <w:pPr>
        <w:jc w:val="both"/>
        <w:ind w:left="20" w:right="20"/>
        <w:spacing w:after="0" w:line="255" w:lineRule="auto"/>
        <w:rPr>
          <w:sz w:val="20"/>
          <w:szCs w:val="20"/>
          <w:color w:val="auto"/>
        </w:rPr>
      </w:pPr>
      <w:r>
        <w:rPr>
          <w:rFonts w:ascii="Arial" w:cs="Arial" w:eastAsia="Arial" w:hAnsi="Arial"/>
          <w:sz w:val="15"/>
          <w:szCs w:val="15"/>
          <w:color w:val="auto"/>
        </w:rPr>
        <w:t>RSUs are time-vested awards. The terms of the fiscal 2024 awards were similar to those granted in fiscal 2023, except that to better align with the Company’s fiscal year goal-setting process, and conform to the granting schedule of the PSU awards, the fiscal 2024 RSU awards were granted in the first quarter and will vest in three equal portions approximately 12, 24 and 36 months after the month in which they are granted; accordingly, for the fiscal 2024 awards, vesting will occur on the last NYSE trading days in November 2024, 2025 and 2026, at which time they will be converted into a like number of shares of Company common stock, and such shares will be paid out to the participant (after statutory tax withholdings) on the following business day.</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Performance Share Units (PSUs)</w:t>
      </w:r>
    </w:p>
    <w:p>
      <w:pPr>
        <w:spacing w:after="0" w:line="229" w:lineRule="exact"/>
        <w:rPr>
          <w:sz w:val="20"/>
          <w:szCs w:val="20"/>
          <w:color w:val="auto"/>
        </w:rPr>
      </w:pPr>
    </w:p>
    <w:p>
      <w:pPr>
        <w:jc w:val="both"/>
        <w:ind w:left="20" w:right="20"/>
        <w:spacing w:after="0" w:line="250" w:lineRule="auto"/>
        <w:rPr>
          <w:sz w:val="20"/>
          <w:szCs w:val="20"/>
          <w:color w:val="auto"/>
        </w:rPr>
      </w:pPr>
      <w:r>
        <w:rPr>
          <w:rFonts w:ascii="Arial" w:cs="Arial" w:eastAsia="Arial" w:hAnsi="Arial"/>
          <w:sz w:val="15"/>
          <w:szCs w:val="15"/>
          <w:color w:val="auto"/>
        </w:rPr>
        <w:t xml:space="preserve">Other than the specific share amounts and performance goals, the terms of the fiscal 2024 PSUs were substantially similar to those awarded for fiscal 2023, including that the awards are subject to the Company’s Clawback Policy (see </w:t>
      </w:r>
      <w:r>
        <w:rPr>
          <w:rFonts w:ascii="Arial" w:cs="Arial" w:eastAsia="Arial" w:hAnsi="Arial"/>
          <w:sz w:val="15"/>
          <w:szCs w:val="15"/>
          <w:b w:val="1"/>
          <w:bCs w:val="1"/>
          <w:i w:val="1"/>
          <w:iCs w:val="1"/>
          <w:color w:val="auto"/>
        </w:rPr>
        <w:t>Clawback Policy</w:t>
      </w:r>
      <w:r>
        <w:rPr>
          <w:rFonts w:ascii="Arial" w:cs="Arial" w:eastAsia="Arial" w:hAnsi="Arial"/>
          <w:sz w:val="15"/>
          <w:szCs w:val="15"/>
          <w:color w:val="auto"/>
        </w:rPr>
        <w:t xml:space="preserve"> on </w:t>
      </w:r>
      <w:r>
        <w:rPr>
          <w:rFonts w:ascii="Arial" w:cs="Arial" w:eastAsia="Arial" w:hAnsi="Arial"/>
          <w:sz w:val="15"/>
          <w:szCs w:val="15"/>
          <w:u w:val="single" w:color="auto"/>
          <w:color w:val="auto"/>
        </w:rPr>
        <w:t>page 35</w:t>
      </w:r>
      <w:r>
        <w:rPr>
          <w:rFonts w:ascii="Arial" w:cs="Arial" w:eastAsia="Arial" w:hAnsi="Arial"/>
          <w:sz w:val="15"/>
          <w:szCs w:val="15"/>
          <w:color w:val="auto"/>
        </w:rPr>
        <w:t>). PSUs awarded in fiscal 2024 will vest, after a three-year performance period ending with fiscal 2026, on the last trading day of the month in which the HRCC approves and certifies the extent to which the applicable performance goals have been achieved. To the extent earned, the vested awards will be converted into a number of shares of Company common stock based on achievement of the performance goals. The award distribution in shares may be less than or greater than the number of PSUs awarded depending on the degree to which the Company has achieved specified performance goals. Straight-line interpolation will be used to score between threshold, target and maximum performance levels. For the fiscal 2024 PSU awards, the Committee continued to align the performance measures with shareholders by continuing the use of EBITDA as a performance measure with a 60% weighting and Return on Invested Capital (ROIC) as a performance measure with a 40% weighting, and continuing the use of relative Total Shareholder Return (rTSR) as a potential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263525</wp:posOffset>
            </wp:positionV>
            <wp:extent cx="7141210"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6"/>
          <w:szCs w:val="16"/>
          <w:b w:val="1"/>
          <w:bCs w:val="1"/>
          <w:color w:val="auto"/>
        </w:rPr>
        <w:t>EBITDA Performance Goals – 60% of PSU award value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0" w:type="dxa"/>
            <w:vAlign w:val="bottom"/>
          </w:tcPr>
          <w:p>
            <w:pPr>
              <w:jc w:val="right"/>
              <w:ind w:right="416"/>
              <w:spacing w:after="0"/>
              <w:rPr>
                <w:sz w:val="20"/>
                <w:szCs w:val="20"/>
                <w:color w:val="auto"/>
              </w:rPr>
            </w:pPr>
            <w:r>
              <w:rPr>
                <w:rFonts w:ascii="Arial" w:cs="Arial" w:eastAsia="Arial" w:hAnsi="Arial"/>
                <w:sz w:val="12"/>
                <w:szCs w:val="12"/>
                <w:b w:val="1"/>
                <w:bCs w:val="1"/>
                <w:color w:val="auto"/>
              </w:rPr>
              <w:t>Below Threshold</w:t>
            </w:r>
          </w:p>
        </w:tc>
        <w:tc>
          <w:tcPr>
            <w:tcW w:w="1860" w:type="dxa"/>
            <w:vAlign w:val="bottom"/>
          </w:tcPr>
          <w:p>
            <w:pPr>
              <w:jc w:val="right"/>
              <w:ind w:right="776"/>
              <w:spacing w:after="0"/>
              <w:rPr>
                <w:sz w:val="20"/>
                <w:szCs w:val="20"/>
                <w:color w:val="auto"/>
              </w:rPr>
            </w:pPr>
            <w:r>
              <w:rPr>
                <w:rFonts w:ascii="Arial" w:cs="Arial" w:eastAsia="Arial" w:hAnsi="Arial"/>
                <w:sz w:val="12"/>
                <w:szCs w:val="12"/>
                <w:b w:val="1"/>
                <w:bCs w:val="1"/>
                <w:color w:val="auto"/>
              </w:rPr>
              <w:t>Threshold</w:t>
            </w:r>
          </w:p>
        </w:tc>
        <w:tc>
          <w:tcPr>
            <w:tcW w:w="1460" w:type="dxa"/>
            <w:vAlign w:val="bottom"/>
          </w:tcPr>
          <w:p>
            <w:pPr>
              <w:jc w:val="right"/>
              <w:ind w:right="656"/>
              <w:spacing w:after="0"/>
              <w:rPr>
                <w:sz w:val="20"/>
                <w:szCs w:val="20"/>
                <w:color w:val="auto"/>
              </w:rPr>
            </w:pPr>
            <w:r>
              <w:rPr>
                <w:rFonts w:ascii="Arial" w:cs="Arial" w:eastAsia="Arial" w:hAnsi="Arial"/>
                <w:sz w:val="12"/>
                <w:szCs w:val="12"/>
                <w:b w:val="1"/>
                <w:bCs w:val="1"/>
                <w:color w:val="auto"/>
              </w:rPr>
              <w:t>Target</w:t>
            </w:r>
          </w:p>
        </w:tc>
        <w:tc>
          <w:tcPr>
            <w:tcW w:w="1620" w:type="dxa"/>
            <w:vAlign w:val="bottom"/>
          </w:tcPr>
          <w:p>
            <w:pPr>
              <w:jc w:val="right"/>
              <w:ind w:right="496"/>
              <w:spacing w:after="0"/>
              <w:rPr>
                <w:sz w:val="20"/>
                <w:szCs w:val="20"/>
                <w:color w:val="auto"/>
              </w:rPr>
            </w:pPr>
            <w:r>
              <w:rPr>
                <w:rFonts w:ascii="Arial" w:cs="Arial" w:eastAsia="Arial" w:hAnsi="Arial"/>
                <w:sz w:val="12"/>
                <w:szCs w:val="12"/>
                <w:b w:val="1"/>
                <w:bCs w:val="1"/>
                <w:color w:val="auto"/>
              </w:rPr>
              <w:t>Maximum</w:t>
            </w:r>
          </w:p>
        </w:tc>
        <w:tc>
          <w:tcPr>
            <w:tcW w:w="0" w:type="dxa"/>
            <w:vAlign w:val="bottom"/>
          </w:tcPr>
          <w:p>
            <w:pPr>
              <w:spacing w:after="0"/>
              <w:rPr>
                <w:sz w:val="1"/>
                <w:szCs w:val="1"/>
                <w:color w:val="auto"/>
              </w:rPr>
            </w:pPr>
          </w:p>
        </w:tc>
      </w:tr>
      <w:tr>
        <w:trPr>
          <w:trHeight w:val="70"/>
        </w:trPr>
        <w:tc>
          <w:tcPr>
            <w:tcW w:w="28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F3F3F4"/>
          </w:tcPr>
          <w:p>
            <w:pPr>
              <w:ind w:left="100"/>
              <w:spacing w:after="0"/>
              <w:rPr>
                <w:sz w:val="20"/>
                <w:szCs w:val="20"/>
                <w:color w:val="auto"/>
              </w:rPr>
            </w:pPr>
            <w:r>
              <w:rPr>
                <w:rFonts w:ascii="Arial" w:cs="Arial" w:eastAsia="Arial" w:hAnsi="Arial"/>
                <w:sz w:val="13"/>
                <w:szCs w:val="13"/>
                <w:color w:val="231F20"/>
              </w:rPr>
              <w:t>Cumulative Company EBITDA for the three</w:t>
            </w:r>
          </w:p>
        </w:tc>
        <w:tc>
          <w:tcPr>
            <w:tcW w:w="1680" w:type="dxa"/>
            <w:vAlign w:val="bottom"/>
            <w:shd w:val="clear" w:color="auto" w:fill="F3F3F4"/>
          </w:tcPr>
          <w:p>
            <w:pPr>
              <w:ind w:left="80"/>
              <w:spacing w:after="0"/>
              <w:rPr>
                <w:sz w:val="20"/>
                <w:szCs w:val="20"/>
                <w:color w:val="auto"/>
              </w:rPr>
            </w:pPr>
            <w:r>
              <w:rPr>
                <w:rFonts w:ascii="Arial" w:cs="Arial" w:eastAsia="Arial" w:hAnsi="Arial"/>
                <w:sz w:val="13"/>
                <w:szCs w:val="13"/>
                <w:b w:val="1"/>
                <w:bCs w:val="1"/>
                <w:color w:val="231F20"/>
              </w:rPr>
              <w:t>Performance Level</w:t>
            </w:r>
          </w:p>
        </w:tc>
        <w:tc>
          <w:tcPr>
            <w:tcW w:w="1800" w:type="dxa"/>
            <w:vAlign w:val="bottom"/>
            <w:shd w:val="clear" w:color="auto" w:fill="F3F3F4"/>
          </w:tcPr>
          <w:p>
            <w:pPr>
              <w:jc w:val="right"/>
              <w:ind w:right="136"/>
              <w:spacing w:after="0"/>
              <w:rPr>
                <w:sz w:val="20"/>
                <w:szCs w:val="20"/>
                <w:color w:val="auto"/>
              </w:rPr>
            </w:pPr>
            <w:r>
              <w:rPr>
                <w:rFonts w:ascii="Arial" w:cs="Arial" w:eastAsia="Arial" w:hAnsi="Arial"/>
                <w:sz w:val="13"/>
                <w:szCs w:val="13"/>
                <w:color w:val="231F20"/>
              </w:rPr>
              <w:t>&lt;85% of EBITDA target</w:t>
            </w:r>
          </w:p>
        </w:tc>
        <w:tc>
          <w:tcPr>
            <w:tcW w:w="1860" w:type="dxa"/>
            <w:vAlign w:val="bottom"/>
            <w:shd w:val="clear" w:color="auto" w:fill="F3F3F4"/>
          </w:tcPr>
          <w:p>
            <w:pPr>
              <w:jc w:val="right"/>
              <w:ind w:right="296"/>
              <w:spacing w:after="0"/>
              <w:rPr>
                <w:sz w:val="20"/>
                <w:szCs w:val="20"/>
                <w:color w:val="auto"/>
              </w:rPr>
            </w:pPr>
            <w:r>
              <w:rPr>
                <w:rFonts w:ascii="Arial" w:cs="Arial" w:eastAsia="Arial" w:hAnsi="Arial"/>
                <w:sz w:val="13"/>
                <w:szCs w:val="13"/>
                <w:color w:val="231F20"/>
              </w:rPr>
              <w:t>85% of EBITDA target</w:t>
            </w:r>
          </w:p>
        </w:tc>
        <w:tc>
          <w:tcPr>
            <w:tcW w:w="1460" w:type="dxa"/>
            <w:vAlign w:val="bottom"/>
            <w:shd w:val="clear" w:color="auto" w:fill="F3F3F4"/>
          </w:tcPr>
          <w:p>
            <w:pPr>
              <w:jc w:val="right"/>
              <w:ind w:right="76"/>
              <w:spacing w:after="0"/>
              <w:rPr>
                <w:sz w:val="20"/>
                <w:szCs w:val="20"/>
                <w:color w:val="auto"/>
              </w:rPr>
            </w:pPr>
            <w:r>
              <w:rPr>
                <w:rFonts w:ascii="Arial" w:cs="Arial" w:eastAsia="Arial" w:hAnsi="Arial"/>
                <w:sz w:val="13"/>
                <w:szCs w:val="13"/>
                <w:color w:val="231F20"/>
              </w:rPr>
              <w:t>$633.6 million</w:t>
            </w:r>
          </w:p>
        </w:tc>
        <w:tc>
          <w:tcPr>
            <w:tcW w:w="1620" w:type="dxa"/>
            <w:vAlign w:val="bottom"/>
            <w:shd w:val="clear" w:color="auto" w:fill="F3F3F4"/>
          </w:tcPr>
          <w:p>
            <w:pPr>
              <w:jc w:val="right"/>
              <w:ind w:right="16"/>
              <w:spacing w:after="0"/>
              <w:rPr>
                <w:sz w:val="20"/>
                <w:szCs w:val="20"/>
                <w:color w:val="auto"/>
              </w:rPr>
            </w:pPr>
            <w:r>
              <w:rPr>
                <w:rFonts w:ascii="Arial" w:cs="Arial" w:eastAsia="Arial" w:hAnsi="Arial"/>
                <w:sz w:val="13"/>
                <w:szCs w:val="13"/>
                <w:color w:val="231F20"/>
              </w:rPr>
              <w:t>130% of EBITDA target</w:t>
            </w:r>
          </w:p>
        </w:tc>
        <w:tc>
          <w:tcPr>
            <w:tcW w:w="0" w:type="dxa"/>
            <w:vAlign w:val="bottom"/>
          </w:tcPr>
          <w:p>
            <w:pPr>
              <w:spacing w:after="0"/>
              <w:rPr>
                <w:sz w:val="1"/>
                <w:szCs w:val="1"/>
                <w:color w:val="auto"/>
              </w:rPr>
            </w:pPr>
          </w:p>
        </w:tc>
      </w:tr>
      <w:tr>
        <w:trPr>
          <w:trHeight w:val="99"/>
        </w:trPr>
        <w:tc>
          <w:tcPr>
            <w:tcW w:w="2820" w:type="dxa"/>
            <w:vAlign w:val="bottom"/>
            <w:tcBorders>
              <w:bottom w:val="single" w:sz="8" w:color="F3F3F4"/>
            </w:tcBorders>
            <w:vMerge w:val="restart"/>
            <w:shd w:val="clear" w:color="auto" w:fill="F3F3F4"/>
          </w:tcPr>
          <w:p>
            <w:pPr>
              <w:ind w:left="100"/>
              <w:spacing w:after="0"/>
              <w:rPr>
                <w:sz w:val="20"/>
                <w:szCs w:val="20"/>
                <w:color w:val="auto"/>
              </w:rPr>
            </w:pPr>
            <w:r>
              <w:rPr>
                <w:rFonts w:ascii="Arial" w:cs="Arial" w:eastAsia="Arial" w:hAnsi="Arial"/>
                <w:sz w:val="13"/>
                <w:szCs w:val="13"/>
                <w:color w:val="231F20"/>
              </w:rPr>
              <w:t>year performance period</w:t>
            </w:r>
            <w:r>
              <w:rPr>
                <w:rFonts w:ascii="Arial" w:cs="Arial" w:eastAsia="Arial" w:hAnsi="Arial"/>
                <w:sz w:val="22"/>
                <w:szCs w:val="22"/>
                <w:color w:val="231F20"/>
                <w:vertAlign w:val="superscript"/>
              </w:rPr>
              <w:t>1</w:t>
            </w:r>
          </w:p>
        </w:tc>
        <w:tc>
          <w:tcPr>
            <w:tcW w:w="1680" w:type="dxa"/>
            <w:vAlign w:val="bottom"/>
            <w:tcBorders>
              <w:bottom w:val="single" w:sz="8" w:color="939598"/>
            </w:tcBorders>
            <w:shd w:val="clear" w:color="auto" w:fill="F3F3F4"/>
          </w:tcPr>
          <w:p>
            <w:pPr>
              <w:spacing w:after="0"/>
              <w:rPr>
                <w:sz w:val="8"/>
                <w:szCs w:val="8"/>
                <w:color w:val="auto"/>
              </w:rPr>
            </w:pPr>
          </w:p>
        </w:tc>
        <w:tc>
          <w:tcPr>
            <w:tcW w:w="1800" w:type="dxa"/>
            <w:vAlign w:val="bottom"/>
            <w:tcBorders>
              <w:bottom w:val="single" w:sz="8" w:color="939598"/>
            </w:tcBorders>
            <w:shd w:val="clear" w:color="auto" w:fill="F3F3F4"/>
          </w:tcPr>
          <w:p>
            <w:pPr>
              <w:spacing w:after="0"/>
              <w:rPr>
                <w:sz w:val="8"/>
                <w:szCs w:val="8"/>
                <w:color w:val="auto"/>
              </w:rPr>
            </w:pPr>
          </w:p>
        </w:tc>
        <w:tc>
          <w:tcPr>
            <w:tcW w:w="1860" w:type="dxa"/>
            <w:vAlign w:val="bottom"/>
            <w:tcBorders>
              <w:bottom w:val="single" w:sz="8" w:color="939598"/>
            </w:tcBorders>
            <w:shd w:val="clear" w:color="auto" w:fill="F3F3F4"/>
          </w:tcPr>
          <w:p>
            <w:pPr>
              <w:spacing w:after="0"/>
              <w:rPr>
                <w:sz w:val="8"/>
                <w:szCs w:val="8"/>
                <w:color w:val="auto"/>
              </w:rPr>
            </w:pPr>
          </w:p>
        </w:tc>
        <w:tc>
          <w:tcPr>
            <w:tcW w:w="1460" w:type="dxa"/>
            <w:vAlign w:val="bottom"/>
            <w:tcBorders>
              <w:bottom w:val="single" w:sz="8" w:color="939598"/>
            </w:tcBorders>
            <w:shd w:val="clear" w:color="auto" w:fill="F3F3F4"/>
          </w:tcPr>
          <w:p>
            <w:pPr>
              <w:spacing w:after="0"/>
              <w:rPr>
                <w:sz w:val="8"/>
                <w:szCs w:val="8"/>
                <w:color w:val="auto"/>
              </w:rPr>
            </w:pPr>
          </w:p>
        </w:tc>
        <w:tc>
          <w:tcPr>
            <w:tcW w:w="1620" w:type="dxa"/>
            <w:vAlign w:val="bottom"/>
            <w:tcBorders>
              <w:bottom w:val="single" w:sz="8" w:color="939598"/>
            </w:tcBorders>
            <w:shd w:val="clear" w:color="auto" w:fill="F3F3F4"/>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820" w:type="dxa"/>
            <w:vAlign w:val="bottom"/>
            <w:vMerge w:val="continue"/>
            <w:shd w:val="clear" w:color="auto" w:fill="F3F3F4"/>
          </w:tcPr>
          <w:p>
            <w:pPr>
              <w:spacing w:after="0"/>
              <w:rPr>
                <w:sz w:val="15"/>
                <w:szCs w:val="15"/>
                <w:color w:val="auto"/>
              </w:rPr>
            </w:pPr>
          </w:p>
        </w:tc>
        <w:tc>
          <w:tcPr>
            <w:tcW w:w="1680" w:type="dxa"/>
            <w:vAlign w:val="bottom"/>
            <w:vMerge w:val="restart"/>
            <w:shd w:val="clear" w:color="auto" w:fill="F3F3F4"/>
          </w:tcPr>
          <w:p>
            <w:pPr>
              <w:ind w:left="80"/>
              <w:spacing w:after="0"/>
              <w:rPr>
                <w:sz w:val="20"/>
                <w:szCs w:val="20"/>
                <w:color w:val="auto"/>
              </w:rPr>
            </w:pPr>
            <w:r>
              <w:rPr>
                <w:rFonts w:ascii="Arial" w:cs="Arial" w:eastAsia="Arial" w:hAnsi="Arial"/>
                <w:sz w:val="13"/>
                <w:szCs w:val="13"/>
                <w:b w:val="1"/>
                <w:bCs w:val="1"/>
                <w:color w:val="231F20"/>
              </w:rPr>
              <w:t>Payout</w:t>
            </w:r>
            <w:r>
              <w:rPr>
                <w:rFonts w:ascii="Arial" w:cs="Arial" w:eastAsia="Arial" w:hAnsi="Arial"/>
                <w:sz w:val="25"/>
                <w:szCs w:val="25"/>
                <w:b w:val="1"/>
                <w:bCs w:val="1"/>
                <w:color w:val="231F20"/>
                <w:vertAlign w:val="superscript"/>
              </w:rPr>
              <w:t>2</w:t>
            </w:r>
          </w:p>
        </w:tc>
        <w:tc>
          <w:tcPr>
            <w:tcW w:w="1800" w:type="dxa"/>
            <w:vAlign w:val="bottom"/>
            <w:vMerge w:val="restart"/>
            <w:shd w:val="clear" w:color="auto" w:fill="F3F3F4"/>
          </w:tcPr>
          <w:p>
            <w:pPr>
              <w:jc w:val="right"/>
              <w:ind w:right="136"/>
              <w:spacing w:after="0"/>
              <w:rPr>
                <w:sz w:val="20"/>
                <w:szCs w:val="20"/>
                <w:color w:val="auto"/>
              </w:rPr>
            </w:pPr>
            <w:r>
              <w:rPr>
                <w:rFonts w:ascii="Arial" w:cs="Arial" w:eastAsia="Arial" w:hAnsi="Arial"/>
                <w:sz w:val="13"/>
                <w:szCs w:val="13"/>
                <w:color w:val="231F20"/>
              </w:rPr>
              <w:t>0%</w:t>
            </w:r>
          </w:p>
        </w:tc>
        <w:tc>
          <w:tcPr>
            <w:tcW w:w="1860" w:type="dxa"/>
            <w:vAlign w:val="bottom"/>
            <w:vMerge w:val="restart"/>
            <w:shd w:val="clear" w:color="auto" w:fill="F3F3F4"/>
          </w:tcPr>
          <w:p>
            <w:pPr>
              <w:jc w:val="right"/>
              <w:ind w:right="296"/>
              <w:spacing w:after="0"/>
              <w:rPr>
                <w:sz w:val="20"/>
                <w:szCs w:val="20"/>
                <w:color w:val="auto"/>
              </w:rPr>
            </w:pPr>
            <w:r>
              <w:rPr>
                <w:rFonts w:ascii="Arial" w:cs="Arial" w:eastAsia="Arial" w:hAnsi="Arial"/>
                <w:sz w:val="13"/>
                <w:szCs w:val="13"/>
                <w:color w:val="231F20"/>
              </w:rPr>
              <w:t>50%</w:t>
            </w:r>
          </w:p>
        </w:tc>
        <w:tc>
          <w:tcPr>
            <w:tcW w:w="1460" w:type="dxa"/>
            <w:vAlign w:val="bottom"/>
            <w:vMerge w:val="restart"/>
            <w:shd w:val="clear" w:color="auto" w:fill="F3F3F4"/>
          </w:tcPr>
          <w:p>
            <w:pPr>
              <w:jc w:val="right"/>
              <w:ind w:right="76"/>
              <w:spacing w:after="0"/>
              <w:rPr>
                <w:sz w:val="20"/>
                <w:szCs w:val="20"/>
                <w:color w:val="auto"/>
              </w:rPr>
            </w:pPr>
            <w:r>
              <w:rPr>
                <w:rFonts w:ascii="Arial" w:cs="Arial" w:eastAsia="Arial" w:hAnsi="Arial"/>
                <w:sz w:val="13"/>
                <w:szCs w:val="13"/>
                <w:color w:val="231F20"/>
              </w:rPr>
              <w:t>100%</w:t>
            </w:r>
          </w:p>
        </w:tc>
        <w:tc>
          <w:tcPr>
            <w:tcW w:w="1620" w:type="dxa"/>
            <w:vAlign w:val="bottom"/>
            <w:vMerge w:val="restart"/>
            <w:shd w:val="clear" w:color="auto" w:fill="F3F3F4"/>
          </w:tcPr>
          <w:p>
            <w:pPr>
              <w:jc w:val="right"/>
              <w:ind w:right="16"/>
              <w:spacing w:after="0"/>
              <w:rPr>
                <w:sz w:val="20"/>
                <w:szCs w:val="20"/>
                <w:color w:val="auto"/>
              </w:rPr>
            </w:pPr>
            <w:r>
              <w:rPr>
                <w:rFonts w:ascii="Arial" w:cs="Arial" w:eastAsia="Arial" w:hAnsi="Arial"/>
                <w:sz w:val="13"/>
                <w:szCs w:val="13"/>
                <w:color w:val="231F20"/>
              </w:rPr>
              <w:t>200%</w:t>
            </w:r>
          </w:p>
        </w:tc>
        <w:tc>
          <w:tcPr>
            <w:tcW w:w="0" w:type="dxa"/>
            <w:vAlign w:val="bottom"/>
          </w:tcPr>
          <w:p>
            <w:pPr>
              <w:spacing w:after="0"/>
              <w:rPr>
                <w:sz w:val="1"/>
                <w:szCs w:val="1"/>
                <w:color w:val="auto"/>
              </w:rPr>
            </w:pPr>
          </w:p>
        </w:tc>
      </w:tr>
      <w:tr>
        <w:trPr>
          <w:trHeight w:val="191"/>
        </w:trPr>
        <w:tc>
          <w:tcPr>
            <w:tcW w:w="2820" w:type="dxa"/>
            <w:vAlign w:val="bottom"/>
            <w:tcBorders>
              <w:bottom w:val="single" w:sz="8" w:color="939598"/>
            </w:tcBorders>
            <w:shd w:val="clear" w:color="auto" w:fill="F3F3F4"/>
          </w:tcPr>
          <w:p>
            <w:pPr>
              <w:spacing w:after="0"/>
              <w:rPr>
                <w:sz w:val="16"/>
                <w:szCs w:val="16"/>
                <w:color w:val="auto"/>
              </w:rPr>
            </w:pPr>
          </w:p>
        </w:tc>
        <w:tc>
          <w:tcPr>
            <w:tcW w:w="1680" w:type="dxa"/>
            <w:vAlign w:val="bottom"/>
            <w:tcBorders>
              <w:bottom w:val="single" w:sz="8" w:color="939598"/>
            </w:tcBorders>
            <w:vMerge w:val="continue"/>
            <w:shd w:val="clear" w:color="auto" w:fill="F3F3F4"/>
          </w:tcPr>
          <w:p>
            <w:pPr>
              <w:spacing w:after="0"/>
              <w:rPr>
                <w:sz w:val="16"/>
                <w:szCs w:val="16"/>
                <w:color w:val="auto"/>
              </w:rPr>
            </w:pPr>
          </w:p>
        </w:tc>
        <w:tc>
          <w:tcPr>
            <w:tcW w:w="1800" w:type="dxa"/>
            <w:vAlign w:val="bottom"/>
            <w:tcBorders>
              <w:bottom w:val="single" w:sz="8" w:color="939598"/>
            </w:tcBorders>
            <w:vMerge w:val="continue"/>
            <w:shd w:val="clear" w:color="auto" w:fill="F3F3F4"/>
          </w:tcPr>
          <w:p>
            <w:pPr>
              <w:spacing w:after="0"/>
              <w:rPr>
                <w:sz w:val="16"/>
                <w:szCs w:val="16"/>
                <w:color w:val="auto"/>
              </w:rPr>
            </w:pPr>
          </w:p>
        </w:tc>
        <w:tc>
          <w:tcPr>
            <w:tcW w:w="1860" w:type="dxa"/>
            <w:vAlign w:val="bottom"/>
            <w:tcBorders>
              <w:bottom w:val="single" w:sz="8" w:color="939598"/>
            </w:tcBorders>
            <w:vMerge w:val="continue"/>
            <w:shd w:val="clear" w:color="auto" w:fill="F3F3F4"/>
          </w:tcPr>
          <w:p>
            <w:pPr>
              <w:spacing w:after="0"/>
              <w:rPr>
                <w:sz w:val="16"/>
                <w:szCs w:val="16"/>
                <w:color w:val="auto"/>
              </w:rPr>
            </w:pPr>
          </w:p>
        </w:tc>
        <w:tc>
          <w:tcPr>
            <w:tcW w:w="1460" w:type="dxa"/>
            <w:vAlign w:val="bottom"/>
            <w:tcBorders>
              <w:bottom w:val="single" w:sz="8" w:color="939598"/>
            </w:tcBorders>
            <w:vMerge w:val="continue"/>
            <w:shd w:val="clear" w:color="auto" w:fill="F3F3F4"/>
          </w:tcPr>
          <w:p>
            <w:pPr>
              <w:spacing w:after="0"/>
              <w:rPr>
                <w:sz w:val="16"/>
                <w:szCs w:val="16"/>
                <w:color w:val="auto"/>
              </w:rPr>
            </w:pPr>
          </w:p>
        </w:tc>
        <w:tc>
          <w:tcPr>
            <w:tcW w:w="1620" w:type="dxa"/>
            <w:vAlign w:val="bottom"/>
            <w:tcBorders>
              <w:bottom w:val="single" w:sz="8" w:color="939598"/>
            </w:tcBorders>
            <w:vMerge w:val="continue"/>
            <w:shd w:val="clear" w:color="auto" w:fill="F3F3F4"/>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4500" w:type="dxa"/>
            <w:vAlign w:val="bottom"/>
            <w:gridSpan w:val="2"/>
          </w:tcPr>
          <w:p>
            <w:pPr>
              <w:ind w:left="20"/>
              <w:spacing w:after="0"/>
              <w:rPr>
                <w:sz w:val="20"/>
                <w:szCs w:val="20"/>
                <w:color w:val="auto"/>
              </w:rPr>
            </w:pPr>
            <w:r>
              <w:rPr>
                <w:rFonts w:ascii="Arial" w:cs="Arial" w:eastAsia="Arial" w:hAnsi="Arial"/>
                <w:sz w:val="16"/>
                <w:szCs w:val="16"/>
                <w:b w:val="1"/>
                <w:bCs w:val="1"/>
                <w:color w:val="auto"/>
              </w:rPr>
              <w:t>ROIC Performance Goals – 40% of PSU award value</w:t>
            </w:r>
          </w:p>
        </w:tc>
        <w:tc>
          <w:tcPr>
            <w:tcW w:w="1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jc w:val="right"/>
              <w:ind w:right="416"/>
              <w:spacing w:after="0"/>
              <w:rPr>
                <w:sz w:val="20"/>
                <w:szCs w:val="20"/>
                <w:color w:val="auto"/>
              </w:rPr>
            </w:pPr>
            <w:r>
              <w:rPr>
                <w:rFonts w:ascii="Arial" w:cs="Arial" w:eastAsia="Arial" w:hAnsi="Arial"/>
                <w:sz w:val="12"/>
                <w:szCs w:val="12"/>
                <w:b w:val="1"/>
                <w:bCs w:val="1"/>
                <w:color w:val="auto"/>
              </w:rPr>
              <w:t>Below Threshold</w:t>
            </w:r>
          </w:p>
        </w:tc>
        <w:tc>
          <w:tcPr>
            <w:tcW w:w="1860" w:type="dxa"/>
            <w:vAlign w:val="bottom"/>
          </w:tcPr>
          <w:p>
            <w:pPr>
              <w:jc w:val="right"/>
              <w:ind w:right="776"/>
              <w:spacing w:after="0"/>
              <w:rPr>
                <w:sz w:val="20"/>
                <w:szCs w:val="20"/>
                <w:color w:val="auto"/>
              </w:rPr>
            </w:pPr>
            <w:r>
              <w:rPr>
                <w:rFonts w:ascii="Arial" w:cs="Arial" w:eastAsia="Arial" w:hAnsi="Arial"/>
                <w:sz w:val="12"/>
                <w:szCs w:val="12"/>
                <w:b w:val="1"/>
                <w:bCs w:val="1"/>
                <w:color w:val="auto"/>
              </w:rPr>
              <w:t>Threshold</w:t>
            </w:r>
          </w:p>
        </w:tc>
        <w:tc>
          <w:tcPr>
            <w:tcW w:w="1460" w:type="dxa"/>
            <w:vAlign w:val="bottom"/>
          </w:tcPr>
          <w:p>
            <w:pPr>
              <w:jc w:val="right"/>
              <w:ind w:right="656"/>
              <w:spacing w:after="0"/>
              <w:rPr>
                <w:sz w:val="20"/>
                <w:szCs w:val="20"/>
                <w:color w:val="auto"/>
              </w:rPr>
            </w:pPr>
            <w:r>
              <w:rPr>
                <w:rFonts w:ascii="Arial" w:cs="Arial" w:eastAsia="Arial" w:hAnsi="Arial"/>
                <w:sz w:val="12"/>
                <w:szCs w:val="12"/>
                <w:b w:val="1"/>
                <w:bCs w:val="1"/>
                <w:color w:val="auto"/>
              </w:rPr>
              <w:t>Target</w:t>
            </w:r>
          </w:p>
        </w:tc>
        <w:tc>
          <w:tcPr>
            <w:tcW w:w="1620" w:type="dxa"/>
            <w:vAlign w:val="bottom"/>
          </w:tcPr>
          <w:p>
            <w:pPr>
              <w:jc w:val="right"/>
              <w:ind w:right="496"/>
              <w:spacing w:after="0"/>
              <w:rPr>
                <w:sz w:val="20"/>
                <w:szCs w:val="20"/>
                <w:color w:val="auto"/>
              </w:rPr>
            </w:pPr>
            <w:r>
              <w:rPr>
                <w:rFonts w:ascii="Arial" w:cs="Arial" w:eastAsia="Arial" w:hAnsi="Arial"/>
                <w:sz w:val="12"/>
                <w:szCs w:val="12"/>
                <w:b w:val="1"/>
                <w:bCs w:val="1"/>
                <w:color w:val="auto"/>
              </w:rPr>
              <w:t>Maximum</w:t>
            </w:r>
          </w:p>
        </w:tc>
        <w:tc>
          <w:tcPr>
            <w:tcW w:w="0" w:type="dxa"/>
            <w:vAlign w:val="bottom"/>
          </w:tcPr>
          <w:p>
            <w:pPr>
              <w:spacing w:after="0"/>
              <w:rPr>
                <w:sz w:val="1"/>
                <w:szCs w:val="1"/>
                <w:color w:val="auto"/>
              </w:rPr>
            </w:pPr>
          </w:p>
        </w:tc>
      </w:tr>
      <w:tr>
        <w:trPr>
          <w:trHeight w:val="70"/>
        </w:trPr>
        <w:tc>
          <w:tcPr>
            <w:tcW w:w="282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2820" w:type="dxa"/>
            <w:vAlign w:val="bottom"/>
            <w:shd w:val="clear" w:color="auto" w:fill="F3F3F4"/>
          </w:tcPr>
          <w:p>
            <w:pPr>
              <w:ind w:left="100"/>
              <w:spacing w:after="0" w:line="232" w:lineRule="exact"/>
              <w:rPr>
                <w:sz w:val="20"/>
                <w:szCs w:val="20"/>
                <w:color w:val="auto"/>
              </w:rPr>
            </w:pPr>
            <w:r>
              <w:rPr>
                <w:rFonts w:ascii="Arial" w:cs="Arial" w:eastAsia="Arial" w:hAnsi="Arial"/>
                <w:sz w:val="13"/>
                <w:szCs w:val="13"/>
                <w:color w:val="231F20"/>
              </w:rPr>
              <w:t>Company ROIC for 2026</w:t>
            </w:r>
            <w:r>
              <w:rPr>
                <w:rFonts w:ascii="Arial" w:cs="Arial" w:eastAsia="Arial" w:hAnsi="Arial"/>
                <w:sz w:val="22"/>
                <w:szCs w:val="22"/>
                <w:color w:val="231F20"/>
                <w:vertAlign w:val="superscript"/>
              </w:rPr>
              <w:t>3</w:t>
            </w:r>
          </w:p>
        </w:tc>
        <w:tc>
          <w:tcPr>
            <w:tcW w:w="1680" w:type="dxa"/>
            <w:vAlign w:val="bottom"/>
            <w:shd w:val="clear" w:color="auto" w:fill="F3F3F4"/>
          </w:tcPr>
          <w:p>
            <w:pPr>
              <w:ind w:left="80"/>
              <w:spacing w:after="0"/>
              <w:rPr>
                <w:sz w:val="20"/>
                <w:szCs w:val="20"/>
                <w:color w:val="auto"/>
              </w:rPr>
            </w:pPr>
            <w:r>
              <w:rPr>
                <w:rFonts w:ascii="Arial" w:cs="Arial" w:eastAsia="Arial" w:hAnsi="Arial"/>
                <w:sz w:val="13"/>
                <w:szCs w:val="13"/>
                <w:b w:val="1"/>
                <w:bCs w:val="1"/>
                <w:color w:val="231F20"/>
              </w:rPr>
              <w:t>Performance Level (in</w:t>
            </w:r>
          </w:p>
        </w:tc>
        <w:tc>
          <w:tcPr>
            <w:tcW w:w="1800" w:type="dxa"/>
            <w:vAlign w:val="bottom"/>
            <w:shd w:val="clear" w:color="auto" w:fill="F3F3F4"/>
          </w:tcPr>
          <w:p>
            <w:pPr>
              <w:jc w:val="right"/>
              <w:ind w:right="136"/>
              <w:spacing w:after="0"/>
              <w:rPr>
                <w:sz w:val="20"/>
                <w:szCs w:val="20"/>
                <w:color w:val="auto"/>
              </w:rPr>
            </w:pPr>
            <w:r>
              <w:rPr>
                <w:rFonts w:ascii="Arial" w:cs="Arial" w:eastAsia="Arial" w:hAnsi="Arial"/>
                <w:sz w:val="13"/>
                <w:szCs w:val="13"/>
                <w:color w:val="auto"/>
              </w:rPr>
              <w:t>&lt;85% of ROIC target</w:t>
            </w:r>
          </w:p>
        </w:tc>
        <w:tc>
          <w:tcPr>
            <w:tcW w:w="1860" w:type="dxa"/>
            <w:vAlign w:val="bottom"/>
            <w:shd w:val="clear" w:color="auto" w:fill="F3F3F4"/>
          </w:tcPr>
          <w:p>
            <w:pPr>
              <w:jc w:val="right"/>
              <w:ind w:right="296"/>
              <w:spacing w:after="0"/>
              <w:rPr>
                <w:sz w:val="20"/>
                <w:szCs w:val="20"/>
                <w:color w:val="auto"/>
              </w:rPr>
            </w:pPr>
            <w:r>
              <w:rPr>
                <w:rFonts w:ascii="Arial" w:cs="Arial" w:eastAsia="Arial" w:hAnsi="Arial"/>
                <w:sz w:val="13"/>
                <w:szCs w:val="13"/>
                <w:color w:val="auto"/>
              </w:rPr>
              <w:t>85% of ROIC target</w:t>
            </w:r>
          </w:p>
        </w:tc>
        <w:tc>
          <w:tcPr>
            <w:tcW w:w="1460" w:type="dxa"/>
            <w:vAlign w:val="bottom"/>
            <w:shd w:val="clear" w:color="auto" w:fill="F3F3F4"/>
          </w:tcPr>
          <w:p>
            <w:pPr>
              <w:jc w:val="right"/>
              <w:ind w:right="76"/>
              <w:spacing w:after="0"/>
              <w:rPr>
                <w:sz w:val="20"/>
                <w:szCs w:val="20"/>
                <w:color w:val="auto"/>
              </w:rPr>
            </w:pPr>
            <w:r>
              <w:rPr>
                <w:rFonts w:ascii="Arial" w:cs="Arial" w:eastAsia="Arial" w:hAnsi="Arial"/>
                <w:sz w:val="13"/>
                <w:szCs w:val="13"/>
                <w:color w:val="231F20"/>
              </w:rPr>
              <w:t>12% for FY2026</w:t>
            </w:r>
          </w:p>
        </w:tc>
        <w:tc>
          <w:tcPr>
            <w:tcW w:w="1620" w:type="dxa"/>
            <w:vAlign w:val="bottom"/>
            <w:shd w:val="clear" w:color="auto" w:fill="F3F3F4"/>
          </w:tcPr>
          <w:p>
            <w:pPr>
              <w:jc w:val="right"/>
              <w:ind w:right="16"/>
              <w:spacing w:after="0"/>
              <w:rPr>
                <w:sz w:val="20"/>
                <w:szCs w:val="20"/>
                <w:color w:val="auto"/>
              </w:rPr>
            </w:pPr>
            <w:r>
              <w:rPr>
                <w:rFonts w:ascii="Arial" w:cs="Arial" w:eastAsia="Arial" w:hAnsi="Arial"/>
                <w:sz w:val="13"/>
                <w:szCs w:val="13"/>
                <w:color w:val="231F20"/>
              </w:rPr>
              <w:t>130% of ROIC target</w:t>
            </w:r>
          </w:p>
        </w:tc>
        <w:tc>
          <w:tcPr>
            <w:tcW w:w="0" w:type="dxa"/>
            <w:vAlign w:val="bottom"/>
          </w:tcPr>
          <w:p>
            <w:pPr>
              <w:spacing w:after="0"/>
              <w:rPr>
                <w:sz w:val="1"/>
                <w:szCs w:val="1"/>
                <w:color w:val="auto"/>
              </w:rPr>
            </w:pPr>
          </w:p>
        </w:tc>
      </w:tr>
      <w:tr>
        <w:trPr>
          <w:trHeight w:val="245"/>
        </w:trPr>
        <w:tc>
          <w:tcPr>
            <w:tcW w:w="2820" w:type="dxa"/>
            <w:vAlign w:val="bottom"/>
            <w:tcBorders>
              <w:bottom w:val="single" w:sz="8" w:color="F3F3F4"/>
            </w:tcBorders>
            <w:shd w:val="clear" w:color="auto" w:fill="F3F3F4"/>
          </w:tcPr>
          <w:p>
            <w:pPr>
              <w:spacing w:after="0"/>
              <w:rPr>
                <w:sz w:val="20"/>
                <w:szCs w:val="20"/>
                <w:color w:val="auto"/>
              </w:rPr>
            </w:pPr>
          </w:p>
        </w:tc>
        <w:tc>
          <w:tcPr>
            <w:tcW w:w="1680" w:type="dxa"/>
            <w:vAlign w:val="bottom"/>
            <w:tcBorders>
              <w:bottom w:val="single" w:sz="8" w:color="F3F3F4"/>
            </w:tcBorders>
            <w:shd w:val="clear" w:color="auto" w:fill="F3F3F4"/>
          </w:tcPr>
          <w:p>
            <w:pPr>
              <w:ind w:left="80"/>
              <w:spacing w:after="0"/>
              <w:rPr>
                <w:sz w:val="20"/>
                <w:szCs w:val="20"/>
                <w:color w:val="auto"/>
              </w:rPr>
            </w:pPr>
            <w:r>
              <w:rPr>
                <w:rFonts w:ascii="Arial" w:cs="Arial" w:eastAsia="Arial" w:hAnsi="Arial"/>
                <w:sz w:val="13"/>
                <w:szCs w:val="13"/>
                <w:b w:val="1"/>
                <w:bCs w:val="1"/>
                <w:color w:val="231F20"/>
              </w:rPr>
              <w:t>percentages)</w:t>
            </w:r>
          </w:p>
        </w:tc>
        <w:tc>
          <w:tcPr>
            <w:tcW w:w="1800" w:type="dxa"/>
            <w:vAlign w:val="bottom"/>
            <w:tcBorders>
              <w:bottom w:val="single" w:sz="8" w:color="F3F3F4"/>
            </w:tcBorders>
            <w:shd w:val="clear" w:color="auto" w:fill="F3F3F4"/>
          </w:tcPr>
          <w:p>
            <w:pPr>
              <w:spacing w:after="0"/>
              <w:rPr>
                <w:sz w:val="20"/>
                <w:szCs w:val="20"/>
                <w:color w:val="auto"/>
              </w:rPr>
            </w:pPr>
          </w:p>
        </w:tc>
        <w:tc>
          <w:tcPr>
            <w:tcW w:w="1860" w:type="dxa"/>
            <w:vAlign w:val="bottom"/>
            <w:tcBorders>
              <w:bottom w:val="single" w:sz="8" w:color="F3F3F4"/>
            </w:tcBorders>
            <w:shd w:val="clear" w:color="auto" w:fill="F3F3F4"/>
          </w:tcPr>
          <w:p>
            <w:pPr>
              <w:spacing w:after="0"/>
              <w:rPr>
                <w:sz w:val="20"/>
                <w:szCs w:val="20"/>
                <w:color w:val="auto"/>
              </w:rPr>
            </w:pPr>
          </w:p>
        </w:tc>
        <w:tc>
          <w:tcPr>
            <w:tcW w:w="1460" w:type="dxa"/>
            <w:vAlign w:val="bottom"/>
            <w:tcBorders>
              <w:bottom w:val="single" w:sz="8" w:color="F3F3F4"/>
            </w:tcBorders>
            <w:shd w:val="clear" w:color="auto" w:fill="F3F3F4"/>
          </w:tcPr>
          <w:p>
            <w:pPr>
              <w:spacing w:after="0"/>
              <w:rPr>
                <w:sz w:val="20"/>
                <w:szCs w:val="20"/>
                <w:color w:val="auto"/>
              </w:rPr>
            </w:pPr>
          </w:p>
        </w:tc>
        <w:tc>
          <w:tcPr>
            <w:tcW w:w="1620" w:type="dxa"/>
            <w:vAlign w:val="bottom"/>
            <w:tcBorders>
              <w:bottom w:val="single" w:sz="8" w:color="F3F3F4"/>
            </w:tcBorders>
            <w:shd w:val="clear" w:color="auto" w:fill="F3F3F4"/>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820" w:type="dxa"/>
            <w:vAlign w:val="bottom"/>
            <w:tcBorders>
              <w:top w:val="single" w:sz="8" w:color="F3F3F4"/>
              <w:bottom w:val="single" w:sz="8" w:color="939598"/>
            </w:tcBorders>
            <w:shd w:val="clear" w:color="auto" w:fill="F3F3F4"/>
          </w:tcPr>
          <w:p>
            <w:pPr>
              <w:spacing w:after="0"/>
              <w:rPr>
                <w:sz w:val="24"/>
                <w:szCs w:val="24"/>
                <w:color w:val="auto"/>
              </w:rPr>
            </w:pPr>
          </w:p>
        </w:tc>
        <w:tc>
          <w:tcPr>
            <w:tcW w:w="1680" w:type="dxa"/>
            <w:vAlign w:val="bottom"/>
            <w:tcBorders>
              <w:top w:val="single" w:sz="8" w:color="939598"/>
              <w:bottom w:val="single" w:sz="8" w:color="939598"/>
            </w:tcBorders>
            <w:shd w:val="clear" w:color="auto" w:fill="F3F3F4"/>
          </w:tcPr>
          <w:p>
            <w:pPr>
              <w:ind w:left="80"/>
              <w:spacing w:after="0"/>
              <w:rPr>
                <w:sz w:val="20"/>
                <w:szCs w:val="20"/>
                <w:color w:val="auto"/>
              </w:rPr>
            </w:pPr>
            <w:r>
              <w:rPr>
                <w:rFonts w:ascii="Arial" w:cs="Arial" w:eastAsia="Arial" w:hAnsi="Arial"/>
                <w:sz w:val="13"/>
                <w:szCs w:val="13"/>
                <w:b w:val="1"/>
                <w:bCs w:val="1"/>
                <w:color w:val="231F20"/>
              </w:rPr>
              <w:t>Payout</w:t>
            </w:r>
            <w:r>
              <w:rPr>
                <w:rFonts w:ascii="Arial" w:cs="Arial" w:eastAsia="Arial" w:hAnsi="Arial"/>
                <w:sz w:val="22"/>
                <w:szCs w:val="22"/>
                <w:b w:val="1"/>
                <w:bCs w:val="1"/>
                <w:color w:val="231F20"/>
                <w:vertAlign w:val="superscript"/>
              </w:rPr>
              <w:t>2</w:t>
            </w:r>
          </w:p>
        </w:tc>
        <w:tc>
          <w:tcPr>
            <w:tcW w:w="1800" w:type="dxa"/>
            <w:vAlign w:val="bottom"/>
            <w:tcBorders>
              <w:top w:val="single" w:sz="8" w:color="939598"/>
              <w:bottom w:val="single" w:sz="8" w:color="939598"/>
            </w:tcBorders>
            <w:shd w:val="clear" w:color="auto" w:fill="F3F3F4"/>
          </w:tcPr>
          <w:p>
            <w:pPr>
              <w:jc w:val="right"/>
              <w:ind w:right="136"/>
              <w:spacing w:after="0"/>
              <w:rPr>
                <w:sz w:val="20"/>
                <w:szCs w:val="20"/>
                <w:color w:val="auto"/>
              </w:rPr>
            </w:pPr>
            <w:r>
              <w:rPr>
                <w:rFonts w:ascii="Arial" w:cs="Arial" w:eastAsia="Arial" w:hAnsi="Arial"/>
                <w:sz w:val="13"/>
                <w:szCs w:val="13"/>
                <w:color w:val="231F20"/>
              </w:rPr>
              <w:t>0%</w:t>
            </w:r>
          </w:p>
        </w:tc>
        <w:tc>
          <w:tcPr>
            <w:tcW w:w="1860" w:type="dxa"/>
            <w:vAlign w:val="bottom"/>
            <w:tcBorders>
              <w:top w:val="single" w:sz="8" w:color="939598"/>
              <w:bottom w:val="single" w:sz="8" w:color="939598"/>
            </w:tcBorders>
            <w:shd w:val="clear" w:color="auto" w:fill="F3F3F4"/>
          </w:tcPr>
          <w:p>
            <w:pPr>
              <w:jc w:val="right"/>
              <w:ind w:right="296"/>
              <w:spacing w:after="0"/>
              <w:rPr>
                <w:sz w:val="20"/>
                <w:szCs w:val="20"/>
                <w:color w:val="auto"/>
              </w:rPr>
            </w:pPr>
            <w:r>
              <w:rPr>
                <w:rFonts w:ascii="Arial" w:cs="Arial" w:eastAsia="Arial" w:hAnsi="Arial"/>
                <w:sz w:val="13"/>
                <w:szCs w:val="13"/>
                <w:color w:val="231F20"/>
              </w:rPr>
              <w:t>50%</w:t>
            </w:r>
          </w:p>
        </w:tc>
        <w:tc>
          <w:tcPr>
            <w:tcW w:w="1460" w:type="dxa"/>
            <w:vAlign w:val="bottom"/>
            <w:tcBorders>
              <w:top w:val="single" w:sz="8" w:color="939598"/>
              <w:bottom w:val="single" w:sz="8" w:color="939598"/>
            </w:tcBorders>
            <w:shd w:val="clear" w:color="auto" w:fill="F3F3F4"/>
          </w:tcPr>
          <w:p>
            <w:pPr>
              <w:jc w:val="right"/>
              <w:ind w:right="76"/>
              <w:spacing w:after="0"/>
              <w:rPr>
                <w:sz w:val="20"/>
                <w:szCs w:val="20"/>
                <w:color w:val="auto"/>
              </w:rPr>
            </w:pPr>
            <w:r>
              <w:rPr>
                <w:rFonts w:ascii="Arial" w:cs="Arial" w:eastAsia="Arial" w:hAnsi="Arial"/>
                <w:sz w:val="13"/>
                <w:szCs w:val="13"/>
                <w:color w:val="231F20"/>
              </w:rPr>
              <w:t>100%</w:t>
            </w:r>
          </w:p>
        </w:tc>
        <w:tc>
          <w:tcPr>
            <w:tcW w:w="1620" w:type="dxa"/>
            <w:vAlign w:val="bottom"/>
            <w:tcBorders>
              <w:top w:val="single" w:sz="8" w:color="939598"/>
              <w:bottom w:val="single" w:sz="8" w:color="939598"/>
            </w:tcBorders>
            <w:shd w:val="clear" w:color="auto" w:fill="F3F3F4"/>
          </w:tcPr>
          <w:p>
            <w:pPr>
              <w:jc w:val="right"/>
              <w:ind w:right="16"/>
              <w:spacing w:after="0"/>
              <w:rPr>
                <w:sz w:val="20"/>
                <w:szCs w:val="20"/>
                <w:color w:val="auto"/>
              </w:rPr>
            </w:pPr>
            <w:r>
              <w:rPr>
                <w:rFonts w:ascii="Arial" w:cs="Arial" w:eastAsia="Arial" w:hAnsi="Arial"/>
                <w:sz w:val="13"/>
                <w:szCs w:val="13"/>
                <w:color w:val="231F20"/>
              </w:rPr>
              <w:t>200%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40" w:right="20" w:hanging="226"/>
        <w:spacing w:after="0" w:line="249" w:lineRule="auto"/>
        <w:tabs>
          <w:tab w:leader="none" w:pos="2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EBITDA target was set by the Committee to represent a challenging performance incentive based on annual percentage increases over actual 2023 EBITDA and is not intended as guidance or a prediction of actual results</w:t>
      </w:r>
    </w:p>
    <w:p>
      <w:pPr>
        <w:spacing w:after="0" w:line="106" w:lineRule="exact"/>
        <w:rPr>
          <w:sz w:val="20"/>
          <w:szCs w:val="20"/>
          <w:color w:val="auto"/>
        </w:rPr>
      </w:pPr>
    </w:p>
    <w:p>
      <w:pPr>
        <w:ind w:left="240" w:hanging="226"/>
        <w:spacing w:after="0"/>
        <w:tabs>
          <w:tab w:leader="none" w:pos="2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Subject to adjustment as described below.</w:t>
      </w:r>
    </w:p>
    <w:p>
      <w:pPr>
        <w:spacing w:after="0" w:line="128" w:lineRule="exact"/>
        <w:rPr>
          <w:sz w:val="20"/>
          <w:szCs w:val="20"/>
          <w:color w:val="auto"/>
        </w:rPr>
      </w:pPr>
    </w:p>
    <w:p>
      <w:pPr>
        <w:ind w:left="240" w:hanging="226"/>
        <w:spacing w:after="0"/>
        <w:tabs>
          <w:tab w:leader="none" w:pos="2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ROIC target was set by the Committee to represent a challenging performance incentive and is not intended as guidance or a prediction of actual results.</w:t>
      </w:r>
    </w:p>
    <w:p>
      <w:pPr>
        <w:spacing w:after="0" w:line="217"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5"/>
          <w:szCs w:val="15"/>
          <w:color w:val="auto"/>
        </w:rPr>
        <w:t>After applying the above performance metrics, the resulting number of PSUs may be subject to increase or decrease based on the Company’s Total Shareholder Return (TSR) over the performance period compared to the TSR of the companies in a peer group based on the S&amp;P SmallCap 600 Industrials Index. If the Company’s rTSR is below the 25th percentile or above the 75th percentile, the resulting number of shares will be decreased by 20% or increased by 20%, respectively; if the Company’s rTSR is from the 25th percentile to the 75th percentile, no adjustment will be made. In no event will the award payout be greater than 200% of the target.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For more information about the fiscal 2024 LTI awards, see </w:t>
      </w:r>
      <w:r>
        <w:rPr>
          <w:rFonts w:ascii="Arial" w:cs="Arial" w:eastAsia="Arial" w:hAnsi="Arial"/>
          <w:sz w:val="15"/>
          <w:szCs w:val="15"/>
          <w:b w:val="1"/>
          <w:bCs w:val="1"/>
          <w:i w:val="1"/>
          <w:iCs w:val="1"/>
          <w:color w:val="auto"/>
        </w:rPr>
        <w:t>Grants of Plan-Based Awards</w:t>
      </w:r>
      <w:r>
        <w:rPr>
          <w:rFonts w:ascii="Arial" w:cs="Arial" w:eastAsia="Arial" w:hAnsi="Arial"/>
          <w:sz w:val="15"/>
          <w:szCs w:val="15"/>
          <w:color w:val="auto"/>
        </w:rPr>
        <w:t xml:space="preserve"> on </w:t>
      </w:r>
      <w:r>
        <w:rPr>
          <w:rFonts w:ascii="Arial" w:cs="Arial" w:eastAsia="Arial" w:hAnsi="Arial"/>
          <w:sz w:val="15"/>
          <w:szCs w:val="15"/>
          <w:u w:val="single" w:color="auto"/>
          <w:color w:val="auto"/>
        </w:rPr>
        <w:t>page 37</w:t>
      </w:r>
      <w:r>
        <w:rPr>
          <w:rFonts w:ascii="Arial" w:cs="Arial" w:eastAsia="Arial" w:hAnsi="Arial"/>
          <w:sz w:val="15"/>
          <w:szCs w:val="15"/>
          <w:color w:val="auto"/>
        </w:rPr>
        <w:t>.</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Changes to Long Term Incentive Compensation for 2025</w:t>
      </w:r>
    </w:p>
    <w:p>
      <w:pPr>
        <w:spacing w:after="0" w:line="229"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5"/>
          <w:szCs w:val="15"/>
          <w:color w:val="auto"/>
        </w:rPr>
        <w:t>The 2024 Pay Governance market assessment indicated that the executive officers’ total direct compensation was lagging the market primarily due to below-market LTI. In response, the Committee significantly increased the total 2025 LTI values as percentages of base salaries, resulting in fiscal 2025 target LTI values as of the grant date of $2,700,000 (325% of base salary) for Mr. Sayler, $770,600 (125% of base salary) for Mr. Tucker, and $426,100 (100% of base salary) for Mr. Schatz.</w:t>
      </w:r>
    </w:p>
    <w:p>
      <w:pPr>
        <w:spacing w:after="0" w:line="188"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5"/>
          <w:szCs w:val="15"/>
          <w:color w:val="auto"/>
        </w:rPr>
        <w:t>In addition, although the Committee determined that the LTI awards for fiscal 2025 would be provided in the same two forms as in fiscal 2024, it determined to shift the mix of the LTI awards toward the performance-based PSUs rather than being divided equally between the PSUs and the RSUs as they were in fiscal 2024, and it assigned 70% of the total LTI target value to the PSUs and 30% to the RSUs.</w:t>
      </w:r>
    </w:p>
    <w:p>
      <w:pPr>
        <w:spacing w:after="0" w:line="188" w:lineRule="exact"/>
        <w:rPr>
          <w:sz w:val="20"/>
          <w:szCs w:val="20"/>
          <w:color w:val="auto"/>
        </w:rPr>
      </w:pPr>
    </w:p>
    <w:p>
      <w:pPr>
        <w:jc w:val="both"/>
        <w:ind w:left="20" w:right="20"/>
        <w:spacing w:after="0" w:line="255" w:lineRule="auto"/>
        <w:rPr>
          <w:sz w:val="20"/>
          <w:szCs w:val="20"/>
          <w:color w:val="auto"/>
        </w:rPr>
      </w:pPr>
      <w:r>
        <w:rPr>
          <w:rFonts w:ascii="Arial" w:cs="Arial" w:eastAsia="Arial" w:hAnsi="Arial"/>
          <w:sz w:val="15"/>
          <w:szCs w:val="15"/>
          <w:color w:val="auto"/>
        </w:rPr>
        <w:t>The fiscal 2025 PSUs were granted in November 2024, and after a three-year performance period ending with fiscal 2027, they will vest on the last trading day of the month in which the HRCC approves and certifies the extent to which the applicable performance goals have been achieved. To the extent earned, the vested awards will be converted into a currently undeterminable number of shares of Company common stock, which may be less than or greater than the number of PSUs awarded, within certain specified threshold and maximum limits, depending on the degree to which the Company has achieved one or more specified performance goals. If the performance is less than the threshold goal for a particular performance measure, there will be no payout of that portion of the PSUs dependent on that measure.</w:t>
      </w:r>
    </w:p>
    <w:p>
      <w:pPr>
        <w:spacing w:after="0" w:line="194" w:lineRule="exact"/>
        <w:rPr>
          <w:sz w:val="20"/>
          <w:szCs w:val="20"/>
          <w:color w:val="auto"/>
        </w:rPr>
      </w:pPr>
    </w:p>
    <w:p>
      <w:pPr>
        <w:jc w:val="both"/>
        <w:ind w:left="20" w:right="20"/>
        <w:spacing w:after="0" w:line="282" w:lineRule="auto"/>
        <w:rPr>
          <w:sz w:val="20"/>
          <w:szCs w:val="20"/>
          <w:color w:val="auto"/>
        </w:rPr>
      </w:pPr>
      <w:r>
        <w:rPr>
          <w:rFonts w:ascii="Arial" w:cs="Arial" w:eastAsia="Arial" w:hAnsi="Arial"/>
          <w:sz w:val="15"/>
          <w:szCs w:val="15"/>
          <w:color w:val="auto"/>
        </w:rPr>
        <w:t>The fiscal 2025 RSU awards were also granted in November 2024 and will vest in three equal portions approximately 12, 24 and 36 months after the month in which they are granted; for the fiscal 2025 awards, vesting will occur on the last trading days in November of 2025, 2026 and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7141210"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Other Compensation Elements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Perquisites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Company also provides limited perquisites to the executive officers, which currently include financial planning and an annual physical. The Committee annually reviews the types and value of the perquisites provided to the executive officers as part of its overall review of executive compensation. The Committee determined the perquisites paid in fiscal 2024 to be reasonable.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Certain of these perquisites are treated as taxable income. We do not reimburse our executive officers for the income taxes due on these perquisites (“tax gross-ups”), and beginning in fiscal 2023 we ceased providing auto allowances and country club benefits for our executive officers other than country club initiation fee benefits for Mr. Sayler and Mr. Tucker based on their employment terms at hire.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Retirement Benefits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 xml:space="preserve">Like our other employees, the executive officers are eligible for retirement benefits provided through a matched defined contribution (401(k)) program. See </w:t>
      </w:r>
      <w:r>
        <w:rPr>
          <w:rFonts w:ascii="Arial" w:cs="Arial" w:eastAsia="Arial" w:hAnsi="Arial"/>
          <w:sz w:val="15"/>
          <w:szCs w:val="15"/>
          <w:b w:val="1"/>
          <w:bCs w:val="1"/>
          <w:i w:val="1"/>
          <w:iCs w:val="1"/>
          <w:color w:val="auto"/>
        </w:rPr>
        <w:t>Pension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 xml:space="preserve">Benefits </w:t>
      </w:r>
      <w:r>
        <w:rPr>
          <w:rFonts w:ascii="Arial" w:cs="Arial" w:eastAsia="Arial" w:hAnsi="Arial"/>
          <w:sz w:val="15"/>
          <w:szCs w:val="15"/>
          <w:color w:val="auto"/>
        </w:rPr>
        <w:t>on</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page 39</w:t>
      </w:r>
      <w:r>
        <w:rPr>
          <w:rFonts w:ascii="Arial" w:cs="Arial" w:eastAsia="Arial" w:hAnsi="Arial"/>
          <w:sz w:val="15"/>
          <w:szCs w:val="15"/>
          <w:color w:val="auto"/>
        </w:rPr>
        <w:t>. Our former defined benefit pension plan was terminated in February 2020, and the participants received lump sum distributions in liquidation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their plan accounts.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 Plan</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Severance provisions in the event of a change of control benefit a company by allowing executives who are parties to such arrangements to focus on continuing business operations and the success of a potential business combination rather than seeking alternative employment, thereby providing stability to a corporation during a potentially uncertain period. Accordingly, the Company has adopted a Severance Plan which prescribes the compensation and benefits to be provided in the event of a change of control to certain executives, including the CEO and the other executive officers.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Our change of control arrangements were designed to provide executives with severance payments and certain other benefits in the event that their employment is terminated in connection with a change of control transaction. The Severance Plan includes a “double trigger,” which means that it provides severance benefits only if there is both (1) a change of control of the Company, and (2) the Company (or any successor) terminates the employee’s employment without cause within 36 months following a change of control, or the employee terminates his or her employment for good reason within 36 months following a change of control, or the Company terminates the employee’s employment within 90 days before a change of control at the request of a third party who, at such time, had taken steps reasonably calculated to effect the change of control.</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For purposes of the Severance Plan, “change of control” means any of the following (subject to the specific definitions in the Severance Plan): (i) the acquisition by any person or group of at least 20% of the then-outstanding shares of the Company’s common stock; or (ii) a change in a majority of the members of the Board of Directors that is not approved by the incumbent Board; or (iii) the approval by the shareholders of either a reorganization, merger or consolidation after which the shareholders will not own at least a majority of the Company’s common stock and voting power, or a liquidation or dissolution of the Company, or the sale of all or substantially all of the Company’s assets.</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If the Severance Plan is triggered, the executive will be entitled to all accrued but unpaid compensation, a pro rata cash bonus for the year of separation and benefits through the date of separation, as well as a lump sum cash payment which is designed to replicate the cash compensation (base salary and cash incentive), plus certain benefits, that the executive would have received had he or she remained employed for two years. These payments and benefits would only be paid as a result of a double-trigger event. The determination of the appropriate level of payments and benefits to be provided in the event of a change of control termination involved consideration of several factors. The two-year multiple was determined based on a survey of the Company’s peers at the time the Severance Plan was adopted by the Company, and is deemed to be reasonable. The Committee considered that a high-level executive, who is more likely to lose his or her job in connection with a change of control than other employees, may require more time than other employees in order to secure an appropriate new position, and, unless that executive was provided with change of control benefits, he or she may be motivated to start a job search early if a change of control is anticipated, to the detriment of the Company. Thus, the existence of the Severance Plan provides an incentive for the executive to remain with the Company until a change of control actually occurs. In addition, payments are not provided under the Severance Plan unless there has been not only a change of control but also a qualifying termination of employment, thus providing an acquirer the opportunity to retain the Company’s management team during or after a transition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264795</wp:posOffset>
            </wp:positionV>
            <wp:extent cx="7141210"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38" w:name="page39"/>
    <w:bookmarkEnd w:id="38"/>
    <w:p>
      <w:pPr>
        <w:jc w:val="both"/>
        <w:ind w:right="20"/>
        <w:spacing w:after="0" w:line="294" w:lineRule="auto"/>
        <w:rPr>
          <w:sz w:val="20"/>
          <w:szCs w:val="20"/>
          <w:color w:val="auto"/>
        </w:rPr>
      </w:pPr>
      <w:r>
        <w:rPr>
          <w:rFonts w:ascii="Arial" w:cs="Arial" w:eastAsia="Arial" w:hAnsi="Arial"/>
          <w:sz w:val="15"/>
          <w:szCs w:val="15"/>
          <w:color w:val="auto"/>
        </w:rPr>
        <w:t xml:space="preserve">For further information about the Severance Plan, and a sample calculation of the cash compensation and benefits to be provided to our executive officers under the Severance Plan, based on certain stated assumptions, see </w:t>
      </w:r>
      <w:r>
        <w:rPr>
          <w:rFonts w:ascii="Arial" w:cs="Arial" w:eastAsia="Arial" w:hAnsi="Arial"/>
          <w:sz w:val="15"/>
          <w:szCs w:val="15"/>
          <w:b w:val="1"/>
          <w:bCs w:val="1"/>
          <w:i w:val="1"/>
          <w:iCs w:val="1"/>
          <w:color w:val="auto"/>
        </w:rPr>
        <w:t>Potential Payments Upon Termination or Change in Control</w:t>
      </w:r>
      <w:r>
        <w:rPr>
          <w:rFonts w:ascii="Arial" w:cs="Arial" w:eastAsia="Arial" w:hAnsi="Arial"/>
          <w:sz w:val="15"/>
          <w:szCs w:val="15"/>
          <w:color w:val="auto"/>
        </w:rPr>
        <w:t xml:space="preserve"> beginning on </w:t>
      </w:r>
      <w:r>
        <w:rPr>
          <w:rFonts w:ascii="Arial" w:cs="Arial" w:eastAsia="Arial" w:hAnsi="Arial"/>
          <w:sz w:val="15"/>
          <w:szCs w:val="15"/>
          <w:u w:val="single" w:color="auto"/>
          <w:color w:val="auto"/>
        </w:rPr>
        <w:t>page 40</w:t>
      </w:r>
      <w:r>
        <w:rPr>
          <w:rFonts w:ascii="Arial" w:cs="Arial" w:eastAsia="Arial" w:hAnsi="Arial"/>
          <w:sz w:val="15"/>
          <w:szCs w:val="15"/>
          <w:color w:val="auto"/>
        </w:rPr>
        <w:t>.</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In addition, pursuant to the executive officers’ severance agreements as well as their LTI award agreements, in the event of a change of control, all LTI awards are to be assumed by the acquirer or successor entity and converted to an equivalent agreement. If for any reason the awards will not or cannot be assumed, they will be paid out in cash.</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5"/>
          <w:szCs w:val="15"/>
          <w:color w:val="auto"/>
        </w:rPr>
        <w:t xml:space="preserve">We have entered into employment and compensation agreements with each of our executive officers, most recently with Mr. Sayler effective January 1, 2023, consistent with the financial terms of his accepted offer letter and otherwise substantially on the same terms as the employment agreements with our other executive officers. The agreements provide for payment of an annual base salary, participation in our cash incentive plans, eligibility for participation in our LTI plans and benefit plans and programs applicable to senior executives, and continuance of certain perquisites. For more information about the terms of these agreements, including specifics regarding the cash compensation and benefits provided in the event of a qualifying separation, and for a sample calculation based on certain stated assumptions, see </w:t>
      </w:r>
      <w:r>
        <w:rPr>
          <w:rFonts w:ascii="Arial" w:cs="Arial" w:eastAsia="Arial" w:hAnsi="Arial"/>
          <w:sz w:val="15"/>
          <w:szCs w:val="15"/>
          <w:b w:val="1"/>
          <w:bCs w:val="1"/>
          <w:i w:val="1"/>
          <w:iCs w:val="1"/>
          <w:color w:val="auto"/>
        </w:rPr>
        <w:t>Employment Agreements</w:t>
      </w:r>
      <w:r>
        <w:rPr>
          <w:rFonts w:ascii="Arial" w:cs="Arial" w:eastAsia="Arial" w:hAnsi="Arial"/>
          <w:sz w:val="15"/>
          <w:szCs w:val="15"/>
          <w:color w:val="auto"/>
        </w:rPr>
        <w:t xml:space="preserve"> on </w:t>
      </w:r>
      <w:r>
        <w:rPr>
          <w:rFonts w:ascii="Arial" w:cs="Arial" w:eastAsia="Arial" w:hAnsi="Arial"/>
          <w:sz w:val="15"/>
          <w:szCs w:val="15"/>
          <w:u w:val="single" w:color="auto"/>
          <w:color w:val="auto"/>
        </w:rPr>
        <w:t>page 39</w:t>
      </w:r>
      <w:r>
        <w:rPr>
          <w:rFonts w:ascii="Arial" w:cs="Arial" w:eastAsia="Arial" w:hAnsi="Arial"/>
          <w:sz w:val="15"/>
          <w:szCs w:val="15"/>
          <w:color w:val="auto"/>
        </w:rPr>
        <w:t xml:space="preserve">, and </w:t>
      </w:r>
      <w:r>
        <w:rPr>
          <w:rFonts w:ascii="Arial" w:cs="Arial" w:eastAsia="Arial" w:hAnsi="Arial"/>
          <w:sz w:val="15"/>
          <w:szCs w:val="15"/>
          <w:b w:val="1"/>
          <w:bCs w:val="1"/>
          <w:i w:val="1"/>
          <w:iCs w:val="1"/>
          <w:color w:val="auto"/>
        </w:rPr>
        <w:t>Potential Payments Upon Termination or Change in Control</w:t>
      </w:r>
      <w:r>
        <w:rPr>
          <w:rFonts w:ascii="Arial" w:cs="Arial" w:eastAsia="Arial" w:hAnsi="Arial"/>
          <w:sz w:val="15"/>
          <w:szCs w:val="15"/>
          <w:color w:val="auto"/>
        </w:rPr>
        <w:t xml:space="preserve"> beginning on </w:t>
      </w:r>
      <w:r>
        <w:rPr>
          <w:rFonts w:ascii="Arial" w:cs="Arial" w:eastAsia="Arial" w:hAnsi="Arial"/>
          <w:sz w:val="15"/>
          <w:szCs w:val="15"/>
          <w:u w:val="single" w:color="auto"/>
          <w:color w:val="auto"/>
        </w:rPr>
        <w:t>page 40</w:t>
      </w:r>
      <w:r>
        <w:rPr>
          <w:rFonts w:ascii="Arial" w:cs="Arial" w:eastAsia="Arial" w:hAnsi="Arial"/>
          <w:sz w:val="15"/>
          <w:szCs w:val="15"/>
          <w:color w:val="auto"/>
        </w:rPr>
        <w:t>.</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The Compensation Committee periodically assesses the reasonableness of the executive officers’ employment agreements to consider whether any changes are appropriate.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 on Deductibility of Certain Compensation</w:t>
      </w:r>
    </w:p>
    <w:p>
      <w:pPr>
        <w:spacing w:after="0" w:line="233" w:lineRule="exact"/>
        <w:rPr>
          <w:sz w:val="20"/>
          <w:szCs w:val="20"/>
          <w:color w:val="auto"/>
        </w:rPr>
      </w:pPr>
    </w:p>
    <w:p>
      <w:pPr>
        <w:jc w:val="both"/>
        <w:ind w:right="20"/>
        <w:spacing w:after="0" w:line="237" w:lineRule="auto"/>
        <w:rPr>
          <w:sz w:val="20"/>
          <w:szCs w:val="20"/>
          <w:color w:val="auto"/>
        </w:rPr>
      </w:pPr>
      <w:r>
        <w:rPr>
          <w:rFonts w:ascii="Arial" w:cs="Arial" w:eastAsia="Arial" w:hAnsi="Arial"/>
          <w:sz w:val="14"/>
          <w:szCs w:val="14"/>
          <w:color w:val="auto"/>
        </w:rPr>
        <w:t>Section 162(m) of the Internal Revenue Code prohibits publicly held companies, including the Company, from deducting salaries and other compensation paid to an executive officer to the extent that the total exceeds $1 million during the tax year. Certain compensation based upon the attainment of performance goals set by the Compensation Committee was formerly able to qualify for an exclusion from this limitation, but this exclusion has been eliminated. However, the Committee intends to continue its practice of utilizing shareholder-approved metrics for our cash incentive plans when appropriate, although it reserves the right to use other award provisions that are tailored to achieving our financial and business objectives if it determines that the awards and performance metrics are appropriate and consistent with our business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3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The Compensation Committee has established stock ownership guidelines for the executive officers. The guidelines set the minimum level of ownership at a multiple of annual base salary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600" w:type="dxa"/>
            <w:vAlign w:val="bottom"/>
          </w:tcPr>
          <w:p>
            <w:pPr>
              <w:ind w:left="80"/>
              <w:spacing w:after="0"/>
              <w:rPr>
                <w:sz w:val="20"/>
                <w:szCs w:val="20"/>
                <w:color w:val="auto"/>
              </w:rPr>
            </w:pPr>
            <w:r>
              <w:rPr>
                <w:rFonts w:ascii="Arial" w:cs="Arial" w:eastAsia="Arial" w:hAnsi="Arial"/>
                <w:sz w:val="12"/>
                <w:szCs w:val="12"/>
                <w:b w:val="1"/>
                <w:bCs w:val="1"/>
                <w:color w:val="auto"/>
              </w:rPr>
              <w:t>Multiple of Base Salary</w:t>
            </w:r>
          </w:p>
        </w:tc>
      </w:tr>
      <w:tr>
        <w:trPr>
          <w:trHeight w:val="70"/>
        </w:trPr>
        <w:tc>
          <w:tcPr>
            <w:tcW w:w="564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r>
      <w:tr>
        <w:trPr>
          <w:trHeight w:val="257"/>
        </w:trPr>
        <w:tc>
          <w:tcPr>
            <w:tcW w:w="5640" w:type="dxa"/>
            <w:vAlign w:val="bottom"/>
            <w:shd w:val="clear" w:color="auto" w:fill="E9EAEB"/>
          </w:tcPr>
          <w:p>
            <w:pPr>
              <w:ind w:left="100"/>
              <w:spacing w:after="0"/>
              <w:rPr>
                <w:sz w:val="20"/>
                <w:szCs w:val="20"/>
                <w:color w:val="auto"/>
              </w:rPr>
            </w:pPr>
            <w:r>
              <w:rPr>
                <w:rFonts w:ascii="Arial" w:cs="Arial" w:eastAsia="Arial" w:hAnsi="Arial"/>
                <w:sz w:val="13"/>
                <w:szCs w:val="13"/>
                <w:b w:val="1"/>
                <w:bCs w:val="1"/>
                <w:color w:val="auto"/>
              </w:rPr>
              <w:t>CEO and President</w:t>
            </w:r>
          </w:p>
        </w:tc>
        <w:tc>
          <w:tcPr>
            <w:tcW w:w="5600" w:type="dxa"/>
            <w:vAlign w:val="bottom"/>
            <w:shd w:val="clear" w:color="auto" w:fill="F3F3F4"/>
          </w:tcPr>
          <w:p>
            <w:pPr>
              <w:ind w:left="80"/>
              <w:spacing w:after="0"/>
              <w:rPr>
                <w:sz w:val="20"/>
                <w:szCs w:val="20"/>
                <w:color w:val="auto"/>
              </w:rPr>
            </w:pPr>
            <w:r>
              <w:rPr>
                <w:rFonts w:ascii="Arial" w:cs="Arial" w:eastAsia="Arial" w:hAnsi="Arial"/>
                <w:sz w:val="13"/>
                <w:szCs w:val="13"/>
                <w:color w:val="auto"/>
              </w:rPr>
              <w:t>5x</w:t>
            </w:r>
          </w:p>
        </w:tc>
      </w:tr>
      <w:tr>
        <w:trPr>
          <w:trHeight w:val="64"/>
        </w:trPr>
        <w:tc>
          <w:tcPr>
            <w:tcW w:w="5640" w:type="dxa"/>
            <w:vAlign w:val="bottom"/>
            <w:tcBorders>
              <w:bottom w:val="single" w:sz="8" w:color="939598"/>
            </w:tcBorders>
            <w:shd w:val="clear" w:color="auto" w:fill="E9EAEB"/>
          </w:tcPr>
          <w:p>
            <w:pPr>
              <w:spacing w:after="0"/>
              <w:rPr>
                <w:sz w:val="5"/>
                <w:szCs w:val="5"/>
                <w:color w:val="auto"/>
              </w:rPr>
            </w:pPr>
          </w:p>
        </w:tc>
        <w:tc>
          <w:tcPr>
            <w:tcW w:w="5600" w:type="dxa"/>
            <w:vAlign w:val="bottom"/>
            <w:tcBorders>
              <w:bottom w:val="single" w:sz="8" w:color="939598"/>
            </w:tcBorders>
            <w:shd w:val="clear" w:color="auto" w:fill="F3F3F4"/>
          </w:tcPr>
          <w:p>
            <w:pPr>
              <w:spacing w:after="0"/>
              <w:rPr>
                <w:sz w:val="5"/>
                <w:szCs w:val="5"/>
                <w:color w:val="auto"/>
              </w:rPr>
            </w:pPr>
          </w:p>
        </w:tc>
      </w:tr>
      <w:tr>
        <w:trPr>
          <w:trHeight w:val="257"/>
        </w:trPr>
        <w:tc>
          <w:tcPr>
            <w:tcW w:w="5640" w:type="dxa"/>
            <w:vAlign w:val="bottom"/>
            <w:shd w:val="clear" w:color="auto" w:fill="E9EAEB"/>
          </w:tcPr>
          <w:p>
            <w:pPr>
              <w:ind w:left="100"/>
              <w:spacing w:after="0"/>
              <w:rPr>
                <w:sz w:val="20"/>
                <w:szCs w:val="20"/>
                <w:color w:val="auto"/>
              </w:rPr>
            </w:pPr>
            <w:r>
              <w:rPr>
                <w:rFonts w:ascii="Arial" w:cs="Arial" w:eastAsia="Arial" w:hAnsi="Arial"/>
                <w:sz w:val="13"/>
                <w:szCs w:val="13"/>
                <w:b w:val="1"/>
                <w:bCs w:val="1"/>
                <w:color w:val="auto"/>
              </w:rPr>
              <w:t>Other Executive Officers</w:t>
            </w:r>
          </w:p>
        </w:tc>
        <w:tc>
          <w:tcPr>
            <w:tcW w:w="5600" w:type="dxa"/>
            <w:vAlign w:val="bottom"/>
            <w:shd w:val="clear" w:color="auto" w:fill="F3F3F4"/>
          </w:tcPr>
          <w:p>
            <w:pPr>
              <w:ind w:left="80"/>
              <w:spacing w:after="0"/>
              <w:rPr>
                <w:sz w:val="20"/>
                <w:szCs w:val="20"/>
                <w:color w:val="auto"/>
              </w:rPr>
            </w:pPr>
            <w:r>
              <w:rPr>
                <w:rFonts w:ascii="Arial" w:cs="Arial" w:eastAsia="Arial" w:hAnsi="Arial"/>
                <w:sz w:val="13"/>
                <w:szCs w:val="13"/>
                <w:color w:val="auto"/>
              </w:rPr>
              <w:t>3x</w:t>
            </w:r>
          </w:p>
        </w:tc>
      </w:tr>
      <w:tr>
        <w:trPr>
          <w:trHeight w:val="64"/>
        </w:trPr>
        <w:tc>
          <w:tcPr>
            <w:tcW w:w="5640" w:type="dxa"/>
            <w:vAlign w:val="bottom"/>
            <w:tcBorders>
              <w:bottom w:val="single" w:sz="8" w:color="939598"/>
            </w:tcBorders>
            <w:shd w:val="clear" w:color="auto" w:fill="E9EAEB"/>
          </w:tcPr>
          <w:p>
            <w:pPr>
              <w:spacing w:after="0"/>
              <w:rPr>
                <w:sz w:val="5"/>
                <w:szCs w:val="5"/>
                <w:color w:val="auto"/>
              </w:rPr>
            </w:pPr>
          </w:p>
        </w:tc>
        <w:tc>
          <w:tcPr>
            <w:tcW w:w="5600" w:type="dxa"/>
            <w:vAlign w:val="bottom"/>
            <w:tcBorders>
              <w:bottom w:val="single" w:sz="8" w:color="939598"/>
            </w:tcBorders>
            <w:shd w:val="clear" w:color="auto" w:fill="F3F3F4"/>
          </w:tcPr>
          <w:p>
            <w:pPr>
              <w:spacing w:after="0"/>
              <w:rPr>
                <w:sz w:val="5"/>
                <w:szCs w:val="5"/>
                <w:color w:val="auto"/>
              </w:rPr>
            </w:pPr>
          </w:p>
        </w:tc>
      </w:tr>
    </w:tbl>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Executive officers are expected to be in compliance with the ownership guidelines within five years of their appointments, and they are required to hold 100% of all after-tax stock distributions received from compensation awards until the guideline amounts are reached and thereafter as needed to maintain ownership of at least the guideline amounts. All of our executive officers currently exceed the ownership guidelines.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Anti-Hedging and Anti-Pledging Policies; Timing of LTI Grants</w:t>
      </w:r>
    </w:p>
    <w:p>
      <w:pPr>
        <w:spacing w:after="0" w:line="238"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Our Insider Trading Policy prohibits any employee from trading in Company securities while in possession of material non-public information. In addition, the Insider Trading Policy strictly prohibits our directors, officers and employees from engaging in transactions in Company securities involving puts, calls or other derivative securities on an exchange or in any other organized market, selling Company securities “short”, or entering into hedging or similar arrangements (such as exchange funds) involving Company securities. The Insider Trading Policy also prohibits our directors, officers, corporate office employees, and other designated employees in management positions from pledging Company securities as collateral for a loan or holding Company securities in a margin account. These policies are intended to ensure that the executive officers, as well as other Company personnel in positions of authority, cannot offset or hedge against declines in the price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260985</wp:posOffset>
            </wp:positionV>
            <wp:extent cx="7141210"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9" w:name="page40"/>
    <w:bookmarkEnd w:id="39"/>
    <w:p>
      <w:pPr>
        <w:jc w:val="both"/>
        <w:spacing w:after="0" w:line="282" w:lineRule="auto"/>
        <w:rPr>
          <w:sz w:val="20"/>
          <w:szCs w:val="20"/>
          <w:color w:val="auto"/>
        </w:rPr>
      </w:pPr>
      <w:r>
        <w:rPr>
          <w:rFonts w:ascii="Arial" w:cs="Arial" w:eastAsia="Arial" w:hAnsi="Arial"/>
          <w:sz w:val="15"/>
          <w:szCs w:val="15"/>
          <w:color w:val="auto"/>
        </w:rPr>
        <w:t>the Company stock they own or have a personal interest in the price of their shares which may be different from the interests of other shareholders generally. A clickable link to the Insider Trading Policy is located at Exhibit 19 in the Exhibit Index to our 2024 Annual Report on Form 10-K on file with the SEC.</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do not coordinate LTI grants with the release of material non-public information. Company-wide equity grants, including equity grants to our executive officers, are made at regular meetings of the Compensation Committee. We also do not grant stock options or other awards which require a payment by the recipient in order to realize the value of the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Our Code of Conduct reaffirms the importance of high standards of business ethics. Adherence to these standards by all employees is the best way to ensure compliance and secure public confidence and support. All employees are responsible for their actions and for conducting themselves with integrity. Any failure on the part of any employee to meet any of the standards embodied in this Code will be subject to disciplinary action, including potential dismissal.</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Since 2010, we have had in effect a robust Compensation Recovery Policy (Clawback Policy), and effective in October 2023 we adopted a Supplement to the Clawback Policy designed to comply with the enhanced clawback-related listing standards adopted in 2023 by the NYSE. The Clawback Policy provides that when appropriate, and in accordance with applicable law, the Company may recover any “Recoverable Compensation” received during a prescribed period of up to three years if an executive or other senior officer of the Company or any of our affiliates:</w:t>
      </w:r>
    </w:p>
    <w:p>
      <w:pPr>
        <w:spacing w:after="0" w:line="192" w:lineRule="exact"/>
        <w:rPr>
          <w:sz w:val="20"/>
          <w:szCs w:val="20"/>
          <w:color w:val="auto"/>
        </w:rPr>
      </w:pPr>
    </w:p>
    <w:p>
      <w:pPr>
        <w:ind w:left="180" w:hanging="179"/>
        <w:spacing w:after="0"/>
        <w:tabs>
          <w:tab w:leader="none" w:pos="1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Engages in intentional misconduct resulting in a financial restatement or in any increase in his or her incentive or equity income, or</w:t>
      </w:r>
    </w:p>
    <w:p>
      <w:pPr>
        <w:spacing w:after="0" w:line="180" w:lineRule="exact"/>
        <w:rPr>
          <w:rFonts w:ascii="Arial" w:cs="Arial" w:eastAsia="Arial" w:hAnsi="Arial"/>
          <w:sz w:val="15"/>
          <w:szCs w:val="15"/>
          <w:color w:val="auto"/>
        </w:rPr>
      </w:pPr>
    </w:p>
    <w:p>
      <w:pPr>
        <w:ind w:left="180" w:hanging="179"/>
        <w:spacing w:after="0"/>
        <w:tabs>
          <w:tab w:leader="none" w:pos="1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Engages in activity that competes with the Company or its affiliated companies, or</w:t>
      </w:r>
    </w:p>
    <w:p>
      <w:pPr>
        <w:spacing w:after="0" w:line="180" w:lineRule="exact"/>
        <w:rPr>
          <w:rFonts w:ascii="Arial" w:cs="Arial" w:eastAsia="Arial" w:hAnsi="Arial"/>
          <w:sz w:val="15"/>
          <w:szCs w:val="15"/>
          <w:color w:val="auto"/>
        </w:rPr>
      </w:pPr>
    </w:p>
    <w:p>
      <w:pPr>
        <w:jc w:val="both"/>
        <w:ind w:left="180" w:hanging="179"/>
        <w:spacing w:after="0" w:line="264" w:lineRule="auto"/>
        <w:tabs>
          <w:tab w:leader="none" w:pos="1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Solicits customers or hires or assists anyone else in soliciting or hiring employees of the Company or its affiliates after termination of employment or engages in the unauthorized disclosure or use of the Company’s confidential information resulting in harm to the Company or its affiliates, in any case in violation of agreements entered into by such employee prohibiting such actions.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“Recoverable Compensation” is defined to include any equity and incentive compensation received, earned or distributed to or for the benefit of an executive or senior officer, including amounts and shares under any equity or compensation plan or employment agreement. The Clawback Policy specifies that to the extent compensation is recovered from an individual as a result of a financial restatement such amounts will be excluded from “Recoverable Compensation.”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As supplemented, the Clawback Policy also provides in the event the Company is required to prepare an accounting restatement of its financial statements due to the Company’s material noncompliance with any financial reporting requirement under the federal securities laws, the Board shall require prompt reimbursement or forfeiture of any excess Incentive-Based Compensation, as defined in the Supplemental Clawback Policy, received by a Company executive during the three completed fiscal years immediately preceding the date on which the Company is required to prepare an accounting restatement, in addition to any transition period (that results from any change in the Company’s fiscal year) within or immediately following such three completed fiscal years.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Recoupment and clawback provisions are included in all equity awards and performance compensation plan agreements for certain participants, and these provisions will be added to all new non-base compensation awards. The Clawback Policy does not prevent us from taking other actions as appropriate, if warranted, based on the misconduct outlined above.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 clickable link to the Clawback Policy, including the 2023 Supplement, is located at Exhibits 97.1 and 97.2 in the Exhibit Index to our 2024 Annual Report on Form 10-K on file with the SEC.</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During fiscal 2024, there was no financial restatement which would have required action under the Clawback Policy to recover any Recoverable Compensation, and at the end of fiscal 2023 there was no outstanding balance of Recoverable Compensation resulting from a financial restatement in any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7141210"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0" w:name="page41"/>
    <w:bookmarkEnd w:id="40"/>
    <w:p>
      <w:pPr>
        <w:spacing w:after="0"/>
        <w:rPr>
          <w:sz w:val="20"/>
          <w:szCs w:val="20"/>
          <w:color w:val="auto"/>
        </w:rPr>
      </w:pPr>
      <w:r>
        <w:rPr>
          <w:rFonts w:ascii="Arial" w:cs="Arial" w:eastAsia="Arial" w:hAnsi="Arial"/>
          <w:sz w:val="21"/>
          <w:szCs w:val="21"/>
          <w:b w:val="1"/>
          <w:bCs w:val="1"/>
          <w:color w:val="auto"/>
        </w:rPr>
        <w:t>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71412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17"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The following table contains compensation information for fiscal 2024 and the preceding two fiscal years for all services rendered in all capacities to the Company and its subsidiaries by the executive officers. Because Mr. Sayler became an executive officer during 2023, under SEC regulations 2023 was the first year for which his compensation was required to be reported.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40" w:type="dxa"/>
            <w:vAlign w:val="bottom"/>
          </w:tcPr>
          <w:p>
            <w:pPr>
              <w:ind w:left="100"/>
              <w:spacing w:after="0"/>
              <w:rPr>
                <w:sz w:val="20"/>
                <w:szCs w:val="20"/>
                <w:color w:val="auto"/>
              </w:rPr>
            </w:pPr>
            <w:r>
              <w:rPr>
                <w:rFonts w:ascii="Arial" w:cs="Arial" w:eastAsia="Arial" w:hAnsi="Arial"/>
                <w:sz w:val="12"/>
                <w:szCs w:val="12"/>
                <w:b w:val="1"/>
                <w:bCs w:val="1"/>
                <w:color w:val="auto"/>
              </w:rPr>
              <w:t>Name and</w:t>
            </w: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81"/>
              <w:spacing w:after="0"/>
              <w:rPr>
                <w:sz w:val="20"/>
                <w:szCs w:val="20"/>
                <w:color w:val="auto"/>
              </w:rPr>
            </w:pPr>
            <w:r>
              <w:rPr>
                <w:rFonts w:ascii="Arial" w:cs="Arial" w:eastAsia="Arial" w:hAnsi="Arial"/>
                <w:sz w:val="12"/>
                <w:szCs w:val="12"/>
                <w:b w:val="1"/>
                <w:bCs w:val="1"/>
                <w:color w:val="auto"/>
              </w:rPr>
              <w:t>Non-Equity</w:t>
            </w:r>
          </w:p>
        </w:tc>
        <w:tc>
          <w:tcPr>
            <w:tcW w:w="1660" w:type="dxa"/>
            <w:vAlign w:val="bottom"/>
            <w:gridSpan w:val="2"/>
          </w:tcPr>
          <w:p>
            <w:pPr>
              <w:ind w:left="140"/>
              <w:spacing w:after="0"/>
              <w:rPr>
                <w:sz w:val="20"/>
                <w:szCs w:val="20"/>
                <w:color w:val="auto"/>
              </w:rPr>
            </w:pPr>
            <w:r>
              <w:rPr>
                <w:rFonts w:ascii="Arial" w:cs="Arial" w:eastAsia="Arial" w:hAnsi="Arial"/>
                <w:sz w:val="12"/>
                <w:szCs w:val="12"/>
                <w:b w:val="1"/>
                <w:bCs w:val="1"/>
                <w:color w:val="auto"/>
              </w:rPr>
              <w:t>Change in Pension Value</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46"/>
        </w:trPr>
        <w:tc>
          <w:tcPr>
            <w:tcW w:w="2040" w:type="dxa"/>
            <w:vAlign w:val="bottom"/>
          </w:tcPr>
          <w:p>
            <w:pPr>
              <w:ind w:left="100"/>
              <w:spacing w:after="0"/>
              <w:rPr>
                <w:sz w:val="20"/>
                <w:szCs w:val="20"/>
                <w:color w:val="auto"/>
              </w:rPr>
            </w:pPr>
            <w:r>
              <w:rPr>
                <w:rFonts w:ascii="Arial" w:cs="Arial" w:eastAsia="Arial" w:hAnsi="Arial"/>
                <w:sz w:val="12"/>
                <w:szCs w:val="12"/>
                <w:b w:val="1"/>
                <w:bCs w:val="1"/>
                <w:color w:val="auto"/>
              </w:rPr>
              <w:t>Principal</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Fiscal</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ind w:right="81"/>
              <w:spacing w:after="0"/>
              <w:rPr>
                <w:sz w:val="20"/>
                <w:szCs w:val="20"/>
                <w:color w:val="auto"/>
              </w:rPr>
            </w:pPr>
            <w:r>
              <w:rPr>
                <w:rFonts w:ascii="Arial" w:cs="Arial" w:eastAsia="Arial" w:hAnsi="Arial"/>
                <w:sz w:val="12"/>
                <w:szCs w:val="12"/>
                <w:b w:val="1"/>
                <w:bCs w:val="1"/>
                <w:color w:val="auto"/>
              </w:rPr>
              <w:t>Incentive Plan</w:t>
            </w:r>
          </w:p>
        </w:tc>
        <w:tc>
          <w:tcPr>
            <w:tcW w:w="180" w:type="dxa"/>
            <w:vAlign w:val="bottom"/>
          </w:tcPr>
          <w:p>
            <w:pPr>
              <w:spacing w:after="0"/>
              <w:rPr>
                <w:sz w:val="12"/>
                <w:szCs w:val="12"/>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b w:val="1"/>
                <w:bCs w:val="1"/>
                <w:color w:val="auto"/>
                <w:w w:val="97"/>
              </w:rPr>
              <w:t>&amp; Nonqualified Deferred</w:t>
            </w:r>
          </w:p>
        </w:tc>
        <w:tc>
          <w:tcPr>
            <w:tcW w:w="200" w:type="dxa"/>
            <w:vAlign w:val="bottom"/>
          </w:tcPr>
          <w:p>
            <w:pPr>
              <w:spacing w:after="0"/>
              <w:rPr>
                <w:sz w:val="12"/>
                <w:szCs w:val="12"/>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b w:val="1"/>
                <w:bCs w:val="1"/>
                <w:color w:val="auto"/>
              </w:rPr>
              <w:t>All Other</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50"/>
        </w:trPr>
        <w:tc>
          <w:tcPr>
            <w:tcW w:w="20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Position</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Year</w:t>
            </w: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Salary</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rPr>
              <w:t>Bonus</w:t>
            </w:r>
          </w:p>
        </w:tc>
        <w:tc>
          <w:tcPr>
            <w:tcW w:w="10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2"/>
                <w:szCs w:val="12"/>
                <w:b w:val="1"/>
                <w:bCs w:val="1"/>
                <w:color w:val="auto"/>
              </w:rPr>
              <w:t>Stock Awards</w:t>
            </w:r>
            <w:r>
              <w:rPr>
                <w:rFonts w:ascii="Arial" w:cs="Arial" w:eastAsia="Arial" w:hAnsi="Arial"/>
                <w:sz w:val="19"/>
                <w:szCs w:val="19"/>
                <w:b w:val="1"/>
                <w:bCs w:val="1"/>
                <w:color w:val="auto"/>
                <w:vertAlign w:val="superscript"/>
              </w:rPr>
              <w:t>1</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95"/>
              </w:rPr>
              <w:t>Compensation</w:t>
            </w:r>
            <w:r>
              <w:rPr>
                <w:rFonts w:ascii="Arial" w:cs="Arial" w:eastAsia="Arial" w:hAnsi="Arial"/>
                <w:sz w:val="19"/>
                <w:szCs w:val="19"/>
                <w:b w:val="1"/>
                <w:bCs w:val="1"/>
                <w:color w:val="auto"/>
                <w:w w:val="95"/>
                <w:vertAlign w:val="superscript"/>
              </w:rPr>
              <w:t>2</w:t>
            </w:r>
          </w:p>
        </w:tc>
        <w:tc>
          <w:tcPr>
            <w:tcW w:w="166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2"/>
                <w:szCs w:val="12"/>
                <w:b w:val="1"/>
                <w:bCs w:val="1"/>
                <w:color w:val="auto"/>
              </w:rPr>
              <w:t>Compensation Earnings</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w w:val="97"/>
              </w:rPr>
              <w:t>Compensation</w:t>
            </w:r>
            <w:r>
              <w:rPr>
                <w:rFonts w:ascii="Arial" w:cs="Arial" w:eastAsia="Arial" w:hAnsi="Arial"/>
                <w:sz w:val="19"/>
                <w:szCs w:val="19"/>
                <w:b w:val="1"/>
                <w:bCs w:val="1"/>
                <w:color w:val="auto"/>
                <w:w w:val="97"/>
                <w:vertAlign w:val="superscript"/>
              </w:rPr>
              <w:t>3</w:t>
            </w: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rPr>
              <w:t>Total</w:t>
            </w:r>
          </w:p>
        </w:tc>
      </w:tr>
      <w:tr>
        <w:trPr>
          <w:trHeight w:val="207"/>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Bryan H. Sayler</w:t>
            </w:r>
          </w:p>
        </w:tc>
        <w:tc>
          <w:tcPr>
            <w:tcW w:w="7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2024</w:t>
            </w:r>
          </w:p>
        </w:tc>
        <w:tc>
          <w:tcPr>
            <w:tcW w:w="3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6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755,000</w:t>
            </w:r>
          </w:p>
        </w:tc>
        <w:tc>
          <w:tcPr>
            <w:tcW w:w="36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0</w:t>
            </w:r>
          </w:p>
        </w:tc>
        <w:tc>
          <w:tcPr>
            <w:tcW w:w="24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1,651,551</w:t>
            </w:r>
          </w:p>
        </w:tc>
        <w:tc>
          <w:tcPr>
            <w:tcW w:w="2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674,819</w:t>
            </w:r>
          </w:p>
        </w:tc>
        <w:tc>
          <w:tcPr>
            <w:tcW w:w="180" w:type="dxa"/>
            <w:vAlign w:val="bottom"/>
            <w:shd w:val="clear" w:color="auto" w:fill="F3F3F4"/>
          </w:tcPr>
          <w:p>
            <w:pPr>
              <w:ind w:left="120"/>
              <w:spacing w:after="0"/>
              <w:rPr>
                <w:sz w:val="20"/>
                <w:szCs w:val="20"/>
                <w:color w:val="auto"/>
              </w:rPr>
            </w:pPr>
            <w:r>
              <w:rPr>
                <w:rFonts w:ascii="Arial" w:cs="Arial" w:eastAsia="Arial" w:hAnsi="Arial"/>
                <w:sz w:val="9"/>
                <w:szCs w:val="9"/>
                <w:color w:val="auto"/>
                <w:w w:val="78"/>
              </w:rPr>
              <w:t>$</w:t>
            </w: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0</w:t>
            </w:r>
          </w:p>
        </w:tc>
        <w:tc>
          <w:tcPr>
            <w:tcW w:w="200" w:type="dxa"/>
            <w:vAlign w:val="bottom"/>
            <w:shd w:val="clear" w:color="auto" w:fill="F3F3F4"/>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30,690</w:t>
            </w:r>
          </w:p>
        </w:tc>
        <w:tc>
          <w:tcPr>
            <w:tcW w:w="2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4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3,112,060</w:t>
            </w:r>
          </w:p>
        </w:tc>
      </w:tr>
      <w:tr>
        <w:trPr>
          <w:trHeight w:val="189"/>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Chief Executive</w:t>
            </w:r>
          </w:p>
        </w:tc>
        <w:tc>
          <w:tcPr>
            <w:tcW w:w="7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2023</w:t>
            </w:r>
          </w:p>
        </w:tc>
        <w:tc>
          <w:tcPr>
            <w:tcW w:w="380" w:type="dxa"/>
            <w:vAlign w:val="bottom"/>
            <w:shd w:val="clear" w:color="auto" w:fill="F3F3F4"/>
          </w:tcPr>
          <w:p>
            <w:pPr>
              <w:spacing w:after="0"/>
              <w:rPr>
                <w:sz w:val="16"/>
                <w:szCs w:val="16"/>
                <w:color w:val="auto"/>
              </w:rPr>
            </w:pPr>
          </w:p>
        </w:tc>
        <w:tc>
          <w:tcPr>
            <w:tcW w:w="680" w:type="dxa"/>
            <w:vAlign w:val="bottom"/>
            <w:shd w:val="clear" w:color="auto" w:fill="F3F3F4"/>
          </w:tcPr>
          <w:p>
            <w:pPr>
              <w:jc w:val="right"/>
              <w:ind w:right="1"/>
              <w:spacing w:after="0" w:line="189" w:lineRule="exact"/>
              <w:rPr>
                <w:sz w:val="20"/>
                <w:szCs w:val="20"/>
                <w:color w:val="auto"/>
              </w:rPr>
            </w:pPr>
            <w:r>
              <w:rPr>
                <w:rFonts w:ascii="Arial" w:cs="Arial" w:eastAsia="Arial" w:hAnsi="Arial"/>
                <w:sz w:val="12"/>
                <w:szCs w:val="12"/>
                <w:color w:val="auto"/>
              </w:rPr>
              <w:t>621,125</w:t>
            </w:r>
            <w:r>
              <w:rPr>
                <w:rFonts w:ascii="Arial" w:cs="Arial" w:eastAsia="Arial" w:hAnsi="Arial"/>
                <w:sz w:val="19"/>
                <w:szCs w:val="19"/>
                <w:color w:val="auto"/>
                <w:vertAlign w:val="superscript"/>
              </w:rPr>
              <w:t>4</w:t>
            </w:r>
          </w:p>
        </w:tc>
        <w:tc>
          <w:tcPr>
            <w:tcW w:w="360" w:type="dxa"/>
            <w:vAlign w:val="bottom"/>
            <w:shd w:val="clear" w:color="auto" w:fill="F3F3F4"/>
          </w:tcPr>
          <w:p>
            <w:pPr>
              <w:spacing w:after="0"/>
              <w:rPr>
                <w:sz w:val="16"/>
                <w:szCs w:val="16"/>
                <w:color w:val="auto"/>
              </w:rPr>
            </w:pPr>
          </w:p>
        </w:tc>
        <w:tc>
          <w:tcPr>
            <w:tcW w:w="78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0</w:t>
            </w:r>
          </w:p>
        </w:tc>
        <w:tc>
          <w:tcPr>
            <w:tcW w:w="240" w:type="dxa"/>
            <w:vAlign w:val="bottom"/>
            <w:shd w:val="clear" w:color="auto" w:fill="F3F3F4"/>
          </w:tcPr>
          <w:p>
            <w:pPr>
              <w:spacing w:after="0"/>
              <w:rPr>
                <w:sz w:val="16"/>
                <w:szCs w:val="16"/>
                <w:color w:val="auto"/>
              </w:rPr>
            </w:pPr>
          </w:p>
        </w:tc>
        <w:tc>
          <w:tcPr>
            <w:tcW w:w="7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1,492,717</w:t>
            </w:r>
          </w:p>
        </w:tc>
        <w:tc>
          <w:tcPr>
            <w:tcW w:w="280" w:type="dxa"/>
            <w:vAlign w:val="bottom"/>
            <w:shd w:val="clear" w:color="auto" w:fill="F3F3F4"/>
          </w:tcPr>
          <w:p>
            <w:pPr>
              <w:spacing w:after="0"/>
              <w:rPr>
                <w:sz w:val="16"/>
                <w:szCs w:val="16"/>
                <w:color w:val="auto"/>
              </w:rPr>
            </w:pPr>
          </w:p>
        </w:tc>
        <w:tc>
          <w:tcPr>
            <w:tcW w:w="102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947,375</w:t>
            </w:r>
          </w:p>
        </w:tc>
        <w:tc>
          <w:tcPr>
            <w:tcW w:w="180" w:type="dxa"/>
            <w:vAlign w:val="bottom"/>
            <w:shd w:val="clear" w:color="auto" w:fill="F3F3F4"/>
          </w:tcPr>
          <w:p>
            <w:pPr>
              <w:spacing w:after="0"/>
              <w:rPr>
                <w:sz w:val="16"/>
                <w:szCs w:val="16"/>
                <w:color w:val="auto"/>
              </w:rPr>
            </w:pP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0</w:t>
            </w:r>
          </w:p>
        </w:tc>
        <w:tc>
          <w:tcPr>
            <w:tcW w:w="200" w:type="dxa"/>
            <w:vAlign w:val="bottom"/>
            <w:shd w:val="clear" w:color="auto" w:fill="F3F3F4"/>
          </w:tcPr>
          <w:p>
            <w:pPr>
              <w:spacing w:after="0"/>
              <w:rPr>
                <w:sz w:val="16"/>
                <w:szCs w:val="16"/>
                <w:color w:val="auto"/>
              </w:rPr>
            </w:pPr>
          </w:p>
        </w:tc>
        <w:tc>
          <w:tcPr>
            <w:tcW w:w="102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586,424</w:t>
            </w:r>
          </w:p>
        </w:tc>
        <w:tc>
          <w:tcPr>
            <w:tcW w:w="280" w:type="dxa"/>
            <w:vAlign w:val="bottom"/>
            <w:shd w:val="clear" w:color="auto" w:fill="F3F3F4"/>
          </w:tcPr>
          <w:p>
            <w:pPr>
              <w:spacing w:after="0"/>
              <w:rPr>
                <w:sz w:val="16"/>
                <w:szCs w:val="16"/>
                <w:color w:val="auto"/>
              </w:rPr>
            </w:pPr>
          </w:p>
        </w:tc>
        <w:tc>
          <w:tcPr>
            <w:tcW w:w="74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3,647,641</w:t>
            </w:r>
          </w:p>
        </w:tc>
      </w:tr>
      <w:tr>
        <w:trPr>
          <w:trHeight w:val="151"/>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Officer and</w:t>
            </w:r>
          </w:p>
        </w:tc>
        <w:tc>
          <w:tcPr>
            <w:tcW w:w="7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N/A</w:t>
            </w:r>
          </w:p>
        </w:tc>
        <w:tc>
          <w:tcPr>
            <w:tcW w:w="380" w:type="dxa"/>
            <w:vAlign w:val="bottom"/>
            <w:shd w:val="clear" w:color="auto" w:fill="F3F3F4"/>
          </w:tcPr>
          <w:p>
            <w:pPr>
              <w:spacing w:after="0"/>
              <w:rPr>
                <w:sz w:val="13"/>
                <w:szCs w:val="13"/>
                <w:color w:val="auto"/>
              </w:rPr>
            </w:pPr>
          </w:p>
        </w:tc>
        <w:tc>
          <w:tcPr>
            <w:tcW w:w="6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w:t>
            </w:r>
          </w:p>
        </w:tc>
        <w:tc>
          <w:tcPr>
            <w:tcW w:w="360" w:type="dxa"/>
            <w:vAlign w:val="bottom"/>
            <w:shd w:val="clear" w:color="auto" w:fill="F3F3F4"/>
          </w:tcPr>
          <w:p>
            <w:pPr>
              <w:spacing w:after="0"/>
              <w:rPr>
                <w:sz w:val="13"/>
                <w:szCs w:val="13"/>
                <w:color w:val="auto"/>
              </w:rPr>
            </w:pPr>
          </w:p>
        </w:tc>
        <w:tc>
          <w:tcPr>
            <w:tcW w:w="78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w:t>
            </w:r>
          </w:p>
        </w:tc>
        <w:tc>
          <w:tcPr>
            <w:tcW w:w="240" w:type="dxa"/>
            <w:vAlign w:val="bottom"/>
            <w:shd w:val="clear" w:color="auto" w:fill="F3F3F4"/>
          </w:tcPr>
          <w:p>
            <w:pPr>
              <w:spacing w:after="0"/>
              <w:rPr>
                <w:sz w:val="13"/>
                <w:szCs w:val="13"/>
                <w:color w:val="auto"/>
              </w:rPr>
            </w:pPr>
          </w:p>
        </w:tc>
        <w:tc>
          <w:tcPr>
            <w:tcW w:w="7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w:t>
            </w:r>
          </w:p>
        </w:tc>
        <w:tc>
          <w:tcPr>
            <w:tcW w:w="280" w:type="dxa"/>
            <w:vAlign w:val="bottom"/>
            <w:shd w:val="clear" w:color="auto" w:fill="F3F3F4"/>
          </w:tcPr>
          <w:p>
            <w:pPr>
              <w:spacing w:after="0"/>
              <w:rPr>
                <w:sz w:val="13"/>
                <w:szCs w:val="13"/>
                <w:color w:val="auto"/>
              </w:rPr>
            </w:pPr>
          </w:p>
        </w:tc>
        <w:tc>
          <w:tcPr>
            <w:tcW w:w="102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w:t>
            </w:r>
          </w:p>
        </w:tc>
        <w:tc>
          <w:tcPr>
            <w:tcW w:w="180" w:type="dxa"/>
            <w:vAlign w:val="bottom"/>
            <w:shd w:val="clear" w:color="auto" w:fill="F3F3F4"/>
          </w:tcPr>
          <w:p>
            <w:pPr>
              <w:spacing w:after="0"/>
              <w:rPr>
                <w:sz w:val="13"/>
                <w:szCs w:val="13"/>
                <w:color w:val="auto"/>
              </w:rPr>
            </w:pP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w:t>
            </w:r>
          </w:p>
        </w:tc>
        <w:tc>
          <w:tcPr>
            <w:tcW w:w="200" w:type="dxa"/>
            <w:vAlign w:val="bottom"/>
            <w:shd w:val="clear" w:color="auto" w:fill="F3F3F4"/>
          </w:tcPr>
          <w:p>
            <w:pPr>
              <w:spacing w:after="0"/>
              <w:rPr>
                <w:sz w:val="13"/>
                <w:szCs w:val="13"/>
                <w:color w:val="auto"/>
              </w:rPr>
            </w:pPr>
          </w:p>
        </w:tc>
        <w:tc>
          <w:tcPr>
            <w:tcW w:w="102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w:t>
            </w:r>
          </w:p>
        </w:tc>
        <w:tc>
          <w:tcPr>
            <w:tcW w:w="280" w:type="dxa"/>
            <w:vAlign w:val="bottom"/>
            <w:shd w:val="clear" w:color="auto" w:fill="F3F3F4"/>
          </w:tcPr>
          <w:p>
            <w:pPr>
              <w:spacing w:after="0"/>
              <w:rPr>
                <w:sz w:val="13"/>
                <w:szCs w:val="13"/>
                <w:color w:val="auto"/>
              </w:rPr>
            </w:pPr>
          </w:p>
        </w:tc>
        <w:tc>
          <w:tcPr>
            <w:tcW w:w="74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w:t>
            </w:r>
          </w:p>
        </w:tc>
      </w:tr>
      <w:tr>
        <w:trPr>
          <w:trHeight w:val="151"/>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President</w:t>
            </w:r>
          </w:p>
        </w:tc>
        <w:tc>
          <w:tcPr>
            <w:tcW w:w="780" w:type="dxa"/>
            <w:vAlign w:val="bottom"/>
            <w:shd w:val="clear" w:color="auto" w:fill="F3F3F4"/>
          </w:tcPr>
          <w:p>
            <w:pPr>
              <w:spacing w:after="0"/>
              <w:rPr>
                <w:sz w:val="13"/>
                <w:szCs w:val="13"/>
                <w:color w:val="auto"/>
              </w:rPr>
            </w:pPr>
          </w:p>
        </w:tc>
        <w:tc>
          <w:tcPr>
            <w:tcW w:w="380" w:type="dxa"/>
            <w:vAlign w:val="bottom"/>
            <w:shd w:val="clear" w:color="auto" w:fill="F3F3F4"/>
          </w:tcPr>
          <w:p>
            <w:pPr>
              <w:spacing w:after="0"/>
              <w:rPr>
                <w:sz w:val="13"/>
                <w:szCs w:val="13"/>
                <w:color w:val="auto"/>
              </w:rPr>
            </w:pPr>
          </w:p>
        </w:tc>
        <w:tc>
          <w:tcPr>
            <w:tcW w:w="680" w:type="dxa"/>
            <w:vAlign w:val="bottom"/>
            <w:shd w:val="clear" w:color="auto" w:fill="F3F3F4"/>
          </w:tcPr>
          <w:p>
            <w:pPr>
              <w:spacing w:after="0"/>
              <w:rPr>
                <w:sz w:val="13"/>
                <w:szCs w:val="13"/>
                <w:color w:val="auto"/>
              </w:rPr>
            </w:pPr>
          </w:p>
        </w:tc>
        <w:tc>
          <w:tcPr>
            <w:tcW w:w="360" w:type="dxa"/>
            <w:vAlign w:val="bottom"/>
            <w:shd w:val="clear" w:color="auto" w:fill="F3F3F4"/>
          </w:tcPr>
          <w:p>
            <w:pPr>
              <w:spacing w:after="0"/>
              <w:rPr>
                <w:sz w:val="13"/>
                <w:szCs w:val="13"/>
                <w:color w:val="auto"/>
              </w:rPr>
            </w:pPr>
          </w:p>
        </w:tc>
        <w:tc>
          <w:tcPr>
            <w:tcW w:w="780" w:type="dxa"/>
            <w:vAlign w:val="bottom"/>
            <w:shd w:val="clear" w:color="auto" w:fill="F3F3F4"/>
          </w:tcPr>
          <w:p>
            <w:pPr>
              <w:spacing w:after="0"/>
              <w:rPr>
                <w:sz w:val="13"/>
                <w:szCs w:val="13"/>
                <w:color w:val="auto"/>
              </w:rPr>
            </w:pPr>
          </w:p>
        </w:tc>
        <w:tc>
          <w:tcPr>
            <w:tcW w:w="240" w:type="dxa"/>
            <w:vAlign w:val="bottom"/>
            <w:shd w:val="clear" w:color="auto" w:fill="F3F3F4"/>
          </w:tcPr>
          <w:p>
            <w:pPr>
              <w:spacing w:after="0"/>
              <w:rPr>
                <w:sz w:val="13"/>
                <w:szCs w:val="13"/>
                <w:color w:val="auto"/>
              </w:rPr>
            </w:pPr>
          </w:p>
        </w:tc>
        <w:tc>
          <w:tcPr>
            <w:tcW w:w="780" w:type="dxa"/>
            <w:vAlign w:val="bottom"/>
            <w:shd w:val="clear" w:color="auto" w:fill="F3F3F4"/>
          </w:tcPr>
          <w:p>
            <w:pPr>
              <w:spacing w:after="0"/>
              <w:rPr>
                <w:sz w:val="13"/>
                <w:szCs w:val="13"/>
                <w:color w:val="auto"/>
              </w:rPr>
            </w:pPr>
          </w:p>
        </w:tc>
        <w:tc>
          <w:tcPr>
            <w:tcW w:w="280" w:type="dxa"/>
            <w:vAlign w:val="bottom"/>
            <w:shd w:val="clear" w:color="auto" w:fill="F3F3F4"/>
          </w:tcPr>
          <w:p>
            <w:pPr>
              <w:spacing w:after="0"/>
              <w:rPr>
                <w:sz w:val="13"/>
                <w:szCs w:val="13"/>
                <w:color w:val="auto"/>
              </w:rPr>
            </w:pPr>
          </w:p>
        </w:tc>
        <w:tc>
          <w:tcPr>
            <w:tcW w:w="1020" w:type="dxa"/>
            <w:vAlign w:val="bottom"/>
            <w:shd w:val="clear" w:color="auto" w:fill="F3F3F4"/>
          </w:tcPr>
          <w:p>
            <w:pPr>
              <w:spacing w:after="0"/>
              <w:rPr>
                <w:sz w:val="13"/>
                <w:szCs w:val="13"/>
                <w:color w:val="auto"/>
              </w:rPr>
            </w:pPr>
          </w:p>
        </w:tc>
        <w:tc>
          <w:tcPr>
            <w:tcW w:w="180" w:type="dxa"/>
            <w:vAlign w:val="bottom"/>
            <w:shd w:val="clear" w:color="auto" w:fill="F3F3F4"/>
          </w:tcPr>
          <w:p>
            <w:pPr>
              <w:spacing w:after="0"/>
              <w:rPr>
                <w:sz w:val="13"/>
                <w:szCs w:val="13"/>
                <w:color w:val="auto"/>
              </w:rPr>
            </w:pPr>
          </w:p>
        </w:tc>
        <w:tc>
          <w:tcPr>
            <w:tcW w:w="1480" w:type="dxa"/>
            <w:vAlign w:val="bottom"/>
            <w:shd w:val="clear" w:color="auto" w:fill="F3F3F4"/>
          </w:tcPr>
          <w:p>
            <w:pPr>
              <w:spacing w:after="0"/>
              <w:rPr>
                <w:sz w:val="13"/>
                <w:szCs w:val="13"/>
                <w:color w:val="auto"/>
              </w:rPr>
            </w:pPr>
          </w:p>
        </w:tc>
        <w:tc>
          <w:tcPr>
            <w:tcW w:w="200" w:type="dxa"/>
            <w:vAlign w:val="bottom"/>
            <w:shd w:val="clear" w:color="auto" w:fill="F3F3F4"/>
          </w:tcPr>
          <w:p>
            <w:pPr>
              <w:spacing w:after="0"/>
              <w:rPr>
                <w:sz w:val="13"/>
                <w:szCs w:val="13"/>
                <w:color w:val="auto"/>
              </w:rPr>
            </w:pPr>
          </w:p>
        </w:tc>
        <w:tc>
          <w:tcPr>
            <w:tcW w:w="1020" w:type="dxa"/>
            <w:vAlign w:val="bottom"/>
            <w:shd w:val="clear" w:color="auto" w:fill="F3F3F4"/>
          </w:tcPr>
          <w:p>
            <w:pPr>
              <w:spacing w:after="0"/>
              <w:rPr>
                <w:sz w:val="13"/>
                <w:szCs w:val="13"/>
                <w:color w:val="auto"/>
              </w:rPr>
            </w:pPr>
          </w:p>
        </w:tc>
        <w:tc>
          <w:tcPr>
            <w:tcW w:w="280" w:type="dxa"/>
            <w:vAlign w:val="bottom"/>
            <w:shd w:val="clear" w:color="auto" w:fill="F3F3F4"/>
          </w:tcPr>
          <w:p>
            <w:pPr>
              <w:spacing w:after="0"/>
              <w:rPr>
                <w:sz w:val="13"/>
                <w:szCs w:val="13"/>
                <w:color w:val="auto"/>
              </w:rPr>
            </w:pPr>
          </w:p>
        </w:tc>
        <w:tc>
          <w:tcPr>
            <w:tcW w:w="740" w:type="dxa"/>
            <w:vAlign w:val="bottom"/>
            <w:shd w:val="clear" w:color="auto" w:fill="F3F3F4"/>
          </w:tcPr>
          <w:p>
            <w:pPr>
              <w:spacing w:after="0"/>
              <w:rPr>
                <w:sz w:val="13"/>
                <w:szCs w:val="13"/>
                <w:color w:val="auto"/>
              </w:rPr>
            </w:pPr>
          </w:p>
        </w:tc>
      </w:tr>
      <w:tr>
        <w:trPr>
          <w:trHeight w:val="88"/>
        </w:trPr>
        <w:tc>
          <w:tcPr>
            <w:tcW w:w="2040" w:type="dxa"/>
            <w:vAlign w:val="bottom"/>
            <w:tcBorders>
              <w:bottom w:val="single" w:sz="8" w:color="939598"/>
            </w:tcBorders>
            <w:shd w:val="clear" w:color="auto" w:fill="F3F3F4"/>
          </w:tcPr>
          <w:p>
            <w:pPr>
              <w:spacing w:after="0"/>
              <w:rPr>
                <w:sz w:val="7"/>
                <w:szCs w:val="7"/>
                <w:color w:val="auto"/>
              </w:rPr>
            </w:pPr>
          </w:p>
        </w:tc>
        <w:tc>
          <w:tcPr>
            <w:tcW w:w="780" w:type="dxa"/>
            <w:vAlign w:val="bottom"/>
            <w:tcBorders>
              <w:bottom w:val="single" w:sz="8" w:color="939598"/>
            </w:tcBorders>
            <w:shd w:val="clear" w:color="auto" w:fill="F3F3F4"/>
          </w:tcPr>
          <w:p>
            <w:pPr>
              <w:spacing w:after="0"/>
              <w:rPr>
                <w:sz w:val="7"/>
                <w:szCs w:val="7"/>
                <w:color w:val="auto"/>
              </w:rPr>
            </w:pPr>
          </w:p>
        </w:tc>
        <w:tc>
          <w:tcPr>
            <w:tcW w:w="380" w:type="dxa"/>
            <w:vAlign w:val="bottom"/>
            <w:tcBorders>
              <w:bottom w:val="single" w:sz="8" w:color="939598"/>
            </w:tcBorders>
            <w:shd w:val="clear" w:color="auto" w:fill="F3F3F4"/>
          </w:tcPr>
          <w:p>
            <w:pPr>
              <w:spacing w:after="0"/>
              <w:rPr>
                <w:sz w:val="7"/>
                <w:szCs w:val="7"/>
                <w:color w:val="auto"/>
              </w:rPr>
            </w:pPr>
          </w:p>
        </w:tc>
        <w:tc>
          <w:tcPr>
            <w:tcW w:w="680" w:type="dxa"/>
            <w:vAlign w:val="bottom"/>
            <w:tcBorders>
              <w:bottom w:val="single" w:sz="8" w:color="939598"/>
            </w:tcBorders>
            <w:shd w:val="clear" w:color="auto" w:fill="F3F3F4"/>
          </w:tcPr>
          <w:p>
            <w:pPr>
              <w:spacing w:after="0"/>
              <w:rPr>
                <w:sz w:val="7"/>
                <w:szCs w:val="7"/>
                <w:color w:val="auto"/>
              </w:rPr>
            </w:pPr>
          </w:p>
        </w:tc>
        <w:tc>
          <w:tcPr>
            <w:tcW w:w="360" w:type="dxa"/>
            <w:vAlign w:val="bottom"/>
            <w:tcBorders>
              <w:bottom w:val="single" w:sz="8" w:color="939598"/>
            </w:tcBorders>
            <w:shd w:val="clear" w:color="auto" w:fill="F3F3F4"/>
          </w:tcPr>
          <w:p>
            <w:pPr>
              <w:spacing w:after="0"/>
              <w:rPr>
                <w:sz w:val="7"/>
                <w:szCs w:val="7"/>
                <w:color w:val="auto"/>
              </w:rPr>
            </w:pPr>
          </w:p>
        </w:tc>
        <w:tc>
          <w:tcPr>
            <w:tcW w:w="780" w:type="dxa"/>
            <w:vAlign w:val="bottom"/>
            <w:tcBorders>
              <w:bottom w:val="single" w:sz="8" w:color="939598"/>
            </w:tcBorders>
            <w:shd w:val="clear" w:color="auto" w:fill="F3F3F4"/>
          </w:tcPr>
          <w:p>
            <w:pPr>
              <w:spacing w:after="0"/>
              <w:rPr>
                <w:sz w:val="7"/>
                <w:szCs w:val="7"/>
                <w:color w:val="auto"/>
              </w:rPr>
            </w:pPr>
          </w:p>
        </w:tc>
        <w:tc>
          <w:tcPr>
            <w:tcW w:w="240" w:type="dxa"/>
            <w:vAlign w:val="bottom"/>
            <w:tcBorders>
              <w:bottom w:val="single" w:sz="8" w:color="939598"/>
            </w:tcBorders>
            <w:shd w:val="clear" w:color="auto" w:fill="F3F3F4"/>
          </w:tcPr>
          <w:p>
            <w:pPr>
              <w:spacing w:after="0"/>
              <w:rPr>
                <w:sz w:val="7"/>
                <w:szCs w:val="7"/>
                <w:color w:val="auto"/>
              </w:rPr>
            </w:pPr>
          </w:p>
        </w:tc>
        <w:tc>
          <w:tcPr>
            <w:tcW w:w="780" w:type="dxa"/>
            <w:vAlign w:val="bottom"/>
            <w:tcBorders>
              <w:bottom w:val="single" w:sz="8" w:color="939598"/>
            </w:tcBorders>
            <w:shd w:val="clear" w:color="auto" w:fill="F3F3F4"/>
          </w:tcPr>
          <w:p>
            <w:pPr>
              <w:spacing w:after="0"/>
              <w:rPr>
                <w:sz w:val="7"/>
                <w:szCs w:val="7"/>
                <w:color w:val="auto"/>
              </w:rPr>
            </w:pPr>
          </w:p>
        </w:tc>
        <w:tc>
          <w:tcPr>
            <w:tcW w:w="280" w:type="dxa"/>
            <w:vAlign w:val="bottom"/>
            <w:tcBorders>
              <w:bottom w:val="single" w:sz="8" w:color="939598"/>
            </w:tcBorders>
            <w:shd w:val="clear" w:color="auto" w:fill="F3F3F4"/>
          </w:tcPr>
          <w:p>
            <w:pPr>
              <w:spacing w:after="0"/>
              <w:rPr>
                <w:sz w:val="7"/>
                <w:szCs w:val="7"/>
                <w:color w:val="auto"/>
              </w:rPr>
            </w:pPr>
          </w:p>
        </w:tc>
        <w:tc>
          <w:tcPr>
            <w:tcW w:w="1020" w:type="dxa"/>
            <w:vAlign w:val="bottom"/>
            <w:tcBorders>
              <w:bottom w:val="single" w:sz="8" w:color="939598"/>
            </w:tcBorders>
            <w:shd w:val="clear" w:color="auto" w:fill="F3F3F4"/>
          </w:tcPr>
          <w:p>
            <w:pPr>
              <w:spacing w:after="0"/>
              <w:rPr>
                <w:sz w:val="7"/>
                <w:szCs w:val="7"/>
                <w:color w:val="auto"/>
              </w:rPr>
            </w:pPr>
          </w:p>
        </w:tc>
        <w:tc>
          <w:tcPr>
            <w:tcW w:w="180" w:type="dxa"/>
            <w:vAlign w:val="bottom"/>
            <w:tcBorders>
              <w:bottom w:val="single" w:sz="8" w:color="939598"/>
            </w:tcBorders>
            <w:shd w:val="clear" w:color="auto" w:fill="F3F3F4"/>
          </w:tcPr>
          <w:p>
            <w:pPr>
              <w:spacing w:after="0"/>
              <w:rPr>
                <w:sz w:val="7"/>
                <w:szCs w:val="7"/>
                <w:color w:val="auto"/>
              </w:rPr>
            </w:pPr>
          </w:p>
        </w:tc>
        <w:tc>
          <w:tcPr>
            <w:tcW w:w="1480" w:type="dxa"/>
            <w:vAlign w:val="bottom"/>
            <w:tcBorders>
              <w:bottom w:val="single" w:sz="8" w:color="939598"/>
            </w:tcBorders>
            <w:shd w:val="clear" w:color="auto" w:fill="F3F3F4"/>
          </w:tcPr>
          <w:p>
            <w:pPr>
              <w:spacing w:after="0"/>
              <w:rPr>
                <w:sz w:val="7"/>
                <w:szCs w:val="7"/>
                <w:color w:val="auto"/>
              </w:rPr>
            </w:pPr>
          </w:p>
        </w:tc>
        <w:tc>
          <w:tcPr>
            <w:tcW w:w="200" w:type="dxa"/>
            <w:vAlign w:val="bottom"/>
            <w:tcBorders>
              <w:bottom w:val="single" w:sz="8" w:color="939598"/>
            </w:tcBorders>
            <w:shd w:val="clear" w:color="auto" w:fill="F3F3F4"/>
          </w:tcPr>
          <w:p>
            <w:pPr>
              <w:spacing w:after="0"/>
              <w:rPr>
                <w:sz w:val="7"/>
                <w:szCs w:val="7"/>
                <w:color w:val="auto"/>
              </w:rPr>
            </w:pPr>
          </w:p>
        </w:tc>
        <w:tc>
          <w:tcPr>
            <w:tcW w:w="1020" w:type="dxa"/>
            <w:vAlign w:val="bottom"/>
            <w:tcBorders>
              <w:bottom w:val="single" w:sz="8" w:color="939598"/>
            </w:tcBorders>
            <w:shd w:val="clear" w:color="auto" w:fill="F3F3F4"/>
          </w:tcPr>
          <w:p>
            <w:pPr>
              <w:spacing w:after="0"/>
              <w:rPr>
                <w:sz w:val="7"/>
                <w:szCs w:val="7"/>
                <w:color w:val="auto"/>
              </w:rPr>
            </w:pPr>
          </w:p>
        </w:tc>
        <w:tc>
          <w:tcPr>
            <w:tcW w:w="280" w:type="dxa"/>
            <w:vAlign w:val="bottom"/>
            <w:tcBorders>
              <w:bottom w:val="single" w:sz="8" w:color="939598"/>
            </w:tcBorders>
            <w:shd w:val="clear" w:color="auto" w:fill="F3F3F4"/>
          </w:tcPr>
          <w:p>
            <w:pPr>
              <w:spacing w:after="0"/>
              <w:rPr>
                <w:sz w:val="7"/>
                <w:szCs w:val="7"/>
                <w:color w:val="auto"/>
              </w:rPr>
            </w:pPr>
          </w:p>
        </w:tc>
        <w:tc>
          <w:tcPr>
            <w:tcW w:w="740" w:type="dxa"/>
            <w:vAlign w:val="bottom"/>
            <w:tcBorders>
              <w:bottom w:val="single" w:sz="8" w:color="939598"/>
            </w:tcBorders>
            <w:shd w:val="clear" w:color="auto" w:fill="F3F3F4"/>
          </w:tcPr>
          <w:p>
            <w:pPr>
              <w:spacing w:after="0"/>
              <w:rPr>
                <w:sz w:val="7"/>
                <w:szCs w:val="7"/>
                <w:color w:val="auto"/>
              </w:rPr>
            </w:pPr>
          </w:p>
        </w:tc>
      </w:tr>
      <w:tr>
        <w:trPr>
          <w:trHeight w:val="207"/>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Christopher L.</w:t>
            </w:r>
          </w:p>
        </w:tc>
        <w:tc>
          <w:tcPr>
            <w:tcW w:w="7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2024</w:t>
            </w:r>
          </w:p>
        </w:tc>
        <w:tc>
          <w:tcPr>
            <w:tcW w:w="3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6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598,500</w:t>
            </w:r>
          </w:p>
        </w:tc>
        <w:tc>
          <w:tcPr>
            <w:tcW w:w="36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0</w:t>
            </w:r>
          </w:p>
        </w:tc>
        <w:tc>
          <w:tcPr>
            <w:tcW w:w="24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654,600</w:t>
            </w:r>
          </w:p>
        </w:tc>
        <w:tc>
          <w:tcPr>
            <w:tcW w:w="2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347,688</w:t>
            </w:r>
          </w:p>
        </w:tc>
        <w:tc>
          <w:tcPr>
            <w:tcW w:w="180" w:type="dxa"/>
            <w:vAlign w:val="bottom"/>
            <w:shd w:val="clear" w:color="auto" w:fill="F3F3F4"/>
          </w:tcPr>
          <w:p>
            <w:pPr>
              <w:ind w:left="120"/>
              <w:spacing w:after="0"/>
              <w:rPr>
                <w:sz w:val="20"/>
                <w:szCs w:val="20"/>
                <w:color w:val="auto"/>
              </w:rPr>
            </w:pPr>
            <w:r>
              <w:rPr>
                <w:rFonts w:ascii="Arial" w:cs="Arial" w:eastAsia="Arial" w:hAnsi="Arial"/>
                <w:sz w:val="9"/>
                <w:szCs w:val="9"/>
                <w:color w:val="auto"/>
                <w:w w:val="78"/>
              </w:rPr>
              <w:t>$</w:t>
            </w: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0</w:t>
            </w:r>
          </w:p>
        </w:tc>
        <w:tc>
          <w:tcPr>
            <w:tcW w:w="200" w:type="dxa"/>
            <w:vAlign w:val="bottom"/>
            <w:shd w:val="clear" w:color="auto" w:fill="F3F3F4"/>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26,995</w:t>
            </w:r>
          </w:p>
        </w:tc>
        <w:tc>
          <w:tcPr>
            <w:tcW w:w="2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4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1,627,783</w:t>
            </w:r>
          </w:p>
        </w:tc>
      </w:tr>
      <w:tr>
        <w:trPr>
          <w:trHeight w:val="151"/>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Tucker</w:t>
            </w:r>
          </w:p>
        </w:tc>
        <w:tc>
          <w:tcPr>
            <w:tcW w:w="7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2023</w:t>
            </w:r>
          </w:p>
        </w:tc>
        <w:tc>
          <w:tcPr>
            <w:tcW w:w="380" w:type="dxa"/>
            <w:vAlign w:val="bottom"/>
            <w:shd w:val="clear" w:color="auto" w:fill="F3F3F4"/>
          </w:tcPr>
          <w:p>
            <w:pPr>
              <w:spacing w:after="0"/>
              <w:rPr>
                <w:sz w:val="13"/>
                <w:szCs w:val="13"/>
                <w:color w:val="auto"/>
              </w:rPr>
            </w:pPr>
          </w:p>
        </w:tc>
        <w:tc>
          <w:tcPr>
            <w:tcW w:w="6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570,000</w:t>
            </w:r>
          </w:p>
        </w:tc>
        <w:tc>
          <w:tcPr>
            <w:tcW w:w="360" w:type="dxa"/>
            <w:vAlign w:val="bottom"/>
            <w:shd w:val="clear" w:color="auto" w:fill="F3F3F4"/>
          </w:tcPr>
          <w:p>
            <w:pPr>
              <w:spacing w:after="0"/>
              <w:rPr>
                <w:sz w:val="13"/>
                <w:szCs w:val="13"/>
                <w:color w:val="auto"/>
              </w:rPr>
            </w:pPr>
          </w:p>
        </w:tc>
        <w:tc>
          <w:tcPr>
            <w:tcW w:w="78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0</w:t>
            </w:r>
          </w:p>
        </w:tc>
        <w:tc>
          <w:tcPr>
            <w:tcW w:w="240" w:type="dxa"/>
            <w:vAlign w:val="bottom"/>
            <w:shd w:val="clear" w:color="auto" w:fill="F3F3F4"/>
          </w:tcPr>
          <w:p>
            <w:pPr>
              <w:spacing w:after="0"/>
              <w:rPr>
                <w:sz w:val="13"/>
                <w:szCs w:val="13"/>
                <w:color w:val="auto"/>
              </w:rPr>
            </w:pPr>
          </w:p>
        </w:tc>
        <w:tc>
          <w:tcPr>
            <w:tcW w:w="7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845,059</w:t>
            </w:r>
          </w:p>
        </w:tc>
        <w:tc>
          <w:tcPr>
            <w:tcW w:w="280" w:type="dxa"/>
            <w:vAlign w:val="bottom"/>
            <w:shd w:val="clear" w:color="auto" w:fill="F3F3F4"/>
          </w:tcPr>
          <w:p>
            <w:pPr>
              <w:spacing w:after="0"/>
              <w:rPr>
                <w:sz w:val="13"/>
                <w:szCs w:val="13"/>
                <w:color w:val="auto"/>
              </w:rPr>
            </w:pPr>
          </w:p>
        </w:tc>
        <w:tc>
          <w:tcPr>
            <w:tcW w:w="102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410,300</w:t>
            </w:r>
          </w:p>
        </w:tc>
        <w:tc>
          <w:tcPr>
            <w:tcW w:w="180" w:type="dxa"/>
            <w:vAlign w:val="bottom"/>
            <w:shd w:val="clear" w:color="auto" w:fill="F3F3F4"/>
          </w:tcPr>
          <w:p>
            <w:pPr>
              <w:spacing w:after="0"/>
              <w:rPr>
                <w:sz w:val="13"/>
                <w:szCs w:val="13"/>
                <w:color w:val="auto"/>
              </w:rPr>
            </w:pP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0</w:t>
            </w:r>
          </w:p>
        </w:tc>
        <w:tc>
          <w:tcPr>
            <w:tcW w:w="200" w:type="dxa"/>
            <w:vAlign w:val="bottom"/>
            <w:shd w:val="clear" w:color="auto" w:fill="F3F3F4"/>
          </w:tcPr>
          <w:p>
            <w:pPr>
              <w:spacing w:after="0"/>
              <w:rPr>
                <w:sz w:val="13"/>
                <w:szCs w:val="13"/>
                <w:color w:val="auto"/>
              </w:rPr>
            </w:pPr>
          </w:p>
        </w:tc>
        <w:tc>
          <w:tcPr>
            <w:tcW w:w="102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113,274</w:t>
            </w:r>
          </w:p>
        </w:tc>
        <w:tc>
          <w:tcPr>
            <w:tcW w:w="280" w:type="dxa"/>
            <w:vAlign w:val="bottom"/>
            <w:shd w:val="clear" w:color="auto" w:fill="F3F3F4"/>
          </w:tcPr>
          <w:p>
            <w:pPr>
              <w:spacing w:after="0"/>
              <w:rPr>
                <w:sz w:val="13"/>
                <w:szCs w:val="13"/>
                <w:color w:val="auto"/>
              </w:rPr>
            </w:pPr>
          </w:p>
        </w:tc>
        <w:tc>
          <w:tcPr>
            <w:tcW w:w="74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1,938,633</w:t>
            </w:r>
          </w:p>
        </w:tc>
      </w:tr>
      <w:tr>
        <w:trPr>
          <w:trHeight w:val="151"/>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Senior Vice</w:t>
            </w:r>
          </w:p>
        </w:tc>
        <w:tc>
          <w:tcPr>
            <w:tcW w:w="7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2022</w:t>
            </w:r>
          </w:p>
        </w:tc>
        <w:tc>
          <w:tcPr>
            <w:tcW w:w="380" w:type="dxa"/>
            <w:vAlign w:val="bottom"/>
            <w:shd w:val="clear" w:color="auto" w:fill="F3F3F4"/>
          </w:tcPr>
          <w:p>
            <w:pPr>
              <w:spacing w:after="0"/>
              <w:rPr>
                <w:sz w:val="13"/>
                <w:szCs w:val="13"/>
                <w:color w:val="auto"/>
              </w:rPr>
            </w:pPr>
          </w:p>
        </w:tc>
        <w:tc>
          <w:tcPr>
            <w:tcW w:w="6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522,000</w:t>
            </w:r>
          </w:p>
        </w:tc>
        <w:tc>
          <w:tcPr>
            <w:tcW w:w="360" w:type="dxa"/>
            <w:vAlign w:val="bottom"/>
            <w:shd w:val="clear" w:color="auto" w:fill="F3F3F4"/>
          </w:tcPr>
          <w:p>
            <w:pPr>
              <w:spacing w:after="0"/>
              <w:rPr>
                <w:sz w:val="13"/>
                <w:szCs w:val="13"/>
                <w:color w:val="auto"/>
              </w:rPr>
            </w:pPr>
          </w:p>
        </w:tc>
        <w:tc>
          <w:tcPr>
            <w:tcW w:w="78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0</w:t>
            </w:r>
          </w:p>
        </w:tc>
        <w:tc>
          <w:tcPr>
            <w:tcW w:w="240" w:type="dxa"/>
            <w:vAlign w:val="bottom"/>
            <w:shd w:val="clear" w:color="auto" w:fill="F3F3F4"/>
          </w:tcPr>
          <w:p>
            <w:pPr>
              <w:spacing w:after="0"/>
              <w:rPr>
                <w:sz w:val="13"/>
                <w:szCs w:val="13"/>
                <w:color w:val="auto"/>
              </w:rPr>
            </w:pPr>
          </w:p>
        </w:tc>
        <w:tc>
          <w:tcPr>
            <w:tcW w:w="7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730,600</w:t>
            </w:r>
          </w:p>
        </w:tc>
        <w:tc>
          <w:tcPr>
            <w:tcW w:w="280" w:type="dxa"/>
            <w:vAlign w:val="bottom"/>
            <w:shd w:val="clear" w:color="auto" w:fill="F3F3F4"/>
          </w:tcPr>
          <w:p>
            <w:pPr>
              <w:spacing w:after="0"/>
              <w:rPr>
                <w:sz w:val="13"/>
                <w:szCs w:val="13"/>
                <w:color w:val="auto"/>
              </w:rPr>
            </w:pPr>
          </w:p>
        </w:tc>
        <w:tc>
          <w:tcPr>
            <w:tcW w:w="102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549,840</w:t>
            </w:r>
          </w:p>
        </w:tc>
        <w:tc>
          <w:tcPr>
            <w:tcW w:w="180" w:type="dxa"/>
            <w:vAlign w:val="bottom"/>
            <w:shd w:val="clear" w:color="auto" w:fill="F3F3F4"/>
          </w:tcPr>
          <w:p>
            <w:pPr>
              <w:spacing w:after="0"/>
              <w:rPr>
                <w:sz w:val="13"/>
                <w:szCs w:val="13"/>
                <w:color w:val="auto"/>
              </w:rPr>
            </w:pP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0</w:t>
            </w:r>
          </w:p>
        </w:tc>
        <w:tc>
          <w:tcPr>
            <w:tcW w:w="200" w:type="dxa"/>
            <w:vAlign w:val="bottom"/>
            <w:shd w:val="clear" w:color="auto" w:fill="F3F3F4"/>
          </w:tcPr>
          <w:p>
            <w:pPr>
              <w:spacing w:after="0"/>
              <w:rPr>
                <w:sz w:val="13"/>
                <w:szCs w:val="13"/>
                <w:color w:val="auto"/>
              </w:rPr>
            </w:pPr>
          </w:p>
        </w:tc>
        <w:tc>
          <w:tcPr>
            <w:tcW w:w="102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52,103</w:t>
            </w:r>
          </w:p>
        </w:tc>
        <w:tc>
          <w:tcPr>
            <w:tcW w:w="280" w:type="dxa"/>
            <w:vAlign w:val="bottom"/>
            <w:shd w:val="clear" w:color="auto" w:fill="F3F3F4"/>
          </w:tcPr>
          <w:p>
            <w:pPr>
              <w:spacing w:after="0"/>
              <w:rPr>
                <w:sz w:val="13"/>
                <w:szCs w:val="13"/>
                <w:color w:val="auto"/>
              </w:rPr>
            </w:pPr>
          </w:p>
        </w:tc>
        <w:tc>
          <w:tcPr>
            <w:tcW w:w="74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1,854,543</w:t>
            </w:r>
          </w:p>
        </w:tc>
      </w:tr>
      <w:tr>
        <w:trPr>
          <w:trHeight w:val="151"/>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President and</w:t>
            </w:r>
          </w:p>
        </w:tc>
        <w:tc>
          <w:tcPr>
            <w:tcW w:w="780" w:type="dxa"/>
            <w:vAlign w:val="bottom"/>
            <w:shd w:val="clear" w:color="auto" w:fill="F3F3F4"/>
          </w:tcPr>
          <w:p>
            <w:pPr>
              <w:spacing w:after="0"/>
              <w:rPr>
                <w:sz w:val="13"/>
                <w:szCs w:val="13"/>
                <w:color w:val="auto"/>
              </w:rPr>
            </w:pPr>
          </w:p>
        </w:tc>
        <w:tc>
          <w:tcPr>
            <w:tcW w:w="380" w:type="dxa"/>
            <w:vAlign w:val="bottom"/>
            <w:shd w:val="clear" w:color="auto" w:fill="F3F3F4"/>
          </w:tcPr>
          <w:p>
            <w:pPr>
              <w:spacing w:after="0"/>
              <w:rPr>
                <w:sz w:val="13"/>
                <w:szCs w:val="13"/>
                <w:color w:val="auto"/>
              </w:rPr>
            </w:pPr>
          </w:p>
        </w:tc>
        <w:tc>
          <w:tcPr>
            <w:tcW w:w="680" w:type="dxa"/>
            <w:vAlign w:val="bottom"/>
            <w:shd w:val="clear" w:color="auto" w:fill="F3F3F4"/>
          </w:tcPr>
          <w:p>
            <w:pPr>
              <w:spacing w:after="0"/>
              <w:rPr>
                <w:sz w:val="13"/>
                <w:szCs w:val="13"/>
                <w:color w:val="auto"/>
              </w:rPr>
            </w:pPr>
          </w:p>
        </w:tc>
        <w:tc>
          <w:tcPr>
            <w:tcW w:w="360" w:type="dxa"/>
            <w:vAlign w:val="bottom"/>
            <w:shd w:val="clear" w:color="auto" w:fill="F3F3F4"/>
          </w:tcPr>
          <w:p>
            <w:pPr>
              <w:spacing w:after="0"/>
              <w:rPr>
                <w:sz w:val="13"/>
                <w:szCs w:val="13"/>
                <w:color w:val="auto"/>
              </w:rPr>
            </w:pPr>
          </w:p>
        </w:tc>
        <w:tc>
          <w:tcPr>
            <w:tcW w:w="780" w:type="dxa"/>
            <w:vAlign w:val="bottom"/>
            <w:shd w:val="clear" w:color="auto" w:fill="F3F3F4"/>
          </w:tcPr>
          <w:p>
            <w:pPr>
              <w:spacing w:after="0"/>
              <w:rPr>
                <w:sz w:val="13"/>
                <w:szCs w:val="13"/>
                <w:color w:val="auto"/>
              </w:rPr>
            </w:pPr>
          </w:p>
        </w:tc>
        <w:tc>
          <w:tcPr>
            <w:tcW w:w="240" w:type="dxa"/>
            <w:vAlign w:val="bottom"/>
            <w:shd w:val="clear" w:color="auto" w:fill="F3F3F4"/>
          </w:tcPr>
          <w:p>
            <w:pPr>
              <w:spacing w:after="0"/>
              <w:rPr>
                <w:sz w:val="13"/>
                <w:szCs w:val="13"/>
                <w:color w:val="auto"/>
              </w:rPr>
            </w:pPr>
          </w:p>
        </w:tc>
        <w:tc>
          <w:tcPr>
            <w:tcW w:w="780" w:type="dxa"/>
            <w:vAlign w:val="bottom"/>
            <w:shd w:val="clear" w:color="auto" w:fill="F3F3F4"/>
          </w:tcPr>
          <w:p>
            <w:pPr>
              <w:spacing w:after="0"/>
              <w:rPr>
                <w:sz w:val="13"/>
                <w:szCs w:val="13"/>
                <w:color w:val="auto"/>
              </w:rPr>
            </w:pPr>
          </w:p>
        </w:tc>
        <w:tc>
          <w:tcPr>
            <w:tcW w:w="280" w:type="dxa"/>
            <w:vAlign w:val="bottom"/>
            <w:shd w:val="clear" w:color="auto" w:fill="F3F3F4"/>
          </w:tcPr>
          <w:p>
            <w:pPr>
              <w:spacing w:after="0"/>
              <w:rPr>
                <w:sz w:val="13"/>
                <w:szCs w:val="13"/>
                <w:color w:val="auto"/>
              </w:rPr>
            </w:pPr>
          </w:p>
        </w:tc>
        <w:tc>
          <w:tcPr>
            <w:tcW w:w="1020" w:type="dxa"/>
            <w:vAlign w:val="bottom"/>
            <w:shd w:val="clear" w:color="auto" w:fill="F3F3F4"/>
          </w:tcPr>
          <w:p>
            <w:pPr>
              <w:spacing w:after="0"/>
              <w:rPr>
                <w:sz w:val="13"/>
                <w:szCs w:val="13"/>
                <w:color w:val="auto"/>
              </w:rPr>
            </w:pPr>
          </w:p>
        </w:tc>
        <w:tc>
          <w:tcPr>
            <w:tcW w:w="180" w:type="dxa"/>
            <w:vAlign w:val="bottom"/>
            <w:shd w:val="clear" w:color="auto" w:fill="F3F3F4"/>
          </w:tcPr>
          <w:p>
            <w:pPr>
              <w:spacing w:after="0"/>
              <w:rPr>
                <w:sz w:val="13"/>
                <w:szCs w:val="13"/>
                <w:color w:val="auto"/>
              </w:rPr>
            </w:pPr>
          </w:p>
        </w:tc>
        <w:tc>
          <w:tcPr>
            <w:tcW w:w="1480" w:type="dxa"/>
            <w:vAlign w:val="bottom"/>
            <w:shd w:val="clear" w:color="auto" w:fill="F3F3F4"/>
          </w:tcPr>
          <w:p>
            <w:pPr>
              <w:spacing w:after="0"/>
              <w:rPr>
                <w:sz w:val="13"/>
                <w:szCs w:val="13"/>
                <w:color w:val="auto"/>
              </w:rPr>
            </w:pPr>
          </w:p>
        </w:tc>
        <w:tc>
          <w:tcPr>
            <w:tcW w:w="200" w:type="dxa"/>
            <w:vAlign w:val="bottom"/>
            <w:shd w:val="clear" w:color="auto" w:fill="F3F3F4"/>
          </w:tcPr>
          <w:p>
            <w:pPr>
              <w:spacing w:after="0"/>
              <w:rPr>
                <w:sz w:val="13"/>
                <w:szCs w:val="13"/>
                <w:color w:val="auto"/>
              </w:rPr>
            </w:pPr>
          </w:p>
        </w:tc>
        <w:tc>
          <w:tcPr>
            <w:tcW w:w="1020" w:type="dxa"/>
            <w:vAlign w:val="bottom"/>
            <w:shd w:val="clear" w:color="auto" w:fill="F3F3F4"/>
          </w:tcPr>
          <w:p>
            <w:pPr>
              <w:spacing w:after="0"/>
              <w:rPr>
                <w:sz w:val="13"/>
                <w:szCs w:val="13"/>
                <w:color w:val="auto"/>
              </w:rPr>
            </w:pPr>
          </w:p>
        </w:tc>
        <w:tc>
          <w:tcPr>
            <w:tcW w:w="280" w:type="dxa"/>
            <w:vAlign w:val="bottom"/>
            <w:shd w:val="clear" w:color="auto" w:fill="F3F3F4"/>
          </w:tcPr>
          <w:p>
            <w:pPr>
              <w:spacing w:after="0"/>
              <w:rPr>
                <w:sz w:val="13"/>
                <w:szCs w:val="13"/>
                <w:color w:val="auto"/>
              </w:rPr>
            </w:pPr>
          </w:p>
        </w:tc>
        <w:tc>
          <w:tcPr>
            <w:tcW w:w="740" w:type="dxa"/>
            <w:vAlign w:val="bottom"/>
            <w:shd w:val="clear" w:color="auto" w:fill="F3F3F4"/>
          </w:tcPr>
          <w:p>
            <w:pPr>
              <w:spacing w:after="0"/>
              <w:rPr>
                <w:sz w:val="13"/>
                <w:szCs w:val="13"/>
                <w:color w:val="auto"/>
              </w:rPr>
            </w:pPr>
          </w:p>
        </w:tc>
      </w:tr>
      <w:tr>
        <w:trPr>
          <w:trHeight w:val="151"/>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Chief Financial</w:t>
            </w:r>
          </w:p>
        </w:tc>
        <w:tc>
          <w:tcPr>
            <w:tcW w:w="780" w:type="dxa"/>
            <w:vAlign w:val="bottom"/>
            <w:shd w:val="clear" w:color="auto" w:fill="F3F3F4"/>
          </w:tcPr>
          <w:p>
            <w:pPr>
              <w:spacing w:after="0"/>
              <w:rPr>
                <w:sz w:val="13"/>
                <w:szCs w:val="13"/>
                <w:color w:val="auto"/>
              </w:rPr>
            </w:pPr>
          </w:p>
        </w:tc>
        <w:tc>
          <w:tcPr>
            <w:tcW w:w="380" w:type="dxa"/>
            <w:vAlign w:val="bottom"/>
            <w:shd w:val="clear" w:color="auto" w:fill="F3F3F4"/>
          </w:tcPr>
          <w:p>
            <w:pPr>
              <w:spacing w:after="0"/>
              <w:rPr>
                <w:sz w:val="13"/>
                <w:szCs w:val="13"/>
                <w:color w:val="auto"/>
              </w:rPr>
            </w:pPr>
          </w:p>
        </w:tc>
        <w:tc>
          <w:tcPr>
            <w:tcW w:w="680" w:type="dxa"/>
            <w:vAlign w:val="bottom"/>
            <w:shd w:val="clear" w:color="auto" w:fill="F3F3F4"/>
          </w:tcPr>
          <w:p>
            <w:pPr>
              <w:spacing w:after="0"/>
              <w:rPr>
                <w:sz w:val="13"/>
                <w:szCs w:val="13"/>
                <w:color w:val="auto"/>
              </w:rPr>
            </w:pPr>
          </w:p>
        </w:tc>
        <w:tc>
          <w:tcPr>
            <w:tcW w:w="360" w:type="dxa"/>
            <w:vAlign w:val="bottom"/>
            <w:shd w:val="clear" w:color="auto" w:fill="F3F3F4"/>
          </w:tcPr>
          <w:p>
            <w:pPr>
              <w:spacing w:after="0"/>
              <w:rPr>
                <w:sz w:val="13"/>
                <w:szCs w:val="13"/>
                <w:color w:val="auto"/>
              </w:rPr>
            </w:pPr>
          </w:p>
        </w:tc>
        <w:tc>
          <w:tcPr>
            <w:tcW w:w="780" w:type="dxa"/>
            <w:vAlign w:val="bottom"/>
            <w:shd w:val="clear" w:color="auto" w:fill="F3F3F4"/>
          </w:tcPr>
          <w:p>
            <w:pPr>
              <w:spacing w:after="0"/>
              <w:rPr>
                <w:sz w:val="13"/>
                <w:szCs w:val="13"/>
                <w:color w:val="auto"/>
              </w:rPr>
            </w:pPr>
          </w:p>
        </w:tc>
        <w:tc>
          <w:tcPr>
            <w:tcW w:w="240" w:type="dxa"/>
            <w:vAlign w:val="bottom"/>
            <w:shd w:val="clear" w:color="auto" w:fill="F3F3F4"/>
          </w:tcPr>
          <w:p>
            <w:pPr>
              <w:spacing w:after="0"/>
              <w:rPr>
                <w:sz w:val="13"/>
                <w:szCs w:val="13"/>
                <w:color w:val="auto"/>
              </w:rPr>
            </w:pPr>
          </w:p>
        </w:tc>
        <w:tc>
          <w:tcPr>
            <w:tcW w:w="780" w:type="dxa"/>
            <w:vAlign w:val="bottom"/>
            <w:shd w:val="clear" w:color="auto" w:fill="F3F3F4"/>
          </w:tcPr>
          <w:p>
            <w:pPr>
              <w:spacing w:after="0"/>
              <w:rPr>
                <w:sz w:val="13"/>
                <w:szCs w:val="13"/>
                <w:color w:val="auto"/>
              </w:rPr>
            </w:pPr>
          </w:p>
        </w:tc>
        <w:tc>
          <w:tcPr>
            <w:tcW w:w="280" w:type="dxa"/>
            <w:vAlign w:val="bottom"/>
            <w:shd w:val="clear" w:color="auto" w:fill="F3F3F4"/>
          </w:tcPr>
          <w:p>
            <w:pPr>
              <w:spacing w:after="0"/>
              <w:rPr>
                <w:sz w:val="13"/>
                <w:szCs w:val="13"/>
                <w:color w:val="auto"/>
              </w:rPr>
            </w:pPr>
          </w:p>
        </w:tc>
        <w:tc>
          <w:tcPr>
            <w:tcW w:w="1020" w:type="dxa"/>
            <w:vAlign w:val="bottom"/>
            <w:shd w:val="clear" w:color="auto" w:fill="F3F3F4"/>
          </w:tcPr>
          <w:p>
            <w:pPr>
              <w:spacing w:after="0"/>
              <w:rPr>
                <w:sz w:val="13"/>
                <w:szCs w:val="13"/>
                <w:color w:val="auto"/>
              </w:rPr>
            </w:pPr>
          </w:p>
        </w:tc>
        <w:tc>
          <w:tcPr>
            <w:tcW w:w="180" w:type="dxa"/>
            <w:vAlign w:val="bottom"/>
            <w:shd w:val="clear" w:color="auto" w:fill="F3F3F4"/>
          </w:tcPr>
          <w:p>
            <w:pPr>
              <w:spacing w:after="0"/>
              <w:rPr>
                <w:sz w:val="13"/>
                <w:szCs w:val="13"/>
                <w:color w:val="auto"/>
              </w:rPr>
            </w:pPr>
          </w:p>
        </w:tc>
        <w:tc>
          <w:tcPr>
            <w:tcW w:w="1480" w:type="dxa"/>
            <w:vAlign w:val="bottom"/>
            <w:shd w:val="clear" w:color="auto" w:fill="F3F3F4"/>
          </w:tcPr>
          <w:p>
            <w:pPr>
              <w:spacing w:after="0"/>
              <w:rPr>
                <w:sz w:val="13"/>
                <w:szCs w:val="13"/>
                <w:color w:val="auto"/>
              </w:rPr>
            </w:pPr>
          </w:p>
        </w:tc>
        <w:tc>
          <w:tcPr>
            <w:tcW w:w="200" w:type="dxa"/>
            <w:vAlign w:val="bottom"/>
            <w:shd w:val="clear" w:color="auto" w:fill="F3F3F4"/>
          </w:tcPr>
          <w:p>
            <w:pPr>
              <w:spacing w:after="0"/>
              <w:rPr>
                <w:sz w:val="13"/>
                <w:szCs w:val="13"/>
                <w:color w:val="auto"/>
              </w:rPr>
            </w:pPr>
          </w:p>
        </w:tc>
        <w:tc>
          <w:tcPr>
            <w:tcW w:w="1020" w:type="dxa"/>
            <w:vAlign w:val="bottom"/>
            <w:shd w:val="clear" w:color="auto" w:fill="F3F3F4"/>
          </w:tcPr>
          <w:p>
            <w:pPr>
              <w:spacing w:after="0"/>
              <w:rPr>
                <w:sz w:val="13"/>
                <w:szCs w:val="13"/>
                <w:color w:val="auto"/>
              </w:rPr>
            </w:pPr>
          </w:p>
        </w:tc>
        <w:tc>
          <w:tcPr>
            <w:tcW w:w="280" w:type="dxa"/>
            <w:vAlign w:val="bottom"/>
            <w:shd w:val="clear" w:color="auto" w:fill="F3F3F4"/>
          </w:tcPr>
          <w:p>
            <w:pPr>
              <w:spacing w:after="0"/>
              <w:rPr>
                <w:sz w:val="13"/>
                <w:szCs w:val="13"/>
                <w:color w:val="auto"/>
              </w:rPr>
            </w:pPr>
          </w:p>
        </w:tc>
        <w:tc>
          <w:tcPr>
            <w:tcW w:w="740" w:type="dxa"/>
            <w:vAlign w:val="bottom"/>
            <w:shd w:val="clear" w:color="auto" w:fill="F3F3F4"/>
          </w:tcPr>
          <w:p>
            <w:pPr>
              <w:spacing w:after="0"/>
              <w:rPr>
                <w:sz w:val="13"/>
                <w:szCs w:val="13"/>
                <w:color w:val="auto"/>
              </w:rPr>
            </w:pPr>
          </w:p>
        </w:tc>
      </w:tr>
      <w:tr>
        <w:trPr>
          <w:trHeight w:val="151"/>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Officer</w:t>
            </w:r>
          </w:p>
        </w:tc>
        <w:tc>
          <w:tcPr>
            <w:tcW w:w="780" w:type="dxa"/>
            <w:vAlign w:val="bottom"/>
            <w:shd w:val="clear" w:color="auto" w:fill="F3F3F4"/>
          </w:tcPr>
          <w:p>
            <w:pPr>
              <w:spacing w:after="0"/>
              <w:rPr>
                <w:sz w:val="13"/>
                <w:szCs w:val="13"/>
                <w:color w:val="auto"/>
              </w:rPr>
            </w:pPr>
          </w:p>
        </w:tc>
        <w:tc>
          <w:tcPr>
            <w:tcW w:w="380" w:type="dxa"/>
            <w:vAlign w:val="bottom"/>
            <w:shd w:val="clear" w:color="auto" w:fill="F3F3F4"/>
          </w:tcPr>
          <w:p>
            <w:pPr>
              <w:spacing w:after="0"/>
              <w:rPr>
                <w:sz w:val="13"/>
                <w:szCs w:val="13"/>
                <w:color w:val="auto"/>
              </w:rPr>
            </w:pPr>
          </w:p>
        </w:tc>
        <w:tc>
          <w:tcPr>
            <w:tcW w:w="680" w:type="dxa"/>
            <w:vAlign w:val="bottom"/>
            <w:shd w:val="clear" w:color="auto" w:fill="F3F3F4"/>
          </w:tcPr>
          <w:p>
            <w:pPr>
              <w:spacing w:after="0"/>
              <w:rPr>
                <w:sz w:val="13"/>
                <w:szCs w:val="13"/>
                <w:color w:val="auto"/>
              </w:rPr>
            </w:pPr>
          </w:p>
        </w:tc>
        <w:tc>
          <w:tcPr>
            <w:tcW w:w="360" w:type="dxa"/>
            <w:vAlign w:val="bottom"/>
            <w:shd w:val="clear" w:color="auto" w:fill="F3F3F4"/>
          </w:tcPr>
          <w:p>
            <w:pPr>
              <w:spacing w:after="0"/>
              <w:rPr>
                <w:sz w:val="13"/>
                <w:szCs w:val="13"/>
                <w:color w:val="auto"/>
              </w:rPr>
            </w:pPr>
          </w:p>
        </w:tc>
        <w:tc>
          <w:tcPr>
            <w:tcW w:w="780" w:type="dxa"/>
            <w:vAlign w:val="bottom"/>
            <w:shd w:val="clear" w:color="auto" w:fill="F3F3F4"/>
          </w:tcPr>
          <w:p>
            <w:pPr>
              <w:spacing w:after="0"/>
              <w:rPr>
                <w:sz w:val="13"/>
                <w:szCs w:val="13"/>
                <w:color w:val="auto"/>
              </w:rPr>
            </w:pPr>
          </w:p>
        </w:tc>
        <w:tc>
          <w:tcPr>
            <w:tcW w:w="240" w:type="dxa"/>
            <w:vAlign w:val="bottom"/>
            <w:shd w:val="clear" w:color="auto" w:fill="F3F3F4"/>
          </w:tcPr>
          <w:p>
            <w:pPr>
              <w:spacing w:after="0"/>
              <w:rPr>
                <w:sz w:val="13"/>
                <w:szCs w:val="13"/>
                <w:color w:val="auto"/>
              </w:rPr>
            </w:pPr>
          </w:p>
        </w:tc>
        <w:tc>
          <w:tcPr>
            <w:tcW w:w="780" w:type="dxa"/>
            <w:vAlign w:val="bottom"/>
            <w:shd w:val="clear" w:color="auto" w:fill="F3F3F4"/>
          </w:tcPr>
          <w:p>
            <w:pPr>
              <w:spacing w:after="0"/>
              <w:rPr>
                <w:sz w:val="13"/>
                <w:szCs w:val="13"/>
                <w:color w:val="auto"/>
              </w:rPr>
            </w:pPr>
          </w:p>
        </w:tc>
        <w:tc>
          <w:tcPr>
            <w:tcW w:w="280" w:type="dxa"/>
            <w:vAlign w:val="bottom"/>
            <w:shd w:val="clear" w:color="auto" w:fill="F3F3F4"/>
          </w:tcPr>
          <w:p>
            <w:pPr>
              <w:spacing w:after="0"/>
              <w:rPr>
                <w:sz w:val="13"/>
                <w:szCs w:val="13"/>
                <w:color w:val="auto"/>
              </w:rPr>
            </w:pPr>
          </w:p>
        </w:tc>
        <w:tc>
          <w:tcPr>
            <w:tcW w:w="1020" w:type="dxa"/>
            <w:vAlign w:val="bottom"/>
            <w:shd w:val="clear" w:color="auto" w:fill="F3F3F4"/>
          </w:tcPr>
          <w:p>
            <w:pPr>
              <w:spacing w:after="0"/>
              <w:rPr>
                <w:sz w:val="13"/>
                <w:szCs w:val="13"/>
                <w:color w:val="auto"/>
              </w:rPr>
            </w:pPr>
          </w:p>
        </w:tc>
        <w:tc>
          <w:tcPr>
            <w:tcW w:w="180" w:type="dxa"/>
            <w:vAlign w:val="bottom"/>
            <w:shd w:val="clear" w:color="auto" w:fill="F3F3F4"/>
          </w:tcPr>
          <w:p>
            <w:pPr>
              <w:spacing w:after="0"/>
              <w:rPr>
                <w:sz w:val="13"/>
                <w:szCs w:val="13"/>
                <w:color w:val="auto"/>
              </w:rPr>
            </w:pPr>
          </w:p>
        </w:tc>
        <w:tc>
          <w:tcPr>
            <w:tcW w:w="1480" w:type="dxa"/>
            <w:vAlign w:val="bottom"/>
            <w:shd w:val="clear" w:color="auto" w:fill="F3F3F4"/>
          </w:tcPr>
          <w:p>
            <w:pPr>
              <w:spacing w:after="0"/>
              <w:rPr>
                <w:sz w:val="13"/>
                <w:szCs w:val="13"/>
                <w:color w:val="auto"/>
              </w:rPr>
            </w:pPr>
          </w:p>
        </w:tc>
        <w:tc>
          <w:tcPr>
            <w:tcW w:w="200" w:type="dxa"/>
            <w:vAlign w:val="bottom"/>
            <w:shd w:val="clear" w:color="auto" w:fill="F3F3F4"/>
          </w:tcPr>
          <w:p>
            <w:pPr>
              <w:spacing w:after="0"/>
              <w:rPr>
                <w:sz w:val="13"/>
                <w:szCs w:val="13"/>
                <w:color w:val="auto"/>
              </w:rPr>
            </w:pPr>
          </w:p>
        </w:tc>
        <w:tc>
          <w:tcPr>
            <w:tcW w:w="1020" w:type="dxa"/>
            <w:vAlign w:val="bottom"/>
            <w:shd w:val="clear" w:color="auto" w:fill="F3F3F4"/>
          </w:tcPr>
          <w:p>
            <w:pPr>
              <w:spacing w:after="0"/>
              <w:rPr>
                <w:sz w:val="13"/>
                <w:szCs w:val="13"/>
                <w:color w:val="auto"/>
              </w:rPr>
            </w:pPr>
          </w:p>
        </w:tc>
        <w:tc>
          <w:tcPr>
            <w:tcW w:w="280" w:type="dxa"/>
            <w:vAlign w:val="bottom"/>
            <w:shd w:val="clear" w:color="auto" w:fill="F3F3F4"/>
          </w:tcPr>
          <w:p>
            <w:pPr>
              <w:spacing w:after="0"/>
              <w:rPr>
                <w:sz w:val="13"/>
                <w:szCs w:val="13"/>
                <w:color w:val="auto"/>
              </w:rPr>
            </w:pPr>
          </w:p>
        </w:tc>
        <w:tc>
          <w:tcPr>
            <w:tcW w:w="740" w:type="dxa"/>
            <w:vAlign w:val="bottom"/>
            <w:shd w:val="clear" w:color="auto" w:fill="F3F3F4"/>
          </w:tcPr>
          <w:p>
            <w:pPr>
              <w:spacing w:after="0"/>
              <w:rPr>
                <w:sz w:val="13"/>
                <w:szCs w:val="13"/>
                <w:color w:val="auto"/>
              </w:rPr>
            </w:pPr>
          </w:p>
        </w:tc>
      </w:tr>
      <w:tr>
        <w:trPr>
          <w:trHeight w:val="88"/>
        </w:trPr>
        <w:tc>
          <w:tcPr>
            <w:tcW w:w="2040" w:type="dxa"/>
            <w:vAlign w:val="bottom"/>
            <w:tcBorders>
              <w:bottom w:val="single" w:sz="8" w:color="939598"/>
            </w:tcBorders>
            <w:shd w:val="clear" w:color="auto" w:fill="F3F3F4"/>
          </w:tcPr>
          <w:p>
            <w:pPr>
              <w:spacing w:after="0"/>
              <w:rPr>
                <w:sz w:val="7"/>
                <w:szCs w:val="7"/>
                <w:color w:val="auto"/>
              </w:rPr>
            </w:pPr>
          </w:p>
        </w:tc>
        <w:tc>
          <w:tcPr>
            <w:tcW w:w="780" w:type="dxa"/>
            <w:vAlign w:val="bottom"/>
            <w:tcBorders>
              <w:bottom w:val="single" w:sz="8" w:color="939598"/>
            </w:tcBorders>
            <w:shd w:val="clear" w:color="auto" w:fill="F3F3F4"/>
          </w:tcPr>
          <w:p>
            <w:pPr>
              <w:spacing w:after="0"/>
              <w:rPr>
                <w:sz w:val="7"/>
                <w:szCs w:val="7"/>
                <w:color w:val="auto"/>
              </w:rPr>
            </w:pPr>
          </w:p>
        </w:tc>
        <w:tc>
          <w:tcPr>
            <w:tcW w:w="380" w:type="dxa"/>
            <w:vAlign w:val="bottom"/>
            <w:tcBorders>
              <w:bottom w:val="single" w:sz="8" w:color="939598"/>
            </w:tcBorders>
            <w:shd w:val="clear" w:color="auto" w:fill="F3F3F4"/>
          </w:tcPr>
          <w:p>
            <w:pPr>
              <w:spacing w:after="0"/>
              <w:rPr>
                <w:sz w:val="7"/>
                <w:szCs w:val="7"/>
                <w:color w:val="auto"/>
              </w:rPr>
            </w:pPr>
          </w:p>
        </w:tc>
        <w:tc>
          <w:tcPr>
            <w:tcW w:w="680" w:type="dxa"/>
            <w:vAlign w:val="bottom"/>
            <w:tcBorders>
              <w:bottom w:val="single" w:sz="8" w:color="939598"/>
            </w:tcBorders>
            <w:shd w:val="clear" w:color="auto" w:fill="F3F3F4"/>
          </w:tcPr>
          <w:p>
            <w:pPr>
              <w:spacing w:after="0"/>
              <w:rPr>
                <w:sz w:val="7"/>
                <w:szCs w:val="7"/>
                <w:color w:val="auto"/>
              </w:rPr>
            </w:pPr>
          </w:p>
        </w:tc>
        <w:tc>
          <w:tcPr>
            <w:tcW w:w="360" w:type="dxa"/>
            <w:vAlign w:val="bottom"/>
            <w:tcBorders>
              <w:bottom w:val="single" w:sz="8" w:color="939598"/>
            </w:tcBorders>
            <w:shd w:val="clear" w:color="auto" w:fill="F3F3F4"/>
          </w:tcPr>
          <w:p>
            <w:pPr>
              <w:spacing w:after="0"/>
              <w:rPr>
                <w:sz w:val="7"/>
                <w:szCs w:val="7"/>
                <w:color w:val="auto"/>
              </w:rPr>
            </w:pPr>
          </w:p>
        </w:tc>
        <w:tc>
          <w:tcPr>
            <w:tcW w:w="780" w:type="dxa"/>
            <w:vAlign w:val="bottom"/>
            <w:tcBorders>
              <w:bottom w:val="single" w:sz="8" w:color="939598"/>
            </w:tcBorders>
            <w:shd w:val="clear" w:color="auto" w:fill="F3F3F4"/>
          </w:tcPr>
          <w:p>
            <w:pPr>
              <w:spacing w:after="0"/>
              <w:rPr>
                <w:sz w:val="7"/>
                <w:szCs w:val="7"/>
                <w:color w:val="auto"/>
              </w:rPr>
            </w:pPr>
          </w:p>
        </w:tc>
        <w:tc>
          <w:tcPr>
            <w:tcW w:w="240" w:type="dxa"/>
            <w:vAlign w:val="bottom"/>
            <w:tcBorders>
              <w:bottom w:val="single" w:sz="8" w:color="939598"/>
            </w:tcBorders>
            <w:shd w:val="clear" w:color="auto" w:fill="F3F3F4"/>
          </w:tcPr>
          <w:p>
            <w:pPr>
              <w:spacing w:after="0"/>
              <w:rPr>
                <w:sz w:val="7"/>
                <w:szCs w:val="7"/>
                <w:color w:val="auto"/>
              </w:rPr>
            </w:pPr>
          </w:p>
        </w:tc>
        <w:tc>
          <w:tcPr>
            <w:tcW w:w="780" w:type="dxa"/>
            <w:vAlign w:val="bottom"/>
            <w:tcBorders>
              <w:bottom w:val="single" w:sz="8" w:color="939598"/>
            </w:tcBorders>
            <w:shd w:val="clear" w:color="auto" w:fill="F3F3F4"/>
          </w:tcPr>
          <w:p>
            <w:pPr>
              <w:spacing w:after="0"/>
              <w:rPr>
                <w:sz w:val="7"/>
                <w:szCs w:val="7"/>
                <w:color w:val="auto"/>
              </w:rPr>
            </w:pPr>
          </w:p>
        </w:tc>
        <w:tc>
          <w:tcPr>
            <w:tcW w:w="280" w:type="dxa"/>
            <w:vAlign w:val="bottom"/>
            <w:tcBorders>
              <w:bottom w:val="single" w:sz="8" w:color="939598"/>
            </w:tcBorders>
            <w:shd w:val="clear" w:color="auto" w:fill="F3F3F4"/>
          </w:tcPr>
          <w:p>
            <w:pPr>
              <w:spacing w:after="0"/>
              <w:rPr>
                <w:sz w:val="7"/>
                <w:szCs w:val="7"/>
                <w:color w:val="auto"/>
              </w:rPr>
            </w:pPr>
          </w:p>
        </w:tc>
        <w:tc>
          <w:tcPr>
            <w:tcW w:w="1020" w:type="dxa"/>
            <w:vAlign w:val="bottom"/>
            <w:tcBorders>
              <w:bottom w:val="single" w:sz="8" w:color="939598"/>
            </w:tcBorders>
            <w:shd w:val="clear" w:color="auto" w:fill="F3F3F4"/>
          </w:tcPr>
          <w:p>
            <w:pPr>
              <w:spacing w:after="0"/>
              <w:rPr>
                <w:sz w:val="7"/>
                <w:szCs w:val="7"/>
                <w:color w:val="auto"/>
              </w:rPr>
            </w:pPr>
          </w:p>
        </w:tc>
        <w:tc>
          <w:tcPr>
            <w:tcW w:w="180" w:type="dxa"/>
            <w:vAlign w:val="bottom"/>
            <w:tcBorders>
              <w:bottom w:val="single" w:sz="8" w:color="939598"/>
            </w:tcBorders>
            <w:shd w:val="clear" w:color="auto" w:fill="F3F3F4"/>
          </w:tcPr>
          <w:p>
            <w:pPr>
              <w:spacing w:after="0"/>
              <w:rPr>
                <w:sz w:val="7"/>
                <w:szCs w:val="7"/>
                <w:color w:val="auto"/>
              </w:rPr>
            </w:pPr>
          </w:p>
        </w:tc>
        <w:tc>
          <w:tcPr>
            <w:tcW w:w="1480" w:type="dxa"/>
            <w:vAlign w:val="bottom"/>
            <w:tcBorders>
              <w:bottom w:val="single" w:sz="8" w:color="939598"/>
            </w:tcBorders>
            <w:shd w:val="clear" w:color="auto" w:fill="F3F3F4"/>
          </w:tcPr>
          <w:p>
            <w:pPr>
              <w:spacing w:after="0"/>
              <w:rPr>
                <w:sz w:val="7"/>
                <w:szCs w:val="7"/>
                <w:color w:val="auto"/>
              </w:rPr>
            </w:pPr>
          </w:p>
        </w:tc>
        <w:tc>
          <w:tcPr>
            <w:tcW w:w="200" w:type="dxa"/>
            <w:vAlign w:val="bottom"/>
            <w:tcBorders>
              <w:bottom w:val="single" w:sz="8" w:color="939598"/>
            </w:tcBorders>
            <w:shd w:val="clear" w:color="auto" w:fill="F3F3F4"/>
          </w:tcPr>
          <w:p>
            <w:pPr>
              <w:spacing w:after="0"/>
              <w:rPr>
                <w:sz w:val="7"/>
                <w:szCs w:val="7"/>
                <w:color w:val="auto"/>
              </w:rPr>
            </w:pPr>
          </w:p>
        </w:tc>
        <w:tc>
          <w:tcPr>
            <w:tcW w:w="1020" w:type="dxa"/>
            <w:vAlign w:val="bottom"/>
            <w:tcBorders>
              <w:bottom w:val="single" w:sz="8" w:color="939598"/>
            </w:tcBorders>
            <w:shd w:val="clear" w:color="auto" w:fill="F3F3F4"/>
          </w:tcPr>
          <w:p>
            <w:pPr>
              <w:spacing w:after="0"/>
              <w:rPr>
                <w:sz w:val="7"/>
                <w:szCs w:val="7"/>
                <w:color w:val="auto"/>
              </w:rPr>
            </w:pPr>
          </w:p>
        </w:tc>
        <w:tc>
          <w:tcPr>
            <w:tcW w:w="280" w:type="dxa"/>
            <w:vAlign w:val="bottom"/>
            <w:tcBorders>
              <w:bottom w:val="single" w:sz="8" w:color="939598"/>
            </w:tcBorders>
            <w:shd w:val="clear" w:color="auto" w:fill="F3F3F4"/>
          </w:tcPr>
          <w:p>
            <w:pPr>
              <w:spacing w:after="0"/>
              <w:rPr>
                <w:sz w:val="7"/>
                <w:szCs w:val="7"/>
                <w:color w:val="auto"/>
              </w:rPr>
            </w:pPr>
          </w:p>
        </w:tc>
        <w:tc>
          <w:tcPr>
            <w:tcW w:w="740" w:type="dxa"/>
            <w:vAlign w:val="bottom"/>
            <w:tcBorders>
              <w:bottom w:val="single" w:sz="8" w:color="939598"/>
            </w:tcBorders>
            <w:shd w:val="clear" w:color="auto" w:fill="F3F3F4"/>
          </w:tcPr>
          <w:p>
            <w:pPr>
              <w:spacing w:after="0"/>
              <w:rPr>
                <w:sz w:val="7"/>
                <w:szCs w:val="7"/>
                <w:color w:val="auto"/>
              </w:rPr>
            </w:pPr>
          </w:p>
        </w:tc>
      </w:tr>
      <w:tr>
        <w:trPr>
          <w:trHeight w:val="207"/>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David M. Schatz</w:t>
            </w:r>
          </w:p>
        </w:tc>
        <w:tc>
          <w:tcPr>
            <w:tcW w:w="7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2024</w:t>
            </w:r>
          </w:p>
        </w:tc>
        <w:tc>
          <w:tcPr>
            <w:tcW w:w="3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6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405,800</w:t>
            </w:r>
          </w:p>
        </w:tc>
        <w:tc>
          <w:tcPr>
            <w:tcW w:w="36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0</w:t>
            </w:r>
          </w:p>
        </w:tc>
        <w:tc>
          <w:tcPr>
            <w:tcW w:w="24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333,039</w:t>
            </w:r>
          </w:p>
        </w:tc>
        <w:tc>
          <w:tcPr>
            <w:tcW w:w="2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181,352</w:t>
            </w:r>
          </w:p>
        </w:tc>
        <w:tc>
          <w:tcPr>
            <w:tcW w:w="180" w:type="dxa"/>
            <w:vAlign w:val="bottom"/>
            <w:shd w:val="clear" w:color="auto" w:fill="F3F3F4"/>
          </w:tcPr>
          <w:p>
            <w:pPr>
              <w:ind w:left="120"/>
              <w:spacing w:after="0"/>
              <w:rPr>
                <w:sz w:val="20"/>
                <w:szCs w:val="20"/>
                <w:color w:val="auto"/>
              </w:rPr>
            </w:pPr>
            <w:r>
              <w:rPr>
                <w:rFonts w:ascii="Arial" w:cs="Arial" w:eastAsia="Arial" w:hAnsi="Arial"/>
                <w:sz w:val="9"/>
                <w:szCs w:val="9"/>
                <w:color w:val="auto"/>
                <w:w w:val="78"/>
              </w:rPr>
              <w:t>$</w:t>
            </w: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0</w:t>
            </w:r>
          </w:p>
        </w:tc>
        <w:tc>
          <w:tcPr>
            <w:tcW w:w="200" w:type="dxa"/>
            <w:vAlign w:val="bottom"/>
            <w:shd w:val="clear" w:color="auto" w:fill="F3F3F4"/>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31,009</w:t>
            </w:r>
          </w:p>
        </w:tc>
        <w:tc>
          <w:tcPr>
            <w:tcW w:w="2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4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951,200</w:t>
            </w:r>
          </w:p>
        </w:tc>
      </w:tr>
      <w:tr>
        <w:trPr>
          <w:trHeight w:val="151"/>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Senior Vice</w:t>
            </w:r>
          </w:p>
        </w:tc>
        <w:tc>
          <w:tcPr>
            <w:tcW w:w="7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2023</w:t>
            </w:r>
          </w:p>
        </w:tc>
        <w:tc>
          <w:tcPr>
            <w:tcW w:w="380" w:type="dxa"/>
            <w:vAlign w:val="bottom"/>
            <w:shd w:val="clear" w:color="auto" w:fill="F3F3F4"/>
          </w:tcPr>
          <w:p>
            <w:pPr>
              <w:spacing w:after="0"/>
              <w:rPr>
                <w:sz w:val="13"/>
                <w:szCs w:val="13"/>
                <w:color w:val="auto"/>
              </w:rPr>
            </w:pPr>
          </w:p>
        </w:tc>
        <w:tc>
          <w:tcPr>
            <w:tcW w:w="6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394,000</w:t>
            </w:r>
          </w:p>
        </w:tc>
        <w:tc>
          <w:tcPr>
            <w:tcW w:w="360" w:type="dxa"/>
            <w:vAlign w:val="bottom"/>
            <w:shd w:val="clear" w:color="auto" w:fill="F3F3F4"/>
          </w:tcPr>
          <w:p>
            <w:pPr>
              <w:spacing w:after="0"/>
              <w:rPr>
                <w:sz w:val="13"/>
                <w:szCs w:val="13"/>
                <w:color w:val="auto"/>
              </w:rPr>
            </w:pPr>
          </w:p>
        </w:tc>
        <w:tc>
          <w:tcPr>
            <w:tcW w:w="78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0</w:t>
            </w:r>
          </w:p>
        </w:tc>
        <w:tc>
          <w:tcPr>
            <w:tcW w:w="240" w:type="dxa"/>
            <w:vAlign w:val="bottom"/>
            <w:shd w:val="clear" w:color="auto" w:fill="F3F3F4"/>
          </w:tcPr>
          <w:p>
            <w:pPr>
              <w:spacing w:after="0"/>
              <w:rPr>
                <w:sz w:val="13"/>
                <w:szCs w:val="13"/>
                <w:color w:val="auto"/>
              </w:rPr>
            </w:pPr>
          </w:p>
        </w:tc>
        <w:tc>
          <w:tcPr>
            <w:tcW w:w="7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308,530</w:t>
            </w:r>
          </w:p>
        </w:tc>
        <w:tc>
          <w:tcPr>
            <w:tcW w:w="280" w:type="dxa"/>
            <w:vAlign w:val="bottom"/>
            <w:shd w:val="clear" w:color="auto" w:fill="F3F3F4"/>
          </w:tcPr>
          <w:p>
            <w:pPr>
              <w:spacing w:after="0"/>
              <w:rPr>
                <w:sz w:val="13"/>
                <w:szCs w:val="13"/>
                <w:color w:val="auto"/>
              </w:rPr>
            </w:pPr>
          </w:p>
        </w:tc>
        <w:tc>
          <w:tcPr>
            <w:tcW w:w="102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193,600</w:t>
            </w:r>
          </w:p>
        </w:tc>
        <w:tc>
          <w:tcPr>
            <w:tcW w:w="180" w:type="dxa"/>
            <w:vAlign w:val="bottom"/>
            <w:shd w:val="clear" w:color="auto" w:fill="F3F3F4"/>
          </w:tcPr>
          <w:p>
            <w:pPr>
              <w:spacing w:after="0"/>
              <w:rPr>
                <w:sz w:val="13"/>
                <w:szCs w:val="13"/>
                <w:color w:val="auto"/>
              </w:rPr>
            </w:pP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0</w:t>
            </w:r>
          </w:p>
        </w:tc>
        <w:tc>
          <w:tcPr>
            <w:tcW w:w="200" w:type="dxa"/>
            <w:vAlign w:val="bottom"/>
            <w:shd w:val="clear" w:color="auto" w:fill="F3F3F4"/>
          </w:tcPr>
          <w:p>
            <w:pPr>
              <w:spacing w:after="0"/>
              <w:rPr>
                <w:sz w:val="13"/>
                <w:szCs w:val="13"/>
                <w:color w:val="auto"/>
              </w:rPr>
            </w:pPr>
          </w:p>
        </w:tc>
        <w:tc>
          <w:tcPr>
            <w:tcW w:w="102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33,342</w:t>
            </w:r>
          </w:p>
        </w:tc>
        <w:tc>
          <w:tcPr>
            <w:tcW w:w="280" w:type="dxa"/>
            <w:vAlign w:val="bottom"/>
            <w:shd w:val="clear" w:color="auto" w:fill="F3F3F4"/>
          </w:tcPr>
          <w:p>
            <w:pPr>
              <w:spacing w:after="0"/>
              <w:rPr>
                <w:sz w:val="13"/>
                <w:szCs w:val="13"/>
                <w:color w:val="auto"/>
              </w:rPr>
            </w:pPr>
          </w:p>
        </w:tc>
        <w:tc>
          <w:tcPr>
            <w:tcW w:w="74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929,472</w:t>
            </w:r>
          </w:p>
        </w:tc>
      </w:tr>
      <w:tr>
        <w:trPr>
          <w:trHeight w:val="151"/>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President, General</w:t>
            </w:r>
          </w:p>
        </w:tc>
        <w:tc>
          <w:tcPr>
            <w:tcW w:w="7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2022</w:t>
            </w:r>
          </w:p>
        </w:tc>
        <w:tc>
          <w:tcPr>
            <w:tcW w:w="380" w:type="dxa"/>
            <w:vAlign w:val="bottom"/>
            <w:shd w:val="clear" w:color="auto" w:fill="F3F3F4"/>
          </w:tcPr>
          <w:p>
            <w:pPr>
              <w:spacing w:after="0"/>
              <w:rPr>
                <w:sz w:val="13"/>
                <w:szCs w:val="13"/>
                <w:color w:val="auto"/>
              </w:rPr>
            </w:pPr>
          </w:p>
        </w:tc>
        <w:tc>
          <w:tcPr>
            <w:tcW w:w="6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357,000</w:t>
            </w:r>
          </w:p>
        </w:tc>
        <w:tc>
          <w:tcPr>
            <w:tcW w:w="360" w:type="dxa"/>
            <w:vAlign w:val="bottom"/>
            <w:shd w:val="clear" w:color="auto" w:fill="F3F3F4"/>
          </w:tcPr>
          <w:p>
            <w:pPr>
              <w:spacing w:after="0"/>
              <w:rPr>
                <w:sz w:val="13"/>
                <w:szCs w:val="13"/>
                <w:color w:val="auto"/>
              </w:rPr>
            </w:pPr>
          </w:p>
        </w:tc>
        <w:tc>
          <w:tcPr>
            <w:tcW w:w="78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0</w:t>
            </w:r>
          </w:p>
        </w:tc>
        <w:tc>
          <w:tcPr>
            <w:tcW w:w="240" w:type="dxa"/>
            <w:vAlign w:val="bottom"/>
            <w:shd w:val="clear" w:color="auto" w:fill="F3F3F4"/>
          </w:tcPr>
          <w:p>
            <w:pPr>
              <w:spacing w:after="0"/>
              <w:rPr>
                <w:sz w:val="13"/>
                <w:szCs w:val="13"/>
                <w:color w:val="auto"/>
              </w:rPr>
            </w:pPr>
          </w:p>
        </w:tc>
        <w:tc>
          <w:tcPr>
            <w:tcW w:w="78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356,259</w:t>
            </w:r>
          </w:p>
        </w:tc>
        <w:tc>
          <w:tcPr>
            <w:tcW w:w="280" w:type="dxa"/>
            <w:vAlign w:val="bottom"/>
            <w:shd w:val="clear" w:color="auto" w:fill="F3F3F4"/>
          </w:tcPr>
          <w:p>
            <w:pPr>
              <w:spacing w:after="0"/>
              <w:rPr>
                <w:sz w:val="13"/>
                <w:szCs w:val="13"/>
                <w:color w:val="auto"/>
              </w:rPr>
            </w:pPr>
          </w:p>
        </w:tc>
        <w:tc>
          <w:tcPr>
            <w:tcW w:w="102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241,740</w:t>
            </w:r>
          </w:p>
        </w:tc>
        <w:tc>
          <w:tcPr>
            <w:tcW w:w="180" w:type="dxa"/>
            <w:vAlign w:val="bottom"/>
            <w:shd w:val="clear" w:color="auto" w:fill="F3F3F4"/>
          </w:tcPr>
          <w:p>
            <w:pPr>
              <w:spacing w:after="0"/>
              <w:rPr>
                <w:sz w:val="13"/>
                <w:szCs w:val="13"/>
                <w:color w:val="auto"/>
              </w:rPr>
            </w:pP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0</w:t>
            </w:r>
          </w:p>
        </w:tc>
        <w:tc>
          <w:tcPr>
            <w:tcW w:w="200" w:type="dxa"/>
            <w:vAlign w:val="bottom"/>
            <w:shd w:val="clear" w:color="auto" w:fill="F3F3F4"/>
          </w:tcPr>
          <w:p>
            <w:pPr>
              <w:spacing w:after="0"/>
              <w:rPr>
                <w:sz w:val="13"/>
                <w:szCs w:val="13"/>
                <w:color w:val="auto"/>
              </w:rPr>
            </w:pPr>
          </w:p>
        </w:tc>
        <w:tc>
          <w:tcPr>
            <w:tcW w:w="102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48,210</w:t>
            </w:r>
          </w:p>
        </w:tc>
        <w:tc>
          <w:tcPr>
            <w:tcW w:w="280" w:type="dxa"/>
            <w:vAlign w:val="bottom"/>
            <w:shd w:val="clear" w:color="auto" w:fill="F3F3F4"/>
          </w:tcPr>
          <w:p>
            <w:pPr>
              <w:spacing w:after="0"/>
              <w:rPr>
                <w:sz w:val="13"/>
                <w:szCs w:val="13"/>
                <w:color w:val="auto"/>
              </w:rPr>
            </w:pPr>
          </w:p>
        </w:tc>
        <w:tc>
          <w:tcPr>
            <w:tcW w:w="740" w:type="dxa"/>
            <w:vAlign w:val="bottom"/>
            <w:shd w:val="clear" w:color="auto" w:fill="F3F3F4"/>
          </w:tcPr>
          <w:p>
            <w:pPr>
              <w:jc w:val="right"/>
              <w:ind w:right="81"/>
              <w:spacing w:after="0"/>
              <w:rPr>
                <w:sz w:val="20"/>
                <w:szCs w:val="20"/>
                <w:color w:val="auto"/>
              </w:rPr>
            </w:pPr>
            <w:r>
              <w:rPr>
                <w:rFonts w:ascii="Arial" w:cs="Arial" w:eastAsia="Arial" w:hAnsi="Arial"/>
                <w:sz w:val="12"/>
                <w:szCs w:val="12"/>
                <w:color w:val="auto"/>
              </w:rPr>
              <w:t>1,003,209</w:t>
            </w:r>
          </w:p>
        </w:tc>
      </w:tr>
      <w:tr>
        <w:trPr>
          <w:trHeight w:val="151"/>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Counsel and</w:t>
            </w:r>
          </w:p>
        </w:tc>
        <w:tc>
          <w:tcPr>
            <w:tcW w:w="780" w:type="dxa"/>
            <w:vAlign w:val="bottom"/>
            <w:shd w:val="clear" w:color="auto" w:fill="F3F3F4"/>
          </w:tcPr>
          <w:p>
            <w:pPr>
              <w:spacing w:after="0"/>
              <w:rPr>
                <w:sz w:val="13"/>
                <w:szCs w:val="13"/>
                <w:color w:val="auto"/>
              </w:rPr>
            </w:pPr>
          </w:p>
        </w:tc>
        <w:tc>
          <w:tcPr>
            <w:tcW w:w="380" w:type="dxa"/>
            <w:vAlign w:val="bottom"/>
            <w:shd w:val="clear" w:color="auto" w:fill="F3F3F4"/>
          </w:tcPr>
          <w:p>
            <w:pPr>
              <w:spacing w:after="0"/>
              <w:rPr>
                <w:sz w:val="13"/>
                <w:szCs w:val="13"/>
                <w:color w:val="auto"/>
              </w:rPr>
            </w:pPr>
          </w:p>
        </w:tc>
        <w:tc>
          <w:tcPr>
            <w:tcW w:w="680" w:type="dxa"/>
            <w:vAlign w:val="bottom"/>
            <w:shd w:val="clear" w:color="auto" w:fill="F3F3F4"/>
          </w:tcPr>
          <w:p>
            <w:pPr>
              <w:spacing w:after="0"/>
              <w:rPr>
                <w:sz w:val="13"/>
                <w:szCs w:val="13"/>
                <w:color w:val="auto"/>
              </w:rPr>
            </w:pPr>
          </w:p>
        </w:tc>
        <w:tc>
          <w:tcPr>
            <w:tcW w:w="360" w:type="dxa"/>
            <w:vAlign w:val="bottom"/>
            <w:shd w:val="clear" w:color="auto" w:fill="F3F3F4"/>
          </w:tcPr>
          <w:p>
            <w:pPr>
              <w:spacing w:after="0"/>
              <w:rPr>
                <w:sz w:val="13"/>
                <w:szCs w:val="13"/>
                <w:color w:val="auto"/>
              </w:rPr>
            </w:pPr>
          </w:p>
        </w:tc>
        <w:tc>
          <w:tcPr>
            <w:tcW w:w="780" w:type="dxa"/>
            <w:vAlign w:val="bottom"/>
            <w:shd w:val="clear" w:color="auto" w:fill="F3F3F4"/>
          </w:tcPr>
          <w:p>
            <w:pPr>
              <w:spacing w:after="0"/>
              <w:rPr>
                <w:sz w:val="13"/>
                <w:szCs w:val="13"/>
                <w:color w:val="auto"/>
              </w:rPr>
            </w:pPr>
          </w:p>
        </w:tc>
        <w:tc>
          <w:tcPr>
            <w:tcW w:w="240" w:type="dxa"/>
            <w:vAlign w:val="bottom"/>
            <w:shd w:val="clear" w:color="auto" w:fill="F3F3F4"/>
          </w:tcPr>
          <w:p>
            <w:pPr>
              <w:spacing w:after="0"/>
              <w:rPr>
                <w:sz w:val="13"/>
                <w:szCs w:val="13"/>
                <w:color w:val="auto"/>
              </w:rPr>
            </w:pPr>
          </w:p>
        </w:tc>
        <w:tc>
          <w:tcPr>
            <w:tcW w:w="780" w:type="dxa"/>
            <w:vAlign w:val="bottom"/>
            <w:shd w:val="clear" w:color="auto" w:fill="F3F3F4"/>
          </w:tcPr>
          <w:p>
            <w:pPr>
              <w:spacing w:after="0"/>
              <w:rPr>
                <w:sz w:val="13"/>
                <w:szCs w:val="13"/>
                <w:color w:val="auto"/>
              </w:rPr>
            </w:pPr>
          </w:p>
        </w:tc>
        <w:tc>
          <w:tcPr>
            <w:tcW w:w="280" w:type="dxa"/>
            <w:vAlign w:val="bottom"/>
            <w:shd w:val="clear" w:color="auto" w:fill="F3F3F4"/>
          </w:tcPr>
          <w:p>
            <w:pPr>
              <w:spacing w:after="0"/>
              <w:rPr>
                <w:sz w:val="13"/>
                <w:szCs w:val="13"/>
                <w:color w:val="auto"/>
              </w:rPr>
            </w:pPr>
          </w:p>
        </w:tc>
        <w:tc>
          <w:tcPr>
            <w:tcW w:w="1020" w:type="dxa"/>
            <w:vAlign w:val="bottom"/>
            <w:shd w:val="clear" w:color="auto" w:fill="F3F3F4"/>
          </w:tcPr>
          <w:p>
            <w:pPr>
              <w:spacing w:after="0"/>
              <w:rPr>
                <w:sz w:val="13"/>
                <w:szCs w:val="13"/>
                <w:color w:val="auto"/>
              </w:rPr>
            </w:pPr>
          </w:p>
        </w:tc>
        <w:tc>
          <w:tcPr>
            <w:tcW w:w="180" w:type="dxa"/>
            <w:vAlign w:val="bottom"/>
            <w:shd w:val="clear" w:color="auto" w:fill="F3F3F4"/>
          </w:tcPr>
          <w:p>
            <w:pPr>
              <w:spacing w:after="0"/>
              <w:rPr>
                <w:sz w:val="13"/>
                <w:szCs w:val="13"/>
                <w:color w:val="auto"/>
              </w:rPr>
            </w:pPr>
          </w:p>
        </w:tc>
        <w:tc>
          <w:tcPr>
            <w:tcW w:w="1480" w:type="dxa"/>
            <w:vAlign w:val="bottom"/>
            <w:shd w:val="clear" w:color="auto" w:fill="F3F3F4"/>
          </w:tcPr>
          <w:p>
            <w:pPr>
              <w:spacing w:after="0"/>
              <w:rPr>
                <w:sz w:val="13"/>
                <w:szCs w:val="13"/>
                <w:color w:val="auto"/>
              </w:rPr>
            </w:pPr>
          </w:p>
        </w:tc>
        <w:tc>
          <w:tcPr>
            <w:tcW w:w="200" w:type="dxa"/>
            <w:vAlign w:val="bottom"/>
            <w:shd w:val="clear" w:color="auto" w:fill="F3F3F4"/>
          </w:tcPr>
          <w:p>
            <w:pPr>
              <w:spacing w:after="0"/>
              <w:rPr>
                <w:sz w:val="13"/>
                <w:szCs w:val="13"/>
                <w:color w:val="auto"/>
              </w:rPr>
            </w:pPr>
          </w:p>
        </w:tc>
        <w:tc>
          <w:tcPr>
            <w:tcW w:w="1020" w:type="dxa"/>
            <w:vAlign w:val="bottom"/>
            <w:shd w:val="clear" w:color="auto" w:fill="F3F3F4"/>
          </w:tcPr>
          <w:p>
            <w:pPr>
              <w:spacing w:after="0"/>
              <w:rPr>
                <w:sz w:val="13"/>
                <w:szCs w:val="13"/>
                <w:color w:val="auto"/>
              </w:rPr>
            </w:pPr>
          </w:p>
        </w:tc>
        <w:tc>
          <w:tcPr>
            <w:tcW w:w="280" w:type="dxa"/>
            <w:vAlign w:val="bottom"/>
            <w:shd w:val="clear" w:color="auto" w:fill="F3F3F4"/>
          </w:tcPr>
          <w:p>
            <w:pPr>
              <w:spacing w:after="0"/>
              <w:rPr>
                <w:sz w:val="13"/>
                <w:szCs w:val="13"/>
                <w:color w:val="auto"/>
              </w:rPr>
            </w:pPr>
          </w:p>
        </w:tc>
        <w:tc>
          <w:tcPr>
            <w:tcW w:w="740" w:type="dxa"/>
            <w:vAlign w:val="bottom"/>
            <w:shd w:val="clear" w:color="auto" w:fill="F3F3F4"/>
          </w:tcPr>
          <w:p>
            <w:pPr>
              <w:spacing w:after="0"/>
              <w:rPr>
                <w:sz w:val="13"/>
                <w:szCs w:val="13"/>
                <w:color w:val="auto"/>
              </w:rPr>
            </w:pPr>
          </w:p>
        </w:tc>
      </w:tr>
      <w:tr>
        <w:trPr>
          <w:trHeight w:val="151"/>
        </w:trPr>
        <w:tc>
          <w:tcPr>
            <w:tcW w:w="204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Secretary</w:t>
            </w:r>
          </w:p>
        </w:tc>
        <w:tc>
          <w:tcPr>
            <w:tcW w:w="780" w:type="dxa"/>
            <w:vAlign w:val="bottom"/>
            <w:shd w:val="clear" w:color="auto" w:fill="F3F3F4"/>
          </w:tcPr>
          <w:p>
            <w:pPr>
              <w:spacing w:after="0"/>
              <w:rPr>
                <w:sz w:val="13"/>
                <w:szCs w:val="13"/>
                <w:color w:val="auto"/>
              </w:rPr>
            </w:pPr>
          </w:p>
        </w:tc>
        <w:tc>
          <w:tcPr>
            <w:tcW w:w="380" w:type="dxa"/>
            <w:vAlign w:val="bottom"/>
            <w:shd w:val="clear" w:color="auto" w:fill="F3F3F4"/>
          </w:tcPr>
          <w:p>
            <w:pPr>
              <w:spacing w:after="0"/>
              <w:rPr>
                <w:sz w:val="13"/>
                <w:szCs w:val="13"/>
                <w:color w:val="auto"/>
              </w:rPr>
            </w:pPr>
          </w:p>
        </w:tc>
        <w:tc>
          <w:tcPr>
            <w:tcW w:w="680" w:type="dxa"/>
            <w:vAlign w:val="bottom"/>
            <w:shd w:val="clear" w:color="auto" w:fill="F3F3F4"/>
          </w:tcPr>
          <w:p>
            <w:pPr>
              <w:spacing w:after="0"/>
              <w:rPr>
                <w:sz w:val="13"/>
                <w:szCs w:val="13"/>
                <w:color w:val="auto"/>
              </w:rPr>
            </w:pPr>
          </w:p>
        </w:tc>
        <w:tc>
          <w:tcPr>
            <w:tcW w:w="360" w:type="dxa"/>
            <w:vAlign w:val="bottom"/>
            <w:shd w:val="clear" w:color="auto" w:fill="F3F3F4"/>
          </w:tcPr>
          <w:p>
            <w:pPr>
              <w:spacing w:after="0"/>
              <w:rPr>
                <w:sz w:val="13"/>
                <w:szCs w:val="13"/>
                <w:color w:val="auto"/>
              </w:rPr>
            </w:pPr>
          </w:p>
        </w:tc>
        <w:tc>
          <w:tcPr>
            <w:tcW w:w="780" w:type="dxa"/>
            <w:vAlign w:val="bottom"/>
            <w:shd w:val="clear" w:color="auto" w:fill="F3F3F4"/>
          </w:tcPr>
          <w:p>
            <w:pPr>
              <w:spacing w:after="0"/>
              <w:rPr>
                <w:sz w:val="13"/>
                <w:szCs w:val="13"/>
                <w:color w:val="auto"/>
              </w:rPr>
            </w:pPr>
          </w:p>
        </w:tc>
        <w:tc>
          <w:tcPr>
            <w:tcW w:w="240" w:type="dxa"/>
            <w:vAlign w:val="bottom"/>
            <w:shd w:val="clear" w:color="auto" w:fill="F3F3F4"/>
          </w:tcPr>
          <w:p>
            <w:pPr>
              <w:spacing w:after="0"/>
              <w:rPr>
                <w:sz w:val="13"/>
                <w:szCs w:val="13"/>
                <w:color w:val="auto"/>
              </w:rPr>
            </w:pPr>
          </w:p>
        </w:tc>
        <w:tc>
          <w:tcPr>
            <w:tcW w:w="780" w:type="dxa"/>
            <w:vAlign w:val="bottom"/>
            <w:shd w:val="clear" w:color="auto" w:fill="F3F3F4"/>
          </w:tcPr>
          <w:p>
            <w:pPr>
              <w:spacing w:after="0"/>
              <w:rPr>
                <w:sz w:val="13"/>
                <w:szCs w:val="13"/>
                <w:color w:val="auto"/>
              </w:rPr>
            </w:pPr>
          </w:p>
        </w:tc>
        <w:tc>
          <w:tcPr>
            <w:tcW w:w="280" w:type="dxa"/>
            <w:vAlign w:val="bottom"/>
            <w:shd w:val="clear" w:color="auto" w:fill="F3F3F4"/>
          </w:tcPr>
          <w:p>
            <w:pPr>
              <w:spacing w:after="0"/>
              <w:rPr>
                <w:sz w:val="13"/>
                <w:szCs w:val="13"/>
                <w:color w:val="auto"/>
              </w:rPr>
            </w:pPr>
          </w:p>
        </w:tc>
        <w:tc>
          <w:tcPr>
            <w:tcW w:w="1020" w:type="dxa"/>
            <w:vAlign w:val="bottom"/>
            <w:shd w:val="clear" w:color="auto" w:fill="F3F3F4"/>
          </w:tcPr>
          <w:p>
            <w:pPr>
              <w:spacing w:after="0"/>
              <w:rPr>
                <w:sz w:val="13"/>
                <w:szCs w:val="13"/>
                <w:color w:val="auto"/>
              </w:rPr>
            </w:pPr>
          </w:p>
        </w:tc>
        <w:tc>
          <w:tcPr>
            <w:tcW w:w="180" w:type="dxa"/>
            <w:vAlign w:val="bottom"/>
            <w:shd w:val="clear" w:color="auto" w:fill="F3F3F4"/>
          </w:tcPr>
          <w:p>
            <w:pPr>
              <w:spacing w:after="0"/>
              <w:rPr>
                <w:sz w:val="13"/>
                <w:szCs w:val="13"/>
                <w:color w:val="auto"/>
              </w:rPr>
            </w:pPr>
          </w:p>
        </w:tc>
        <w:tc>
          <w:tcPr>
            <w:tcW w:w="1480" w:type="dxa"/>
            <w:vAlign w:val="bottom"/>
            <w:shd w:val="clear" w:color="auto" w:fill="F3F3F4"/>
          </w:tcPr>
          <w:p>
            <w:pPr>
              <w:spacing w:after="0"/>
              <w:rPr>
                <w:sz w:val="13"/>
                <w:szCs w:val="13"/>
                <w:color w:val="auto"/>
              </w:rPr>
            </w:pPr>
          </w:p>
        </w:tc>
        <w:tc>
          <w:tcPr>
            <w:tcW w:w="200" w:type="dxa"/>
            <w:vAlign w:val="bottom"/>
            <w:shd w:val="clear" w:color="auto" w:fill="F3F3F4"/>
          </w:tcPr>
          <w:p>
            <w:pPr>
              <w:spacing w:after="0"/>
              <w:rPr>
                <w:sz w:val="13"/>
                <w:szCs w:val="13"/>
                <w:color w:val="auto"/>
              </w:rPr>
            </w:pPr>
          </w:p>
        </w:tc>
        <w:tc>
          <w:tcPr>
            <w:tcW w:w="1020" w:type="dxa"/>
            <w:vAlign w:val="bottom"/>
            <w:shd w:val="clear" w:color="auto" w:fill="F3F3F4"/>
          </w:tcPr>
          <w:p>
            <w:pPr>
              <w:spacing w:after="0"/>
              <w:rPr>
                <w:sz w:val="13"/>
                <w:szCs w:val="13"/>
                <w:color w:val="auto"/>
              </w:rPr>
            </w:pPr>
          </w:p>
        </w:tc>
        <w:tc>
          <w:tcPr>
            <w:tcW w:w="280" w:type="dxa"/>
            <w:vAlign w:val="bottom"/>
            <w:shd w:val="clear" w:color="auto" w:fill="F3F3F4"/>
          </w:tcPr>
          <w:p>
            <w:pPr>
              <w:spacing w:after="0"/>
              <w:rPr>
                <w:sz w:val="13"/>
                <w:szCs w:val="13"/>
                <w:color w:val="auto"/>
              </w:rPr>
            </w:pPr>
          </w:p>
        </w:tc>
        <w:tc>
          <w:tcPr>
            <w:tcW w:w="740" w:type="dxa"/>
            <w:vAlign w:val="bottom"/>
            <w:shd w:val="clear" w:color="auto" w:fill="F3F3F4"/>
          </w:tcPr>
          <w:p>
            <w:pPr>
              <w:spacing w:after="0"/>
              <w:rPr>
                <w:sz w:val="13"/>
                <w:szCs w:val="13"/>
                <w:color w:val="auto"/>
              </w:rPr>
            </w:pPr>
          </w:p>
        </w:tc>
      </w:tr>
      <w:tr>
        <w:trPr>
          <w:trHeight w:val="88"/>
        </w:trPr>
        <w:tc>
          <w:tcPr>
            <w:tcW w:w="2040" w:type="dxa"/>
            <w:vAlign w:val="bottom"/>
            <w:tcBorders>
              <w:bottom w:val="single" w:sz="8" w:color="939598"/>
            </w:tcBorders>
            <w:shd w:val="clear" w:color="auto" w:fill="F3F3F4"/>
          </w:tcPr>
          <w:p>
            <w:pPr>
              <w:spacing w:after="0"/>
              <w:rPr>
                <w:sz w:val="7"/>
                <w:szCs w:val="7"/>
                <w:color w:val="auto"/>
              </w:rPr>
            </w:pPr>
          </w:p>
        </w:tc>
        <w:tc>
          <w:tcPr>
            <w:tcW w:w="780" w:type="dxa"/>
            <w:vAlign w:val="bottom"/>
            <w:tcBorders>
              <w:bottom w:val="single" w:sz="8" w:color="939598"/>
            </w:tcBorders>
            <w:shd w:val="clear" w:color="auto" w:fill="F3F3F4"/>
          </w:tcPr>
          <w:p>
            <w:pPr>
              <w:spacing w:after="0"/>
              <w:rPr>
                <w:sz w:val="7"/>
                <w:szCs w:val="7"/>
                <w:color w:val="auto"/>
              </w:rPr>
            </w:pPr>
          </w:p>
        </w:tc>
        <w:tc>
          <w:tcPr>
            <w:tcW w:w="380" w:type="dxa"/>
            <w:vAlign w:val="bottom"/>
            <w:tcBorders>
              <w:bottom w:val="single" w:sz="8" w:color="939598"/>
            </w:tcBorders>
            <w:shd w:val="clear" w:color="auto" w:fill="F3F3F4"/>
          </w:tcPr>
          <w:p>
            <w:pPr>
              <w:spacing w:after="0"/>
              <w:rPr>
                <w:sz w:val="7"/>
                <w:szCs w:val="7"/>
                <w:color w:val="auto"/>
              </w:rPr>
            </w:pPr>
          </w:p>
        </w:tc>
        <w:tc>
          <w:tcPr>
            <w:tcW w:w="680" w:type="dxa"/>
            <w:vAlign w:val="bottom"/>
            <w:tcBorders>
              <w:bottom w:val="single" w:sz="8" w:color="939598"/>
            </w:tcBorders>
            <w:shd w:val="clear" w:color="auto" w:fill="F3F3F4"/>
          </w:tcPr>
          <w:p>
            <w:pPr>
              <w:spacing w:after="0"/>
              <w:rPr>
                <w:sz w:val="7"/>
                <w:szCs w:val="7"/>
                <w:color w:val="auto"/>
              </w:rPr>
            </w:pPr>
          </w:p>
        </w:tc>
        <w:tc>
          <w:tcPr>
            <w:tcW w:w="360" w:type="dxa"/>
            <w:vAlign w:val="bottom"/>
            <w:tcBorders>
              <w:bottom w:val="single" w:sz="8" w:color="939598"/>
            </w:tcBorders>
            <w:shd w:val="clear" w:color="auto" w:fill="F3F3F4"/>
          </w:tcPr>
          <w:p>
            <w:pPr>
              <w:spacing w:after="0"/>
              <w:rPr>
                <w:sz w:val="7"/>
                <w:szCs w:val="7"/>
                <w:color w:val="auto"/>
              </w:rPr>
            </w:pPr>
          </w:p>
        </w:tc>
        <w:tc>
          <w:tcPr>
            <w:tcW w:w="780" w:type="dxa"/>
            <w:vAlign w:val="bottom"/>
            <w:tcBorders>
              <w:bottom w:val="single" w:sz="8" w:color="939598"/>
            </w:tcBorders>
            <w:shd w:val="clear" w:color="auto" w:fill="F3F3F4"/>
          </w:tcPr>
          <w:p>
            <w:pPr>
              <w:spacing w:after="0"/>
              <w:rPr>
                <w:sz w:val="7"/>
                <w:szCs w:val="7"/>
                <w:color w:val="auto"/>
              </w:rPr>
            </w:pPr>
          </w:p>
        </w:tc>
        <w:tc>
          <w:tcPr>
            <w:tcW w:w="240" w:type="dxa"/>
            <w:vAlign w:val="bottom"/>
            <w:tcBorders>
              <w:bottom w:val="single" w:sz="8" w:color="939598"/>
            </w:tcBorders>
            <w:shd w:val="clear" w:color="auto" w:fill="F3F3F4"/>
          </w:tcPr>
          <w:p>
            <w:pPr>
              <w:spacing w:after="0"/>
              <w:rPr>
                <w:sz w:val="7"/>
                <w:szCs w:val="7"/>
                <w:color w:val="auto"/>
              </w:rPr>
            </w:pPr>
          </w:p>
        </w:tc>
        <w:tc>
          <w:tcPr>
            <w:tcW w:w="780" w:type="dxa"/>
            <w:vAlign w:val="bottom"/>
            <w:tcBorders>
              <w:bottom w:val="single" w:sz="8" w:color="939598"/>
            </w:tcBorders>
            <w:shd w:val="clear" w:color="auto" w:fill="F3F3F4"/>
          </w:tcPr>
          <w:p>
            <w:pPr>
              <w:spacing w:after="0"/>
              <w:rPr>
                <w:sz w:val="7"/>
                <w:szCs w:val="7"/>
                <w:color w:val="auto"/>
              </w:rPr>
            </w:pPr>
          </w:p>
        </w:tc>
        <w:tc>
          <w:tcPr>
            <w:tcW w:w="280" w:type="dxa"/>
            <w:vAlign w:val="bottom"/>
            <w:tcBorders>
              <w:bottom w:val="single" w:sz="8" w:color="939598"/>
            </w:tcBorders>
            <w:shd w:val="clear" w:color="auto" w:fill="F3F3F4"/>
          </w:tcPr>
          <w:p>
            <w:pPr>
              <w:spacing w:after="0"/>
              <w:rPr>
                <w:sz w:val="7"/>
                <w:szCs w:val="7"/>
                <w:color w:val="auto"/>
              </w:rPr>
            </w:pPr>
          </w:p>
        </w:tc>
        <w:tc>
          <w:tcPr>
            <w:tcW w:w="1020" w:type="dxa"/>
            <w:vAlign w:val="bottom"/>
            <w:tcBorders>
              <w:bottom w:val="single" w:sz="8" w:color="939598"/>
            </w:tcBorders>
            <w:shd w:val="clear" w:color="auto" w:fill="F3F3F4"/>
          </w:tcPr>
          <w:p>
            <w:pPr>
              <w:spacing w:after="0"/>
              <w:rPr>
                <w:sz w:val="7"/>
                <w:szCs w:val="7"/>
                <w:color w:val="auto"/>
              </w:rPr>
            </w:pPr>
          </w:p>
        </w:tc>
        <w:tc>
          <w:tcPr>
            <w:tcW w:w="180" w:type="dxa"/>
            <w:vAlign w:val="bottom"/>
            <w:tcBorders>
              <w:bottom w:val="single" w:sz="8" w:color="939598"/>
            </w:tcBorders>
            <w:shd w:val="clear" w:color="auto" w:fill="F3F3F4"/>
          </w:tcPr>
          <w:p>
            <w:pPr>
              <w:spacing w:after="0"/>
              <w:rPr>
                <w:sz w:val="7"/>
                <w:szCs w:val="7"/>
                <w:color w:val="auto"/>
              </w:rPr>
            </w:pPr>
          </w:p>
        </w:tc>
        <w:tc>
          <w:tcPr>
            <w:tcW w:w="1480" w:type="dxa"/>
            <w:vAlign w:val="bottom"/>
            <w:tcBorders>
              <w:bottom w:val="single" w:sz="8" w:color="939598"/>
            </w:tcBorders>
            <w:shd w:val="clear" w:color="auto" w:fill="F3F3F4"/>
          </w:tcPr>
          <w:p>
            <w:pPr>
              <w:spacing w:after="0"/>
              <w:rPr>
                <w:sz w:val="7"/>
                <w:szCs w:val="7"/>
                <w:color w:val="auto"/>
              </w:rPr>
            </w:pPr>
          </w:p>
        </w:tc>
        <w:tc>
          <w:tcPr>
            <w:tcW w:w="200" w:type="dxa"/>
            <w:vAlign w:val="bottom"/>
            <w:tcBorders>
              <w:bottom w:val="single" w:sz="8" w:color="939598"/>
            </w:tcBorders>
            <w:shd w:val="clear" w:color="auto" w:fill="F3F3F4"/>
          </w:tcPr>
          <w:p>
            <w:pPr>
              <w:spacing w:after="0"/>
              <w:rPr>
                <w:sz w:val="7"/>
                <w:szCs w:val="7"/>
                <w:color w:val="auto"/>
              </w:rPr>
            </w:pPr>
          </w:p>
        </w:tc>
        <w:tc>
          <w:tcPr>
            <w:tcW w:w="1020" w:type="dxa"/>
            <w:vAlign w:val="bottom"/>
            <w:tcBorders>
              <w:bottom w:val="single" w:sz="8" w:color="939598"/>
            </w:tcBorders>
            <w:shd w:val="clear" w:color="auto" w:fill="F3F3F4"/>
          </w:tcPr>
          <w:p>
            <w:pPr>
              <w:spacing w:after="0"/>
              <w:rPr>
                <w:sz w:val="7"/>
                <w:szCs w:val="7"/>
                <w:color w:val="auto"/>
              </w:rPr>
            </w:pPr>
          </w:p>
        </w:tc>
        <w:tc>
          <w:tcPr>
            <w:tcW w:w="280" w:type="dxa"/>
            <w:vAlign w:val="bottom"/>
            <w:tcBorders>
              <w:bottom w:val="single" w:sz="8" w:color="939598"/>
            </w:tcBorders>
            <w:shd w:val="clear" w:color="auto" w:fill="F3F3F4"/>
          </w:tcPr>
          <w:p>
            <w:pPr>
              <w:spacing w:after="0"/>
              <w:rPr>
                <w:sz w:val="7"/>
                <w:szCs w:val="7"/>
                <w:color w:val="auto"/>
              </w:rPr>
            </w:pPr>
          </w:p>
        </w:tc>
        <w:tc>
          <w:tcPr>
            <w:tcW w:w="740" w:type="dxa"/>
            <w:vAlign w:val="bottom"/>
            <w:tcBorders>
              <w:bottom w:val="single" w:sz="8" w:color="939598"/>
            </w:tcBorders>
            <w:shd w:val="clear" w:color="auto" w:fill="F3F3F4"/>
          </w:tcPr>
          <w:p>
            <w:pPr>
              <w:spacing w:after="0"/>
              <w:rPr>
                <w:sz w:val="7"/>
                <w:szCs w:val="7"/>
                <w:color w:val="auto"/>
              </w:rPr>
            </w:pPr>
          </w:p>
        </w:tc>
      </w:tr>
    </w:tbl>
    <w:p>
      <w:pPr>
        <w:spacing w:after="0" w:line="215" w:lineRule="exact"/>
        <w:rPr>
          <w:sz w:val="20"/>
          <w:szCs w:val="20"/>
          <w:color w:val="auto"/>
        </w:rPr>
      </w:pPr>
    </w:p>
    <w:p>
      <w:pPr>
        <w:jc w:val="both"/>
        <w:ind w:left="220" w:right="20" w:hanging="219"/>
        <w:spacing w:after="0" w:line="236" w:lineRule="auto"/>
        <w:tabs>
          <w:tab w:leader="none" w:pos="2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 xml:space="preserve">Represents the aggregate grant date fair values of equity-based awards based on the fair market value of the underlying Common Stock on the respective grant dates as calculated in accordance with applicable accounting rules. Such amounts do not represent the actual value that will be realized by the executive officers at the time of distribution. Awards shown are grants of time-vested RSUs and performance-based PSUs to Mr. Sayler, Mr. Tucker and Mr. Schatz. For more information, see </w:t>
      </w:r>
      <w:r>
        <w:rPr>
          <w:rFonts w:ascii="Arial" w:cs="Arial" w:eastAsia="Arial" w:hAnsi="Arial"/>
          <w:sz w:val="13"/>
          <w:szCs w:val="13"/>
          <w:b w:val="1"/>
          <w:bCs w:val="1"/>
          <w:i w:val="1"/>
          <w:iCs w:val="1"/>
          <w:color w:val="auto"/>
        </w:rPr>
        <w:t>Principal Elements of Compensation – Long-Term Equity Incentive Compensation</w:t>
      </w:r>
      <w:r>
        <w:rPr>
          <w:rFonts w:ascii="Arial" w:cs="Arial" w:eastAsia="Arial" w:hAnsi="Arial"/>
          <w:sz w:val="13"/>
          <w:szCs w:val="13"/>
          <w:color w:val="auto"/>
        </w:rPr>
        <w:t xml:space="preserve"> in the Compensation Discussion and Analysis section, and </w:t>
      </w:r>
      <w:r>
        <w:rPr>
          <w:rFonts w:ascii="Arial" w:cs="Arial" w:eastAsia="Arial" w:hAnsi="Arial"/>
          <w:sz w:val="13"/>
          <w:szCs w:val="13"/>
          <w:b w:val="1"/>
          <w:bCs w:val="1"/>
          <w:i w:val="1"/>
          <w:iCs w:val="1"/>
          <w:color w:val="auto"/>
        </w:rPr>
        <w:t>Grants of Plan-Based Awards</w:t>
      </w:r>
      <w:r>
        <w:rPr>
          <w:rFonts w:ascii="Arial" w:cs="Arial" w:eastAsia="Arial" w:hAnsi="Arial"/>
          <w:sz w:val="13"/>
          <w:szCs w:val="13"/>
          <w:color w:val="auto"/>
        </w:rPr>
        <w:t>, below.</w:t>
      </w:r>
    </w:p>
    <w:p>
      <w:pPr>
        <w:spacing w:after="0" w:line="106" w:lineRule="exact"/>
        <w:rPr>
          <w:sz w:val="20"/>
          <w:szCs w:val="20"/>
          <w:color w:val="auto"/>
        </w:rPr>
      </w:pPr>
    </w:p>
    <w:p>
      <w:pPr>
        <w:ind w:left="220" w:right="20" w:hanging="219"/>
        <w:spacing w:after="0" w:line="259" w:lineRule="auto"/>
        <w:tabs>
          <w:tab w:leader="none" w:pos="2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Reflects the performance-based cash awards earned for the fiscal year indicated under the PCP. These awards were paid out in the following fiscal year. For more information, see </w:t>
      </w:r>
      <w:r>
        <w:rPr>
          <w:rFonts w:ascii="Arial" w:cs="Arial" w:eastAsia="Arial" w:hAnsi="Arial"/>
          <w:sz w:val="13"/>
          <w:szCs w:val="13"/>
          <w:b w:val="1"/>
          <w:bCs w:val="1"/>
          <w:i w:val="1"/>
          <w:iCs w:val="1"/>
          <w:color w:val="auto"/>
        </w:rPr>
        <w:t>Principal</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 xml:space="preserve">Elements of Compensation – Cash Incentive Plans </w:t>
      </w:r>
      <w:r>
        <w:rPr>
          <w:rFonts w:ascii="Arial" w:cs="Arial" w:eastAsia="Arial" w:hAnsi="Arial"/>
          <w:sz w:val="13"/>
          <w:szCs w:val="13"/>
          <w:color w:val="auto"/>
        </w:rPr>
        <w:t>in the Compensation Discussion and Analysis section, and</w:t>
      </w:r>
      <w:r>
        <w:rPr>
          <w:rFonts w:ascii="Arial" w:cs="Arial" w:eastAsia="Arial" w:hAnsi="Arial"/>
          <w:sz w:val="13"/>
          <w:szCs w:val="13"/>
          <w:b w:val="1"/>
          <w:bCs w:val="1"/>
          <w:i w:val="1"/>
          <w:iCs w:val="1"/>
          <w:color w:val="auto"/>
        </w:rPr>
        <w:t xml:space="preserve"> Grants of Plan-Based Awards</w:t>
      </w:r>
      <w:r>
        <w:rPr>
          <w:rFonts w:ascii="Arial" w:cs="Arial" w:eastAsia="Arial" w:hAnsi="Arial"/>
          <w:sz w:val="13"/>
          <w:szCs w:val="13"/>
          <w:color w:val="auto"/>
        </w:rPr>
        <w:t>, below.</w:t>
      </w:r>
    </w:p>
    <w:p>
      <w:pPr>
        <w:spacing w:after="0" w:line="94" w:lineRule="exact"/>
        <w:rPr>
          <w:sz w:val="20"/>
          <w:szCs w:val="20"/>
          <w:color w:val="auto"/>
        </w:rPr>
      </w:pPr>
    </w:p>
    <w:p>
      <w:pPr>
        <w:ind w:left="220" w:hanging="219"/>
        <w:spacing w:after="0"/>
        <w:tabs>
          <w:tab w:leader="none" w:pos="2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Comprised of the amounts provided in the table below:</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138"/>
        </w:trPr>
        <w:tc>
          <w:tcPr>
            <w:tcW w:w="3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right"/>
              <w:ind w:right="61"/>
              <w:spacing w:after="0"/>
              <w:rPr>
                <w:sz w:val="20"/>
                <w:szCs w:val="20"/>
                <w:color w:val="auto"/>
              </w:rPr>
            </w:pPr>
            <w:r>
              <w:rPr>
                <w:rFonts w:ascii="Arial" w:cs="Arial" w:eastAsia="Arial" w:hAnsi="Arial"/>
                <w:sz w:val="12"/>
                <w:szCs w:val="12"/>
                <w:b w:val="1"/>
                <w:bCs w:val="1"/>
                <w:color w:val="auto"/>
              </w:rPr>
              <w:t>Defined Contribution</w:t>
            </w:r>
          </w:p>
        </w:tc>
        <w:tc>
          <w:tcPr>
            <w:tcW w:w="180" w:type="dxa"/>
            <w:vAlign w:val="bottom"/>
          </w:tcPr>
          <w:p>
            <w:pPr>
              <w:spacing w:after="0"/>
              <w:rPr>
                <w:sz w:val="12"/>
                <w:szCs w:val="12"/>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b w:val="1"/>
                <w:bCs w:val="1"/>
                <w:color w:val="auto"/>
              </w:rPr>
              <w:t>Employee Stock</w:t>
            </w:r>
          </w:p>
        </w:tc>
        <w:tc>
          <w:tcPr>
            <w:tcW w:w="420" w:type="dxa"/>
            <w:vAlign w:val="bottom"/>
          </w:tcPr>
          <w:p>
            <w:pPr>
              <w:spacing w:after="0"/>
              <w:rPr>
                <w:sz w:val="12"/>
                <w:szCs w:val="12"/>
                <w:color w:val="auto"/>
              </w:rPr>
            </w:pPr>
          </w:p>
        </w:tc>
        <w:tc>
          <w:tcPr>
            <w:tcW w:w="1200" w:type="dxa"/>
            <w:vAlign w:val="bottom"/>
            <w:vMerge w:val="restart"/>
          </w:tcPr>
          <w:p>
            <w:pPr>
              <w:jc w:val="right"/>
              <w:ind w:right="41"/>
              <w:spacing w:after="0"/>
              <w:rPr>
                <w:sz w:val="20"/>
                <w:szCs w:val="20"/>
                <w:color w:val="auto"/>
              </w:rPr>
            </w:pPr>
            <w:r>
              <w:rPr>
                <w:rFonts w:ascii="Arial" w:cs="Arial" w:eastAsia="Arial" w:hAnsi="Arial"/>
                <w:sz w:val="12"/>
                <w:szCs w:val="12"/>
                <w:b w:val="1"/>
                <w:bCs w:val="1"/>
                <w:color w:val="auto"/>
              </w:rPr>
              <w:t>Perquisites and</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61"/>
              <w:spacing w:after="0"/>
              <w:rPr>
                <w:sz w:val="20"/>
                <w:szCs w:val="20"/>
                <w:color w:val="auto"/>
              </w:rPr>
            </w:pPr>
            <w:r>
              <w:rPr>
                <w:rFonts w:ascii="Arial" w:cs="Arial" w:eastAsia="Arial" w:hAnsi="Arial"/>
                <w:sz w:val="12"/>
                <w:szCs w:val="12"/>
                <w:b w:val="1"/>
                <w:bCs w:val="1"/>
                <w:color w:val="auto"/>
                <w:w w:val="97"/>
              </w:rPr>
              <w:t>Savings Plan Company</w:t>
            </w:r>
          </w:p>
        </w:tc>
        <w:tc>
          <w:tcPr>
            <w:tcW w:w="180" w:type="dxa"/>
            <w:vAlign w:val="bottom"/>
          </w:tcPr>
          <w:p>
            <w:pPr>
              <w:spacing w:after="0"/>
              <w:rPr>
                <w:sz w:val="13"/>
                <w:szCs w:val="13"/>
                <w:color w:val="auto"/>
              </w:rPr>
            </w:pPr>
          </w:p>
        </w:tc>
        <w:tc>
          <w:tcPr>
            <w:tcW w:w="1480" w:type="dxa"/>
            <w:vAlign w:val="bottom"/>
          </w:tcPr>
          <w:p>
            <w:pPr>
              <w:jc w:val="right"/>
              <w:ind w:right="61"/>
              <w:spacing w:after="0"/>
              <w:rPr>
                <w:sz w:val="20"/>
                <w:szCs w:val="20"/>
                <w:color w:val="auto"/>
              </w:rPr>
            </w:pPr>
            <w:r>
              <w:rPr>
                <w:rFonts w:ascii="Arial" w:cs="Arial" w:eastAsia="Arial" w:hAnsi="Arial"/>
                <w:sz w:val="12"/>
                <w:szCs w:val="12"/>
                <w:b w:val="1"/>
                <w:bCs w:val="1"/>
                <w:color w:val="auto"/>
                <w:w w:val="96"/>
              </w:rPr>
              <w:t>Purchase Plan Company</w:t>
            </w:r>
          </w:p>
        </w:tc>
        <w:tc>
          <w:tcPr>
            <w:tcW w:w="4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Name and Principal Position</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Fiscal Year</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Contributions</w:t>
            </w:r>
            <w:r>
              <w:rPr>
                <w:rFonts w:ascii="Arial" w:cs="Arial" w:eastAsia="Arial" w:hAnsi="Arial"/>
                <w:sz w:val="19"/>
                <w:szCs w:val="19"/>
                <w:b w:val="1"/>
                <w:bCs w:val="1"/>
                <w:color w:val="auto"/>
                <w:vertAlign w:val="superscript"/>
              </w:rPr>
              <w:t>a</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Contributions</w:t>
            </w:r>
            <w:r>
              <w:rPr>
                <w:rFonts w:ascii="Arial" w:cs="Arial" w:eastAsia="Arial" w:hAnsi="Arial"/>
                <w:sz w:val="19"/>
                <w:szCs w:val="19"/>
                <w:b w:val="1"/>
                <w:bCs w:val="1"/>
                <w:color w:val="auto"/>
                <w:vertAlign w:val="superscript"/>
              </w:rPr>
              <w:t>b</w:t>
            </w:r>
          </w:p>
        </w:tc>
        <w:tc>
          <w:tcPr>
            <w:tcW w:w="4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Other</w:t>
            </w:r>
            <w:r>
              <w:rPr>
                <w:rFonts w:ascii="Arial" w:cs="Arial" w:eastAsia="Arial" w:hAnsi="Arial"/>
                <w:sz w:val="19"/>
                <w:szCs w:val="19"/>
                <w:b w:val="1"/>
                <w:bCs w:val="1"/>
                <w:color w:val="auto"/>
                <w:vertAlign w:val="superscript"/>
              </w:rPr>
              <w:t>c</w:t>
            </w:r>
          </w:p>
        </w:tc>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13"/>
        </w:trPr>
        <w:tc>
          <w:tcPr>
            <w:tcW w:w="3540" w:type="dxa"/>
            <w:vAlign w:val="bottom"/>
            <w:shd w:val="clear" w:color="auto" w:fill="F3F3F4"/>
          </w:tcPr>
          <w:p>
            <w:pPr>
              <w:ind w:left="120"/>
              <w:spacing w:after="0"/>
              <w:rPr>
                <w:sz w:val="20"/>
                <w:szCs w:val="20"/>
                <w:color w:val="auto"/>
              </w:rPr>
            </w:pPr>
            <w:r>
              <w:rPr>
                <w:rFonts w:ascii="Arial" w:cs="Arial" w:eastAsia="Arial" w:hAnsi="Arial"/>
                <w:sz w:val="12"/>
                <w:szCs w:val="12"/>
                <w:b w:val="1"/>
                <w:bCs w:val="1"/>
                <w:color w:val="auto"/>
              </w:rPr>
              <w:t>Bryan H. Sayler</w:t>
            </w:r>
          </w:p>
        </w:tc>
        <w:tc>
          <w:tcPr>
            <w:tcW w:w="112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2024</w:t>
            </w:r>
          </w:p>
        </w:tc>
        <w:tc>
          <w:tcPr>
            <w:tcW w:w="24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w:t>
            </w:r>
          </w:p>
        </w:tc>
        <w:tc>
          <w:tcPr>
            <w:tcW w:w="144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13,800</w:t>
            </w:r>
          </w:p>
        </w:tc>
        <w:tc>
          <w:tcPr>
            <w:tcW w:w="1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w:t>
            </w: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0</w:t>
            </w:r>
          </w:p>
        </w:tc>
        <w:tc>
          <w:tcPr>
            <w:tcW w:w="420" w:type="dxa"/>
            <w:vAlign w:val="bottom"/>
            <w:shd w:val="clear" w:color="auto" w:fill="F3F3F4"/>
          </w:tcPr>
          <w:p>
            <w:pPr>
              <w:jc w:val="right"/>
              <w:ind w:right="181"/>
              <w:spacing w:after="0"/>
              <w:rPr>
                <w:sz w:val="20"/>
                <w:szCs w:val="20"/>
                <w:color w:val="auto"/>
              </w:rPr>
            </w:pPr>
            <w:r>
              <w:rPr>
                <w:rFonts w:ascii="Arial" w:cs="Arial" w:eastAsia="Arial" w:hAnsi="Arial"/>
                <w:sz w:val="12"/>
                <w:szCs w:val="12"/>
                <w:color w:val="auto"/>
              </w:rPr>
              <w:t>$</w:t>
            </w:r>
          </w:p>
        </w:tc>
        <w:tc>
          <w:tcPr>
            <w:tcW w:w="12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16,890</w:t>
            </w:r>
          </w:p>
        </w:tc>
        <w:tc>
          <w:tcPr>
            <w:tcW w:w="520" w:type="dxa"/>
            <w:vAlign w:val="bottom"/>
            <w:shd w:val="clear" w:color="auto" w:fill="F3F3F4"/>
          </w:tcPr>
          <w:p>
            <w:pPr>
              <w:jc w:val="right"/>
              <w:ind w:right="281"/>
              <w:spacing w:after="0"/>
              <w:rPr>
                <w:sz w:val="20"/>
                <w:szCs w:val="20"/>
                <w:color w:val="auto"/>
              </w:rPr>
            </w:pPr>
            <w:r>
              <w:rPr>
                <w:rFonts w:ascii="Arial" w:cs="Arial" w:eastAsia="Arial" w:hAnsi="Arial"/>
                <w:sz w:val="12"/>
                <w:szCs w:val="12"/>
                <w:color w:val="auto"/>
              </w:rPr>
              <w:t>$</w:t>
            </w:r>
          </w:p>
        </w:tc>
        <w:tc>
          <w:tcPr>
            <w:tcW w:w="88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30,690</w:t>
            </w:r>
          </w:p>
        </w:tc>
        <w:tc>
          <w:tcPr>
            <w:tcW w:w="0" w:type="dxa"/>
            <w:vAlign w:val="bottom"/>
          </w:tcPr>
          <w:p>
            <w:pPr>
              <w:spacing w:after="0"/>
              <w:rPr>
                <w:sz w:val="1"/>
                <w:szCs w:val="1"/>
                <w:color w:val="auto"/>
              </w:rPr>
            </w:pPr>
          </w:p>
        </w:tc>
      </w:tr>
      <w:tr>
        <w:trPr>
          <w:trHeight w:val="177"/>
        </w:trPr>
        <w:tc>
          <w:tcPr>
            <w:tcW w:w="3540" w:type="dxa"/>
            <w:vAlign w:val="bottom"/>
            <w:shd w:val="clear" w:color="auto" w:fill="F3F3F4"/>
          </w:tcPr>
          <w:p>
            <w:pPr>
              <w:ind w:left="120"/>
              <w:spacing w:after="0"/>
              <w:rPr>
                <w:sz w:val="20"/>
                <w:szCs w:val="20"/>
                <w:color w:val="auto"/>
              </w:rPr>
            </w:pPr>
            <w:r>
              <w:rPr>
                <w:rFonts w:ascii="Arial" w:cs="Arial" w:eastAsia="Arial" w:hAnsi="Arial"/>
                <w:sz w:val="12"/>
                <w:szCs w:val="12"/>
                <w:b w:val="1"/>
                <w:bCs w:val="1"/>
                <w:color w:val="auto"/>
              </w:rPr>
              <w:t>Chief Executive Officer and</w:t>
            </w:r>
          </w:p>
        </w:tc>
        <w:tc>
          <w:tcPr>
            <w:tcW w:w="112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2023</w:t>
            </w:r>
          </w:p>
        </w:tc>
        <w:tc>
          <w:tcPr>
            <w:tcW w:w="240" w:type="dxa"/>
            <w:vAlign w:val="bottom"/>
            <w:shd w:val="clear" w:color="auto" w:fill="F3F3F4"/>
          </w:tcPr>
          <w:p>
            <w:pPr>
              <w:spacing w:after="0"/>
              <w:rPr>
                <w:sz w:val="15"/>
                <w:szCs w:val="15"/>
                <w:color w:val="auto"/>
              </w:rPr>
            </w:pPr>
          </w:p>
        </w:tc>
        <w:tc>
          <w:tcPr>
            <w:tcW w:w="144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14,954</w:t>
            </w:r>
          </w:p>
        </w:tc>
        <w:tc>
          <w:tcPr>
            <w:tcW w:w="180" w:type="dxa"/>
            <w:vAlign w:val="bottom"/>
            <w:shd w:val="clear" w:color="auto" w:fill="F3F3F4"/>
          </w:tcPr>
          <w:p>
            <w:pPr>
              <w:spacing w:after="0"/>
              <w:rPr>
                <w:sz w:val="15"/>
                <w:szCs w:val="15"/>
                <w:color w:val="auto"/>
              </w:rPr>
            </w:pP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1,648</w:t>
            </w:r>
          </w:p>
        </w:tc>
        <w:tc>
          <w:tcPr>
            <w:tcW w:w="420" w:type="dxa"/>
            <w:vAlign w:val="bottom"/>
            <w:shd w:val="clear" w:color="auto" w:fill="F3F3F4"/>
          </w:tcPr>
          <w:p>
            <w:pPr>
              <w:spacing w:after="0"/>
              <w:rPr>
                <w:sz w:val="15"/>
                <w:szCs w:val="15"/>
                <w:color w:val="auto"/>
              </w:rPr>
            </w:pPr>
          </w:p>
        </w:tc>
        <w:tc>
          <w:tcPr>
            <w:tcW w:w="12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569,822</w:t>
            </w:r>
          </w:p>
        </w:tc>
        <w:tc>
          <w:tcPr>
            <w:tcW w:w="520" w:type="dxa"/>
            <w:vAlign w:val="bottom"/>
            <w:shd w:val="clear" w:color="auto" w:fill="F3F3F4"/>
          </w:tcPr>
          <w:p>
            <w:pPr>
              <w:spacing w:after="0"/>
              <w:rPr>
                <w:sz w:val="15"/>
                <w:szCs w:val="15"/>
                <w:color w:val="auto"/>
              </w:rPr>
            </w:pPr>
          </w:p>
        </w:tc>
        <w:tc>
          <w:tcPr>
            <w:tcW w:w="88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586,424</w:t>
            </w:r>
          </w:p>
        </w:tc>
        <w:tc>
          <w:tcPr>
            <w:tcW w:w="0" w:type="dxa"/>
            <w:vAlign w:val="bottom"/>
          </w:tcPr>
          <w:p>
            <w:pPr>
              <w:spacing w:after="0"/>
              <w:rPr>
                <w:sz w:val="1"/>
                <w:szCs w:val="1"/>
                <w:color w:val="auto"/>
              </w:rPr>
            </w:pPr>
          </w:p>
        </w:tc>
      </w:tr>
      <w:tr>
        <w:trPr>
          <w:trHeight w:val="177"/>
        </w:trPr>
        <w:tc>
          <w:tcPr>
            <w:tcW w:w="3540" w:type="dxa"/>
            <w:vAlign w:val="bottom"/>
            <w:shd w:val="clear" w:color="auto" w:fill="F3F3F4"/>
          </w:tcPr>
          <w:p>
            <w:pPr>
              <w:ind w:left="120"/>
              <w:spacing w:after="0"/>
              <w:rPr>
                <w:sz w:val="20"/>
                <w:szCs w:val="20"/>
                <w:color w:val="auto"/>
              </w:rPr>
            </w:pPr>
            <w:r>
              <w:rPr>
                <w:rFonts w:ascii="Arial" w:cs="Arial" w:eastAsia="Arial" w:hAnsi="Arial"/>
                <w:sz w:val="12"/>
                <w:szCs w:val="12"/>
                <w:b w:val="1"/>
                <w:bCs w:val="1"/>
                <w:color w:val="auto"/>
              </w:rPr>
              <w:t>President</w:t>
            </w:r>
          </w:p>
        </w:tc>
        <w:tc>
          <w:tcPr>
            <w:tcW w:w="112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N/A</w:t>
            </w:r>
          </w:p>
        </w:tc>
        <w:tc>
          <w:tcPr>
            <w:tcW w:w="240" w:type="dxa"/>
            <w:vAlign w:val="bottom"/>
            <w:shd w:val="clear" w:color="auto" w:fill="F3F3F4"/>
          </w:tcPr>
          <w:p>
            <w:pPr>
              <w:spacing w:after="0"/>
              <w:rPr>
                <w:sz w:val="15"/>
                <w:szCs w:val="15"/>
                <w:color w:val="auto"/>
              </w:rPr>
            </w:pPr>
          </w:p>
        </w:tc>
        <w:tc>
          <w:tcPr>
            <w:tcW w:w="144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w:t>
            </w:r>
          </w:p>
        </w:tc>
        <w:tc>
          <w:tcPr>
            <w:tcW w:w="180" w:type="dxa"/>
            <w:vAlign w:val="bottom"/>
            <w:shd w:val="clear" w:color="auto" w:fill="F3F3F4"/>
          </w:tcPr>
          <w:p>
            <w:pPr>
              <w:spacing w:after="0"/>
              <w:rPr>
                <w:sz w:val="15"/>
                <w:szCs w:val="15"/>
                <w:color w:val="auto"/>
              </w:rPr>
            </w:pP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w:t>
            </w:r>
          </w:p>
        </w:tc>
        <w:tc>
          <w:tcPr>
            <w:tcW w:w="420" w:type="dxa"/>
            <w:vAlign w:val="bottom"/>
            <w:shd w:val="clear" w:color="auto" w:fill="F3F3F4"/>
          </w:tcPr>
          <w:p>
            <w:pPr>
              <w:spacing w:after="0"/>
              <w:rPr>
                <w:sz w:val="15"/>
                <w:szCs w:val="15"/>
                <w:color w:val="auto"/>
              </w:rPr>
            </w:pPr>
          </w:p>
        </w:tc>
        <w:tc>
          <w:tcPr>
            <w:tcW w:w="12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520" w:type="dxa"/>
            <w:vAlign w:val="bottom"/>
            <w:shd w:val="clear" w:color="auto" w:fill="F3F3F4"/>
          </w:tcPr>
          <w:p>
            <w:pPr>
              <w:spacing w:after="0"/>
              <w:rPr>
                <w:sz w:val="15"/>
                <w:szCs w:val="15"/>
                <w:color w:val="auto"/>
              </w:rPr>
            </w:pPr>
          </w:p>
        </w:tc>
        <w:tc>
          <w:tcPr>
            <w:tcW w:w="88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0"/>
        </w:trPr>
        <w:tc>
          <w:tcPr>
            <w:tcW w:w="3540" w:type="dxa"/>
            <w:vAlign w:val="bottom"/>
            <w:tcBorders>
              <w:bottom w:val="single" w:sz="8" w:color="939598"/>
            </w:tcBorders>
            <w:shd w:val="clear" w:color="auto" w:fill="F3F3F4"/>
          </w:tcPr>
          <w:p>
            <w:pPr>
              <w:spacing w:after="0"/>
              <w:rPr>
                <w:sz w:val="6"/>
                <w:szCs w:val="6"/>
                <w:color w:val="auto"/>
              </w:rPr>
            </w:pPr>
          </w:p>
        </w:tc>
        <w:tc>
          <w:tcPr>
            <w:tcW w:w="1120" w:type="dxa"/>
            <w:vAlign w:val="bottom"/>
            <w:tcBorders>
              <w:bottom w:val="single" w:sz="8" w:color="939598"/>
            </w:tcBorders>
            <w:shd w:val="clear" w:color="auto" w:fill="F3F3F4"/>
          </w:tcPr>
          <w:p>
            <w:pPr>
              <w:spacing w:after="0"/>
              <w:rPr>
                <w:sz w:val="6"/>
                <w:szCs w:val="6"/>
                <w:color w:val="auto"/>
              </w:rPr>
            </w:pPr>
          </w:p>
        </w:tc>
        <w:tc>
          <w:tcPr>
            <w:tcW w:w="240" w:type="dxa"/>
            <w:vAlign w:val="bottom"/>
            <w:tcBorders>
              <w:bottom w:val="single" w:sz="8" w:color="939598"/>
            </w:tcBorders>
            <w:shd w:val="clear" w:color="auto" w:fill="F3F3F4"/>
          </w:tcPr>
          <w:p>
            <w:pPr>
              <w:spacing w:after="0"/>
              <w:rPr>
                <w:sz w:val="6"/>
                <w:szCs w:val="6"/>
                <w:color w:val="auto"/>
              </w:rPr>
            </w:pPr>
          </w:p>
        </w:tc>
        <w:tc>
          <w:tcPr>
            <w:tcW w:w="1440" w:type="dxa"/>
            <w:vAlign w:val="bottom"/>
            <w:tcBorders>
              <w:bottom w:val="single" w:sz="8" w:color="939598"/>
            </w:tcBorders>
            <w:shd w:val="clear" w:color="auto" w:fill="F3F3F4"/>
          </w:tcPr>
          <w:p>
            <w:pPr>
              <w:spacing w:after="0"/>
              <w:rPr>
                <w:sz w:val="6"/>
                <w:szCs w:val="6"/>
                <w:color w:val="auto"/>
              </w:rPr>
            </w:pPr>
          </w:p>
        </w:tc>
        <w:tc>
          <w:tcPr>
            <w:tcW w:w="180" w:type="dxa"/>
            <w:vAlign w:val="bottom"/>
            <w:tcBorders>
              <w:bottom w:val="single" w:sz="8" w:color="939598"/>
            </w:tcBorders>
            <w:shd w:val="clear" w:color="auto" w:fill="F3F3F4"/>
          </w:tcPr>
          <w:p>
            <w:pPr>
              <w:spacing w:after="0"/>
              <w:rPr>
                <w:sz w:val="6"/>
                <w:szCs w:val="6"/>
                <w:color w:val="auto"/>
              </w:rPr>
            </w:pPr>
          </w:p>
        </w:tc>
        <w:tc>
          <w:tcPr>
            <w:tcW w:w="1480" w:type="dxa"/>
            <w:vAlign w:val="bottom"/>
            <w:tcBorders>
              <w:bottom w:val="single" w:sz="8" w:color="939598"/>
            </w:tcBorders>
            <w:shd w:val="clear" w:color="auto" w:fill="F3F3F4"/>
          </w:tcPr>
          <w:p>
            <w:pPr>
              <w:spacing w:after="0"/>
              <w:rPr>
                <w:sz w:val="6"/>
                <w:szCs w:val="6"/>
                <w:color w:val="auto"/>
              </w:rPr>
            </w:pPr>
          </w:p>
        </w:tc>
        <w:tc>
          <w:tcPr>
            <w:tcW w:w="420" w:type="dxa"/>
            <w:vAlign w:val="bottom"/>
            <w:tcBorders>
              <w:bottom w:val="single" w:sz="8" w:color="939598"/>
            </w:tcBorders>
            <w:shd w:val="clear" w:color="auto" w:fill="F3F3F4"/>
          </w:tcPr>
          <w:p>
            <w:pPr>
              <w:spacing w:after="0"/>
              <w:rPr>
                <w:sz w:val="6"/>
                <w:szCs w:val="6"/>
                <w:color w:val="auto"/>
              </w:rPr>
            </w:pPr>
          </w:p>
        </w:tc>
        <w:tc>
          <w:tcPr>
            <w:tcW w:w="1200" w:type="dxa"/>
            <w:vAlign w:val="bottom"/>
            <w:tcBorders>
              <w:bottom w:val="single" w:sz="8" w:color="939598"/>
            </w:tcBorders>
            <w:shd w:val="clear" w:color="auto" w:fill="F3F3F4"/>
          </w:tcPr>
          <w:p>
            <w:pPr>
              <w:spacing w:after="0"/>
              <w:rPr>
                <w:sz w:val="6"/>
                <w:szCs w:val="6"/>
                <w:color w:val="auto"/>
              </w:rPr>
            </w:pPr>
          </w:p>
        </w:tc>
        <w:tc>
          <w:tcPr>
            <w:tcW w:w="520" w:type="dxa"/>
            <w:vAlign w:val="bottom"/>
            <w:tcBorders>
              <w:bottom w:val="single" w:sz="8" w:color="939598"/>
            </w:tcBorders>
            <w:shd w:val="clear" w:color="auto" w:fill="F3F3F4"/>
          </w:tcPr>
          <w:p>
            <w:pPr>
              <w:spacing w:after="0"/>
              <w:rPr>
                <w:sz w:val="6"/>
                <w:szCs w:val="6"/>
                <w:color w:val="auto"/>
              </w:rPr>
            </w:pPr>
          </w:p>
        </w:tc>
        <w:tc>
          <w:tcPr>
            <w:tcW w:w="880" w:type="dxa"/>
            <w:vAlign w:val="bottom"/>
            <w:tcBorders>
              <w:bottom w:val="single" w:sz="8" w:color="939598"/>
            </w:tcBorders>
            <w:shd w:val="clear" w:color="auto" w:fill="F3F3F4"/>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540" w:type="dxa"/>
            <w:vAlign w:val="bottom"/>
            <w:shd w:val="clear" w:color="auto" w:fill="F3F3F4"/>
          </w:tcPr>
          <w:p>
            <w:pPr>
              <w:ind w:left="120"/>
              <w:spacing w:after="0"/>
              <w:rPr>
                <w:sz w:val="20"/>
                <w:szCs w:val="20"/>
                <w:color w:val="auto"/>
              </w:rPr>
            </w:pPr>
            <w:r>
              <w:rPr>
                <w:rFonts w:ascii="Arial" w:cs="Arial" w:eastAsia="Arial" w:hAnsi="Arial"/>
                <w:sz w:val="12"/>
                <w:szCs w:val="12"/>
                <w:b w:val="1"/>
                <w:bCs w:val="1"/>
                <w:color w:val="auto"/>
              </w:rPr>
              <w:t>Christopher L. Tucker</w:t>
            </w:r>
          </w:p>
        </w:tc>
        <w:tc>
          <w:tcPr>
            <w:tcW w:w="112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2024</w:t>
            </w:r>
          </w:p>
        </w:tc>
        <w:tc>
          <w:tcPr>
            <w:tcW w:w="24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w:t>
            </w:r>
          </w:p>
        </w:tc>
        <w:tc>
          <w:tcPr>
            <w:tcW w:w="144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13,800</w:t>
            </w:r>
          </w:p>
        </w:tc>
        <w:tc>
          <w:tcPr>
            <w:tcW w:w="1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w:t>
            </w: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5,979</w:t>
            </w:r>
          </w:p>
        </w:tc>
        <w:tc>
          <w:tcPr>
            <w:tcW w:w="420" w:type="dxa"/>
            <w:vAlign w:val="bottom"/>
            <w:shd w:val="clear" w:color="auto" w:fill="F3F3F4"/>
          </w:tcPr>
          <w:p>
            <w:pPr>
              <w:jc w:val="right"/>
              <w:ind w:right="181"/>
              <w:spacing w:after="0"/>
              <w:rPr>
                <w:sz w:val="20"/>
                <w:szCs w:val="20"/>
                <w:color w:val="auto"/>
              </w:rPr>
            </w:pPr>
            <w:r>
              <w:rPr>
                <w:rFonts w:ascii="Arial" w:cs="Arial" w:eastAsia="Arial" w:hAnsi="Arial"/>
                <w:sz w:val="12"/>
                <w:szCs w:val="12"/>
                <w:color w:val="auto"/>
              </w:rPr>
              <w:t>$</w:t>
            </w:r>
          </w:p>
        </w:tc>
        <w:tc>
          <w:tcPr>
            <w:tcW w:w="12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7,216</w:t>
            </w:r>
          </w:p>
        </w:tc>
        <w:tc>
          <w:tcPr>
            <w:tcW w:w="520" w:type="dxa"/>
            <w:vAlign w:val="bottom"/>
            <w:shd w:val="clear" w:color="auto" w:fill="F3F3F4"/>
          </w:tcPr>
          <w:p>
            <w:pPr>
              <w:jc w:val="right"/>
              <w:ind w:right="281"/>
              <w:spacing w:after="0"/>
              <w:rPr>
                <w:sz w:val="20"/>
                <w:szCs w:val="20"/>
                <w:color w:val="auto"/>
              </w:rPr>
            </w:pPr>
            <w:r>
              <w:rPr>
                <w:rFonts w:ascii="Arial" w:cs="Arial" w:eastAsia="Arial" w:hAnsi="Arial"/>
                <w:sz w:val="12"/>
                <w:szCs w:val="12"/>
                <w:color w:val="auto"/>
              </w:rPr>
              <w:t>$</w:t>
            </w:r>
          </w:p>
        </w:tc>
        <w:tc>
          <w:tcPr>
            <w:tcW w:w="88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26,995</w:t>
            </w:r>
          </w:p>
        </w:tc>
        <w:tc>
          <w:tcPr>
            <w:tcW w:w="0" w:type="dxa"/>
            <w:vAlign w:val="bottom"/>
          </w:tcPr>
          <w:p>
            <w:pPr>
              <w:spacing w:after="0"/>
              <w:rPr>
                <w:sz w:val="1"/>
                <w:szCs w:val="1"/>
                <w:color w:val="auto"/>
              </w:rPr>
            </w:pPr>
          </w:p>
        </w:tc>
      </w:tr>
      <w:tr>
        <w:trPr>
          <w:trHeight w:val="177"/>
        </w:trPr>
        <w:tc>
          <w:tcPr>
            <w:tcW w:w="3540" w:type="dxa"/>
            <w:vAlign w:val="bottom"/>
            <w:shd w:val="clear" w:color="auto" w:fill="F3F3F4"/>
          </w:tcPr>
          <w:p>
            <w:pPr>
              <w:ind w:left="120"/>
              <w:spacing w:after="0"/>
              <w:rPr>
                <w:sz w:val="20"/>
                <w:szCs w:val="20"/>
                <w:color w:val="auto"/>
              </w:rPr>
            </w:pPr>
            <w:r>
              <w:rPr>
                <w:rFonts w:ascii="Arial" w:cs="Arial" w:eastAsia="Arial" w:hAnsi="Arial"/>
                <w:sz w:val="12"/>
                <w:szCs w:val="12"/>
                <w:b w:val="1"/>
                <w:bCs w:val="1"/>
                <w:color w:val="auto"/>
              </w:rPr>
              <w:t>Senior Vice President and Chief</w:t>
            </w:r>
          </w:p>
        </w:tc>
        <w:tc>
          <w:tcPr>
            <w:tcW w:w="112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2023</w:t>
            </w:r>
          </w:p>
        </w:tc>
        <w:tc>
          <w:tcPr>
            <w:tcW w:w="240" w:type="dxa"/>
            <w:vAlign w:val="bottom"/>
            <w:shd w:val="clear" w:color="auto" w:fill="F3F3F4"/>
          </w:tcPr>
          <w:p>
            <w:pPr>
              <w:spacing w:after="0"/>
              <w:rPr>
                <w:sz w:val="15"/>
                <w:szCs w:val="15"/>
                <w:color w:val="auto"/>
              </w:rPr>
            </w:pPr>
          </w:p>
        </w:tc>
        <w:tc>
          <w:tcPr>
            <w:tcW w:w="144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13,200</w:t>
            </w:r>
          </w:p>
        </w:tc>
        <w:tc>
          <w:tcPr>
            <w:tcW w:w="180" w:type="dxa"/>
            <w:vAlign w:val="bottom"/>
            <w:shd w:val="clear" w:color="auto" w:fill="F3F3F4"/>
          </w:tcPr>
          <w:p>
            <w:pPr>
              <w:spacing w:after="0"/>
              <w:rPr>
                <w:sz w:val="15"/>
                <w:szCs w:val="15"/>
                <w:color w:val="auto"/>
              </w:rPr>
            </w:pP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5,691</w:t>
            </w:r>
          </w:p>
        </w:tc>
        <w:tc>
          <w:tcPr>
            <w:tcW w:w="420" w:type="dxa"/>
            <w:vAlign w:val="bottom"/>
            <w:shd w:val="clear" w:color="auto" w:fill="F3F3F4"/>
          </w:tcPr>
          <w:p>
            <w:pPr>
              <w:spacing w:after="0"/>
              <w:rPr>
                <w:sz w:val="15"/>
                <w:szCs w:val="15"/>
                <w:color w:val="auto"/>
              </w:rPr>
            </w:pPr>
          </w:p>
        </w:tc>
        <w:tc>
          <w:tcPr>
            <w:tcW w:w="12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94,383</w:t>
            </w:r>
          </w:p>
        </w:tc>
        <w:tc>
          <w:tcPr>
            <w:tcW w:w="520" w:type="dxa"/>
            <w:vAlign w:val="bottom"/>
            <w:shd w:val="clear" w:color="auto" w:fill="F3F3F4"/>
          </w:tcPr>
          <w:p>
            <w:pPr>
              <w:spacing w:after="0"/>
              <w:rPr>
                <w:sz w:val="15"/>
                <w:szCs w:val="15"/>
                <w:color w:val="auto"/>
              </w:rPr>
            </w:pPr>
          </w:p>
        </w:tc>
        <w:tc>
          <w:tcPr>
            <w:tcW w:w="88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113,274</w:t>
            </w:r>
          </w:p>
        </w:tc>
        <w:tc>
          <w:tcPr>
            <w:tcW w:w="0" w:type="dxa"/>
            <w:vAlign w:val="bottom"/>
          </w:tcPr>
          <w:p>
            <w:pPr>
              <w:spacing w:after="0"/>
              <w:rPr>
                <w:sz w:val="1"/>
                <w:szCs w:val="1"/>
                <w:color w:val="auto"/>
              </w:rPr>
            </w:pPr>
          </w:p>
        </w:tc>
      </w:tr>
      <w:tr>
        <w:trPr>
          <w:trHeight w:val="177"/>
        </w:trPr>
        <w:tc>
          <w:tcPr>
            <w:tcW w:w="3540" w:type="dxa"/>
            <w:vAlign w:val="bottom"/>
            <w:shd w:val="clear" w:color="auto" w:fill="F3F3F4"/>
          </w:tcPr>
          <w:p>
            <w:pPr>
              <w:ind w:left="120"/>
              <w:spacing w:after="0"/>
              <w:rPr>
                <w:sz w:val="20"/>
                <w:szCs w:val="20"/>
                <w:color w:val="auto"/>
              </w:rPr>
            </w:pPr>
            <w:r>
              <w:rPr>
                <w:rFonts w:ascii="Arial" w:cs="Arial" w:eastAsia="Arial" w:hAnsi="Arial"/>
                <w:sz w:val="12"/>
                <w:szCs w:val="12"/>
                <w:b w:val="1"/>
                <w:bCs w:val="1"/>
                <w:color w:val="auto"/>
              </w:rPr>
              <w:t>Financial Officer</w:t>
            </w:r>
          </w:p>
        </w:tc>
        <w:tc>
          <w:tcPr>
            <w:tcW w:w="112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2022</w:t>
            </w:r>
          </w:p>
        </w:tc>
        <w:tc>
          <w:tcPr>
            <w:tcW w:w="240" w:type="dxa"/>
            <w:vAlign w:val="bottom"/>
            <w:shd w:val="clear" w:color="auto" w:fill="F3F3F4"/>
          </w:tcPr>
          <w:p>
            <w:pPr>
              <w:spacing w:after="0"/>
              <w:rPr>
                <w:sz w:val="15"/>
                <w:szCs w:val="15"/>
                <w:color w:val="auto"/>
              </w:rPr>
            </w:pPr>
          </w:p>
        </w:tc>
        <w:tc>
          <w:tcPr>
            <w:tcW w:w="144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12,200</w:t>
            </w:r>
          </w:p>
        </w:tc>
        <w:tc>
          <w:tcPr>
            <w:tcW w:w="180" w:type="dxa"/>
            <w:vAlign w:val="bottom"/>
            <w:shd w:val="clear" w:color="auto" w:fill="F3F3F4"/>
          </w:tcPr>
          <w:p>
            <w:pPr>
              <w:spacing w:after="0"/>
              <w:rPr>
                <w:sz w:val="15"/>
                <w:szCs w:val="15"/>
                <w:color w:val="auto"/>
              </w:rPr>
            </w:pP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5,217</w:t>
            </w:r>
          </w:p>
        </w:tc>
        <w:tc>
          <w:tcPr>
            <w:tcW w:w="420" w:type="dxa"/>
            <w:vAlign w:val="bottom"/>
            <w:shd w:val="clear" w:color="auto" w:fill="F3F3F4"/>
          </w:tcPr>
          <w:p>
            <w:pPr>
              <w:spacing w:after="0"/>
              <w:rPr>
                <w:sz w:val="15"/>
                <w:szCs w:val="15"/>
                <w:color w:val="auto"/>
              </w:rPr>
            </w:pPr>
          </w:p>
        </w:tc>
        <w:tc>
          <w:tcPr>
            <w:tcW w:w="12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34,686</w:t>
            </w:r>
          </w:p>
        </w:tc>
        <w:tc>
          <w:tcPr>
            <w:tcW w:w="520" w:type="dxa"/>
            <w:vAlign w:val="bottom"/>
            <w:shd w:val="clear" w:color="auto" w:fill="F3F3F4"/>
          </w:tcPr>
          <w:p>
            <w:pPr>
              <w:spacing w:after="0"/>
              <w:rPr>
                <w:sz w:val="15"/>
                <w:szCs w:val="15"/>
                <w:color w:val="auto"/>
              </w:rPr>
            </w:pPr>
          </w:p>
        </w:tc>
        <w:tc>
          <w:tcPr>
            <w:tcW w:w="88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52,103</w:t>
            </w:r>
          </w:p>
        </w:tc>
        <w:tc>
          <w:tcPr>
            <w:tcW w:w="0" w:type="dxa"/>
            <w:vAlign w:val="bottom"/>
          </w:tcPr>
          <w:p>
            <w:pPr>
              <w:spacing w:after="0"/>
              <w:rPr>
                <w:sz w:val="1"/>
                <w:szCs w:val="1"/>
                <w:color w:val="auto"/>
              </w:rPr>
            </w:pPr>
          </w:p>
        </w:tc>
      </w:tr>
      <w:tr>
        <w:trPr>
          <w:trHeight w:val="70"/>
        </w:trPr>
        <w:tc>
          <w:tcPr>
            <w:tcW w:w="3540" w:type="dxa"/>
            <w:vAlign w:val="bottom"/>
            <w:tcBorders>
              <w:bottom w:val="single" w:sz="8" w:color="939598"/>
            </w:tcBorders>
            <w:shd w:val="clear" w:color="auto" w:fill="F3F3F4"/>
          </w:tcPr>
          <w:p>
            <w:pPr>
              <w:spacing w:after="0"/>
              <w:rPr>
                <w:sz w:val="6"/>
                <w:szCs w:val="6"/>
                <w:color w:val="auto"/>
              </w:rPr>
            </w:pPr>
          </w:p>
        </w:tc>
        <w:tc>
          <w:tcPr>
            <w:tcW w:w="1120" w:type="dxa"/>
            <w:vAlign w:val="bottom"/>
            <w:tcBorders>
              <w:bottom w:val="single" w:sz="8" w:color="939598"/>
            </w:tcBorders>
            <w:shd w:val="clear" w:color="auto" w:fill="F3F3F4"/>
          </w:tcPr>
          <w:p>
            <w:pPr>
              <w:spacing w:after="0"/>
              <w:rPr>
                <w:sz w:val="6"/>
                <w:szCs w:val="6"/>
                <w:color w:val="auto"/>
              </w:rPr>
            </w:pPr>
          </w:p>
        </w:tc>
        <w:tc>
          <w:tcPr>
            <w:tcW w:w="240" w:type="dxa"/>
            <w:vAlign w:val="bottom"/>
            <w:tcBorders>
              <w:bottom w:val="single" w:sz="8" w:color="939598"/>
            </w:tcBorders>
            <w:shd w:val="clear" w:color="auto" w:fill="F3F3F4"/>
          </w:tcPr>
          <w:p>
            <w:pPr>
              <w:spacing w:after="0"/>
              <w:rPr>
                <w:sz w:val="6"/>
                <w:szCs w:val="6"/>
                <w:color w:val="auto"/>
              </w:rPr>
            </w:pPr>
          </w:p>
        </w:tc>
        <w:tc>
          <w:tcPr>
            <w:tcW w:w="1440" w:type="dxa"/>
            <w:vAlign w:val="bottom"/>
            <w:tcBorders>
              <w:bottom w:val="single" w:sz="8" w:color="939598"/>
            </w:tcBorders>
            <w:shd w:val="clear" w:color="auto" w:fill="F3F3F4"/>
          </w:tcPr>
          <w:p>
            <w:pPr>
              <w:spacing w:after="0"/>
              <w:rPr>
                <w:sz w:val="6"/>
                <w:szCs w:val="6"/>
                <w:color w:val="auto"/>
              </w:rPr>
            </w:pPr>
          </w:p>
        </w:tc>
        <w:tc>
          <w:tcPr>
            <w:tcW w:w="180" w:type="dxa"/>
            <w:vAlign w:val="bottom"/>
            <w:tcBorders>
              <w:bottom w:val="single" w:sz="8" w:color="939598"/>
            </w:tcBorders>
            <w:shd w:val="clear" w:color="auto" w:fill="F3F3F4"/>
          </w:tcPr>
          <w:p>
            <w:pPr>
              <w:spacing w:after="0"/>
              <w:rPr>
                <w:sz w:val="6"/>
                <w:szCs w:val="6"/>
                <w:color w:val="auto"/>
              </w:rPr>
            </w:pPr>
          </w:p>
        </w:tc>
        <w:tc>
          <w:tcPr>
            <w:tcW w:w="1480" w:type="dxa"/>
            <w:vAlign w:val="bottom"/>
            <w:tcBorders>
              <w:bottom w:val="single" w:sz="8" w:color="939598"/>
            </w:tcBorders>
            <w:shd w:val="clear" w:color="auto" w:fill="F3F3F4"/>
          </w:tcPr>
          <w:p>
            <w:pPr>
              <w:spacing w:after="0"/>
              <w:rPr>
                <w:sz w:val="6"/>
                <w:szCs w:val="6"/>
                <w:color w:val="auto"/>
              </w:rPr>
            </w:pPr>
          </w:p>
        </w:tc>
        <w:tc>
          <w:tcPr>
            <w:tcW w:w="420" w:type="dxa"/>
            <w:vAlign w:val="bottom"/>
            <w:tcBorders>
              <w:bottom w:val="single" w:sz="8" w:color="939598"/>
            </w:tcBorders>
            <w:shd w:val="clear" w:color="auto" w:fill="F3F3F4"/>
          </w:tcPr>
          <w:p>
            <w:pPr>
              <w:spacing w:after="0"/>
              <w:rPr>
                <w:sz w:val="6"/>
                <w:szCs w:val="6"/>
                <w:color w:val="auto"/>
              </w:rPr>
            </w:pPr>
          </w:p>
        </w:tc>
        <w:tc>
          <w:tcPr>
            <w:tcW w:w="1200" w:type="dxa"/>
            <w:vAlign w:val="bottom"/>
            <w:tcBorders>
              <w:bottom w:val="single" w:sz="8" w:color="939598"/>
            </w:tcBorders>
            <w:shd w:val="clear" w:color="auto" w:fill="F3F3F4"/>
          </w:tcPr>
          <w:p>
            <w:pPr>
              <w:spacing w:after="0"/>
              <w:rPr>
                <w:sz w:val="6"/>
                <w:szCs w:val="6"/>
                <w:color w:val="auto"/>
              </w:rPr>
            </w:pPr>
          </w:p>
        </w:tc>
        <w:tc>
          <w:tcPr>
            <w:tcW w:w="520" w:type="dxa"/>
            <w:vAlign w:val="bottom"/>
            <w:tcBorders>
              <w:bottom w:val="single" w:sz="8" w:color="939598"/>
            </w:tcBorders>
            <w:shd w:val="clear" w:color="auto" w:fill="F3F3F4"/>
          </w:tcPr>
          <w:p>
            <w:pPr>
              <w:spacing w:after="0"/>
              <w:rPr>
                <w:sz w:val="6"/>
                <w:szCs w:val="6"/>
                <w:color w:val="auto"/>
              </w:rPr>
            </w:pPr>
          </w:p>
        </w:tc>
        <w:tc>
          <w:tcPr>
            <w:tcW w:w="880" w:type="dxa"/>
            <w:vAlign w:val="bottom"/>
            <w:tcBorders>
              <w:bottom w:val="single" w:sz="8" w:color="939598"/>
            </w:tcBorders>
            <w:shd w:val="clear" w:color="auto" w:fill="F3F3F4"/>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540" w:type="dxa"/>
            <w:vAlign w:val="bottom"/>
            <w:shd w:val="clear" w:color="auto" w:fill="F3F3F4"/>
          </w:tcPr>
          <w:p>
            <w:pPr>
              <w:ind w:left="120"/>
              <w:spacing w:after="0"/>
              <w:rPr>
                <w:sz w:val="20"/>
                <w:szCs w:val="20"/>
                <w:color w:val="auto"/>
              </w:rPr>
            </w:pPr>
            <w:r>
              <w:rPr>
                <w:rFonts w:ascii="Arial" w:cs="Arial" w:eastAsia="Arial" w:hAnsi="Arial"/>
                <w:sz w:val="12"/>
                <w:szCs w:val="12"/>
                <w:b w:val="1"/>
                <w:bCs w:val="1"/>
                <w:color w:val="auto"/>
              </w:rPr>
              <w:t>David M. Schatz</w:t>
            </w:r>
          </w:p>
        </w:tc>
        <w:tc>
          <w:tcPr>
            <w:tcW w:w="112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2024</w:t>
            </w:r>
          </w:p>
        </w:tc>
        <w:tc>
          <w:tcPr>
            <w:tcW w:w="24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w:t>
            </w:r>
          </w:p>
        </w:tc>
        <w:tc>
          <w:tcPr>
            <w:tcW w:w="144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12,123</w:t>
            </w:r>
          </w:p>
        </w:tc>
        <w:tc>
          <w:tcPr>
            <w:tcW w:w="180" w:type="dxa"/>
            <w:vAlign w:val="bottom"/>
            <w:shd w:val="clear" w:color="auto" w:fill="F3F3F4"/>
          </w:tcPr>
          <w:p>
            <w:pPr>
              <w:jc w:val="right"/>
              <w:spacing w:after="0"/>
              <w:rPr>
                <w:sz w:val="20"/>
                <w:szCs w:val="20"/>
                <w:color w:val="auto"/>
              </w:rPr>
            </w:pPr>
            <w:r>
              <w:rPr>
                <w:rFonts w:ascii="Arial" w:cs="Arial" w:eastAsia="Arial" w:hAnsi="Arial"/>
                <w:sz w:val="12"/>
                <w:szCs w:val="12"/>
                <w:color w:val="auto"/>
              </w:rPr>
              <w:t>$</w:t>
            </w: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6,008</w:t>
            </w:r>
          </w:p>
        </w:tc>
        <w:tc>
          <w:tcPr>
            <w:tcW w:w="420" w:type="dxa"/>
            <w:vAlign w:val="bottom"/>
            <w:shd w:val="clear" w:color="auto" w:fill="F3F3F4"/>
          </w:tcPr>
          <w:p>
            <w:pPr>
              <w:jc w:val="right"/>
              <w:ind w:right="181"/>
              <w:spacing w:after="0"/>
              <w:rPr>
                <w:sz w:val="20"/>
                <w:szCs w:val="20"/>
                <w:color w:val="auto"/>
              </w:rPr>
            </w:pPr>
            <w:r>
              <w:rPr>
                <w:rFonts w:ascii="Arial" w:cs="Arial" w:eastAsia="Arial" w:hAnsi="Arial"/>
                <w:sz w:val="12"/>
                <w:szCs w:val="12"/>
                <w:color w:val="auto"/>
              </w:rPr>
              <w:t>$</w:t>
            </w:r>
          </w:p>
        </w:tc>
        <w:tc>
          <w:tcPr>
            <w:tcW w:w="12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12,878</w:t>
            </w:r>
          </w:p>
        </w:tc>
        <w:tc>
          <w:tcPr>
            <w:tcW w:w="520" w:type="dxa"/>
            <w:vAlign w:val="bottom"/>
            <w:shd w:val="clear" w:color="auto" w:fill="F3F3F4"/>
          </w:tcPr>
          <w:p>
            <w:pPr>
              <w:jc w:val="right"/>
              <w:ind w:right="281"/>
              <w:spacing w:after="0"/>
              <w:rPr>
                <w:sz w:val="20"/>
                <w:szCs w:val="20"/>
                <w:color w:val="auto"/>
              </w:rPr>
            </w:pPr>
            <w:r>
              <w:rPr>
                <w:rFonts w:ascii="Arial" w:cs="Arial" w:eastAsia="Arial" w:hAnsi="Arial"/>
                <w:sz w:val="12"/>
                <w:szCs w:val="12"/>
                <w:color w:val="auto"/>
              </w:rPr>
              <w:t>$</w:t>
            </w:r>
          </w:p>
        </w:tc>
        <w:tc>
          <w:tcPr>
            <w:tcW w:w="88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31,009</w:t>
            </w:r>
          </w:p>
        </w:tc>
        <w:tc>
          <w:tcPr>
            <w:tcW w:w="0" w:type="dxa"/>
            <w:vAlign w:val="bottom"/>
          </w:tcPr>
          <w:p>
            <w:pPr>
              <w:spacing w:after="0"/>
              <w:rPr>
                <w:sz w:val="1"/>
                <w:szCs w:val="1"/>
                <w:color w:val="auto"/>
              </w:rPr>
            </w:pPr>
          </w:p>
        </w:tc>
      </w:tr>
      <w:tr>
        <w:trPr>
          <w:trHeight w:val="177"/>
        </w:trPr>
        <w:tc>
          <w:tcPr>
            <w:tcW w:w="3540" w:type="dxa"/>
            <w:vAlign w:val="bottom"/>
            <w:shd w:val="clear" w:color="auto" w:fill="F3F3F4"/>
          </w:tcPr>
          <w:p>
            <w:pPr>
              <w:ind w:left="120"/>
              <w:spacing w:after="0"/>
              <w:rPr>
                <w:sz w:val="20"/>
                <w:szCs w:val="20"/>
                <w:color w:val="auto"/>
              </w:rPr>
            </w:pPr>
            <w:r>
              <w:rPr>
                <w:rFonts w:ascii="Arial" w:cs="Arial" w:eastAsia="Arial" w:hAnsi="Arial"/>
                <w:sz w:val="12"/>
                <w:szCs w:val="12"/>
                <w:b w:val="1"/>
                <w:bCs w:val="1"/>
                <w:color w:val="auto"/>
              </w:rPr>
              <w:t>Senior Vice President, General</w:t>
            </w:r>
          </w:p>
        </w:tc>
        <w:tc>
          <w:tcPr>
            <w:tcW w:w="112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2023</w:t>
            </w:r>
          </w:p>
        </w:tc>
        <w:tc>
          <w:tcPr>
            <w:tcW w:w="240" w:type="dxa"/>
            <w:vAlign w:val="bottom"/>
            <w:shd w:val="clear" w:color="auto" w:fill="F3F3F4"/>
          </w:tcPr>
          <w:p>
            <w:pPr>
              <w:spacing w:after="0"/>
              <w:rPr>
                <w:sz w:val="15"/>
                <w:szCs w:val="15"/>
                <w:color w:val="auto"/>
              </w:rPr>
            </w:pPr>
          </w:p>
        </w:tc>
        <w:tc>
          <w:tcPr>
            <w:tcW w:w="144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13,281</w:t>
            </w:r>
          </w:p>
        </w:tc>
        <w:tc>
          <w:tcPr>
            <w:tcW w:w="180" w:type="dxa"/>
            <w:vAlign w:val="bottom"/>
            <w:shd w:val="clear" w:color="auto" w:fill="F3F3F4"/>
          </w:tcPr>
          <w:p>
            <w:pPr>
              <w:spacing w:after="0"/>
              <w:rPr>
                <w:sz w:val="15"/>
                <w:szCs w:val="15"/>
                <w:color w:val="auto"/>
              </w:rPr>
            </w:pP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6,350</w:t>
            </w:r>
          </w:p>
        </w:tc>
        <w:tc>
          <w:tcPr>
            <w:tcW w:w="420" w:type="dxa"/>
            <w:vAlign w:val="bottom"/>
            <w:shd w:val="clear" w:color="auto" w:fill="F3F3F4"/>
          </w:tcPr>
          <w:p>
            <w:pPr>
              <w:spacing w:after="0"/>
              <w:rPr>
                <w:sz w:val="15"/>
                <w:szCs w:val="15"/>
                <w:color w:val="auto"/>
              </w:rPr>
            </w:pPr>
          </w:p>
        </w:tc>
        <w:tc>
          <w:tcPr>
            <w:tcW w:w="12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13,711</w:t>
            </w:r>
          </w:p>
        </w:tc>
        <w:tc>
          <w:tcPr>
            <w:tcW w:w="520" w:type="dxa"/>
            <w:vAlign w:val="bottom"/>
            <w:shd w:val="clear" w:color="auto" w:fill="F3F3F4"/>
          </w:tcPr>
          <w:p>
            <w:pPr>
              <w:spacing w:after="0"/>
              <w:rPr>
                <w:sz w:val="15"/>
                <w:szCs w:val="15"/>
                <w:color w:val="auto"/>
              </w:rPr>
            </w:pPr>
          </w:p>
        </w:tc>
        <w:tc>
          <w:tcPr>
            <w:tcW w:w="88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33,342</w:t>
            </w:r>
          </w:p>
        </w:tc>
        <w:tc>
          <w:tcPr>
            <w:tcW w:w="0" w:type="dxa"/>
            <w:vAlign w:val="bottom"/>
          </w:tcPr>
          <w:p>
            <w:pPr>
              <w:spacing w:after="0"/>
              <w:rPr>
                <w:sz w:val="1"/>
                <w:szCs w:val="1"/>
                <w:color w:val="auto"/>
              </w:rPr>
            </w:pPr>
          </w:p>
        </w:tc>
      </w:tr>
      <w:tr>
        <w:trPr>
          <w:trHeight w:val="177"/>
        </w:trPr>
        <w:tc>
          <w:tcPr>
            <w:tcW w:w="3540" w:type="dxa"/>
            <w:vAlign w:val="bottom"/>
            <w:shd w:val="clear" w:color="auto" w:fill="F3F3F4"/>
          </w:tcPr>
          <w:p>
            <w:pPr>
              <w:ind w:left="120"/>
              <w:spacing w:after="0"/>
              <w:rPr>
                <w:sz w:val="20"/>
                <w:szCs w:val="20"/>
                <w:color w:val="auto"/>
              </w:rPr>
            </w:pPr>
            <w:r>
              <w:rPr>
                <w:rFonts w:ascii="Arial" w:cs="Arial" w:eastAsia="Arial" w:hAnsi="Arial"/>
                <w:sz w:val="12"/>
                <w:szCs w:val="12"/>
                <w:b w:val="1"/>
                <w:bCs w:val="1"/>
                <w:color w:val="auto"/>
              </w:rPr>
              <w:t>Counsel and Secretary</w:t>
            </w:r>
          </w:p>
        </w:tc>
        <w:tc>
          <w:tcPr>
            <w:tcW w:w="112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2022</w:t>
            </w:r>
          </w:p>
        </w:tc>
        <w:tc>
          <w:tcPr>
            <w:tcW w:w="240" w:type="dxa"/>
            <w:vAlign w:val="bottom"/>
            <w:shd w:val="clear" w:color="auto" w:fill="F3F3F4"/>
          </w:tcPr>
          <w:p>
            <w:pPr>
              <w:spacing w:after="0"/>
              <w:rPr>
                <w:sz w:val="15"/>
                <w:szCs w:val="15"/>
                <w:color w:val="auto"/>
              </w:rPr>
            </w:pPr>
          </w:p>
        </w:tc>
        <w:tc>
          <w:tcPr>
            <w:tcW w:w="144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12,497</w:t>
            </w:r>
          </w:p>
        </w:tc>
        <w:tc>
          <w:tcPr>
            <w:tcW w:w="180" w:type="dxa"/>
            <w:vAlign w:val="bottom"/>
            <w:shd w:val="clear" w:color="auto" w:fill="F3F3F4"/>
          </w:tcPr>
          <w:p>
            <w:pPr>
              <w:spacing w:after="0"/>
              <w:rPr>
                <w:sz w:val="15"/>
                <w:szCs w:val="15"/>
                <w:color w:val="auto"/>
              </w:rPr>
            </w:pPr>
          </w:p>
        </w:tc>
        <w:tc>
          <w:tcPr>
            <w:tcW w:w="148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3,567</w:t>
            </w:r>
          </w:p>
        </w:tc>
        <w:tc>
          <w:tcPr>
            <w:tcW w:w="420" w:type="dxa"/>
            <w:vAlign w:val="bottom"/>
            <w:shd w:val="clear" w:color="auto" w:fill="F3F3F4"/>
          </w:tcPr>
          <w:p>
            <w:pPr>
              <w:spacing w:after="0"/>
              <w:rPr>
                <w:sz w:val="15"/>
                <w:szCs w:val="15"/>
                <w:color w:val="auto"/>
              </w:rPr>
            </w:pPr>
          </w:p>
        </w:tc>
        <w:tc>
          <w:tcPr>
            <w:tcW w:w="12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32,146</w:t>
            </w:r>
          </w:p>
        </w:tc>
        <w:tc>
          <w:tcPr>
            <w:tcW w:w="520" w:type="dxa"/>
            <w:vAlign w:val="bottom"/>
            <w:shd w:val="clear" w:color="auto" w:fill="F3F3F4"/>
          </w:tcPr>
          <w:p>
            <w:pPr>
              <w:spacing w:after="0"/>
              <w:rPr>
                <w:sz w:val="15"/>
                <w:szCs w:val="15"/>
                <w:color w:val="auto"/>
              </w:rPr>
            </w:pPr>
          </w:p>
        </w:tc>
        <w:tc>
          <w:tcPr>
            <w:tcW w:w="88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48,210</w:t>
            </w:r>
          </w:p>
        </w:tc>
        <w:tc>
          <w:tcPr>
            <w:tcW w:w="0" w:type="dxa"/>
            <w:vAlign w:val="bottom"/>
          </w:tcPr>
          <w:p>
            <w:pPr>
              <w:spacing w:after="0"/>
              <w:rPr>
                <w:sz w:val="1"/>
                <w:szCs w:val="1"/>
                <w:color w:val="auto"/>
              </w:rPr>
            </w:pPr>
          </w:p>
        </w:tc>
      </w:tr>
      <w:tr>
        <w:trPr>
          <w:trHeight w:val="70"/>
        </w:trPr>
        <w:tc>
          <w:tcPr>
            <w:tcW w:w="3540" w:type="dxa"/>
            <w:vAlign w:val="bottom"/>
            <w:tcBorders>
              <w:bottom w:val="single" w:sz="8" w:color="939598"/>
            </w:tcBorders>
            <w:shd w:val="clear" w:color="auto" w:fill="F3F3F4"/>
          </w:tcPr>
          <w:p>
            <w:pPr>
              <w:spacing w:after="0"/>
              <w:rPr>
                <w:sz w:val="6"/>
                <w:szCs w:val="6"/>
                <w:color w:val="auto"/>
              </w:rPr>
            </w:pPr>
          </w:p>
        </w:tc>
        <w:tc>
          <w:tcPr>
            <w:tcW w:w="1120" w:type="dxa"/>
            <w:vAlign w:val="bottom"/>
            <w:tcBorders>
              <w:bottom w:val="single" w:sz="8" w:color="939598"/>
            </w:tcBorders>
            <w:shd w:val="clear" w:color="auto" w:fill="F3F3F4"/>
          </w:tcPr>
          <w:p>
            <w:pPr>
              <w:spacing w:after="0"/>
              <w:rPr>
                <w:sz w:val="6"/>
                <w:szCs w:val="6"/>
                <w:color w:val="auto"/>
              </w:rPr>
            </w:pPr>
          </w:p>
        </w:tc>
        <w:tc>
          <w:tcPr>
            <w:tcW w:w="240" w:type="dxa"/>
            <w:vAlign w:val="bottom"/>
            <w:tcBorders>
              <w:bottom w:val="single" w:sz="8" w:color="939598"/>
            </w:tcBorders>
            <w:shd w:val="clear" w:color="auto" w:fill="F3F3F4"/>
          </w:tcPr>
          <w:p>
            <w:pPr>
              <w:spacing w:after="0"/>
              <w:rPr>
                <w:sz w:val="6"/>
                <w:szCs w:val="6"/>
                <w:color w:val="auto"/>
              </w:rPr>
            </w:pPr>
          </w:p>
        </w:tc>
        <w:tc>
          <w:tcPr>
            <w:tcW w:w="1440" w:type="dxa"/>
            <w:vAlign w:val="bottom"/>
            <w:tcBorders>
              <w:bottom w:val="single" w:sz="8" w:color="939598"/>
            </w:tcBorders>
            <w:shd w:val="clear" w:color="auto" w:fill="F3F3F4"/>
          </w:tcPr>
          <w:p>
            <w:pPr>
              <w:spacing w:after="0"/>
              <w:rPr>
                <w:sz w:val="6"/>
                <w:szCs w:val="6"/>
                <w:color w:val="auto"/>
              </w:rPr>
            </w:pPr>
          </w:p>
        </w:tc>
        <w:tc>
          <w:tcPr>
            <w:tcW w:w="180" w:type="dxa"/>
            <w:vAlign w:val="bottom"/>
            <w:tcBorders>
              <w:bottom w:val="single" w:sz="8" w:color="939598"/>
            </w:tcBorders>
            <w:shd w:val="clear" w:color="auto" w:fill="F3F3F4"/>
          </w:tcPr>
          <w:p>
            <w:pPr>
              <w:spacing w:after="0"/>
              <w:rPr>
                <w:sz w:val="6"/>
                <w:szCs w:val="6"/>
                <w:color w:val="auto"/>
              </w:rPr>
            </w:pPr>
          </w:p>
        </w:tc>
        <w:tc>
          <w:tcPr>
            <w:tcW w:w="1480" w:type="dxa"/>
            <w:vAlign w:val="bottom"/>
            <w:tcBorders>
              <w:bottom w:val="single" w:sz="8" w:color="939598"/>
            </w:tcBorders>
            <w:shd w:val="clear" w:color="auto" w:fill="F3F3F4"/>
          </w:tcPr>
          <w:p>
            <w:pPr>
              <w:spacing w:after="0"/>
              <w:rPr>
                <w:sz w:val="6"/>
                <w:szCs w:val="6"/>
                <w:color w:val="auto"/>
              </w:rPr>
            </w:pPr>
          </w:p>
        </w:tc>
        <w:tc>
          <w:tcPr>
            <w:tcW w:w="420" w:type="dxa"/>
            <w:vAlign w:val="bottom"/>
            <w:tcBorders>
              <w:bottom w:val="single" w:sz="8" w:color="939598"/>
            </w:tcBorders>
            <w:shd w:val="clear" w:color="auto" w:fill="F3F3F4"/>
          </w:tcPr>
          <w:p>
            <w:pPr>
              <w:spacing w:after="0"/>
              <w:rPr>
                <w:sz w:val="6"/>
                <w:szCs w:val="6"/>
                <w:color w:val="auto"/>
              </w:rPr>
            </w:pPr>
          </w:p>
        </w:tc>
        <w:tc>
          <w:tcPr>
            <w:tcW w:w="1200" w:type="dxa"/>
            <w:vAlign w:val="bottom"/>
            <w:tcBorders>
              <w:bottom w:val="single" w:sz="8" w:color="939598"/>
            </w:tcBorders>
            <w:shd w:val="clear" w:color="auto" w:fill="F3F3F4"/>
          </w:tcPr>
          <w:p>
            <w:pPr>
              <w:spacing w:after="0"/>
              <w:rPr>
                <w:sz w:val="6"/>
                <w:szCs w:val="6"/>
                <w:color w:val="auto"/>
              </w:rPr>
            </w:pPr>
          </w:p>
        </w:tc>
        <w:tc>
          <w:tcPr>
            <w:tcW w:w="520" w:type="dxa"/>
            <w:vAlign w:val="bottom"/>
            <w:tcBorders>
              <w:bottom w:val="single" w:sz="8" w:color="939598"/>
            </w:tcBorders>
            <w:shd w:val="clear" w:color="auto" w:fill="F3F3F4"/>
          </w:tcPr>
          <w:p>
            <w:pPr>
              <w:spacing w:after="0"/>
              <w:rPr>
                <w:sz w:val="6"/>
                <w:szCs w:val="6"/>
                <w:color w:val="auto"/>
              </w:rPr>
            </w:pPr>
          </w:p>
        </w:tc>
        <w:tc>
          <w:tcPr>
            <w:tcW w:w="880" w:type="dxa"/>
            <w:vAlign w:val="bottom"/>
            <w:tcBorders>
              <w:bottom w:val="single" w:sz="8" w:color="939598"/>
            </w:tcBorders>
            <w:shd w:val="clear" w:color="auto" w:fill="F3F3F4"/>
          </w:tcPr>
          <w:p>
            <w:pPr>
              <w:spacing w:after="0"/>
              <w:rPr>
                <w:sz w:val="6"/>
                <w:szCs w:val="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80" w:hanging="252"/>
        <w:spacing w:after="0"/>
        <w:tabs>
          <w:tab w:leader="none" w:pos="4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 xml:space="preserve">See </w:t>
      </w:r>
      <w:r>
        <w:rPr>
          <w:rFonts w:ascii="Arial" w:cs="Arial" w:eastAsia="Arial" w:hAnsi="Arial"/>
          <w:sz w:val="13"/>
          <w:szCs w:val="13"/>
          <w:b w:val="1"/>
          <w:bCs w:val="1"/>
          <w:i w:val="1"/>
          <w:iCs w:val="1"/>
          <w:color w:val="auto"/>
        </w:rPr>
        <w:t>Defined Contribution Plan</w:t>
      </w:r>
      <w:r>
        <w:rPr>
          <w:rFonts w:ascii="Arial" w:cs="Arial" w:eastAsia="Arial" w:hAnsi="Arial"/>
          <w:sz w:val="13"/>
          <w:szCs w:val="13"/>
          <w:color w:val="auto"/>
        </w:rPr>
        <w:t xml:space="preserve"> on </w:t>
      </w:r>
      <w:r>
        <w:rPr>
          <w:rFonts w:ascii="Arial" w:cs="Arial" w:eastAsia="Arial" w:hAnsi="Arial"/>
          <w:sz w:val="13"/>
          <w:szCs w:val="13"/>
          <w:u w:val="single" w:color="auto"/>
          <w:color w:val="auto"/>
        </w:rPr>
        <w:t>page 39</w:t>
      </w:r>
      <w:r>
        <w:rPr>
          <w:rFonts w:ascii="Arial" w:cs="Arial" w:eastAsia="Arial" w:hAnsi="Arial"/>
          <w:sz w:val="13"/>
          <w:szCs w:val="13"/>
          <w:color w:val="auto"/>
        </w:rPr>
        <w:t>.</w:t>
      </w:r>
    </w:p>
    <w:p>
      <w:pPr>
        <w:spacing w:after="0" w:line="128" w:lineRule="exact"/>
        <w:rPr>
          <w:sz w:val="20"/>
          <w:szCs w:val="20"/>
          <w:color w:val="auto"/>
        </w:rPr>
      </w:pPr>
    </w:p>
    <w:p>
      <w:pPr>
        <w:ind w:left="480" w:hanging="252"/>
        <w:spacing w:after="0"/>
        <w:tabs>
          <w:tab w:leader="none" w:pos="4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Company matches 20% of employees’ contributions to its Employee Stock Purchase plan.</w:t>
      </w:r>
    </w:p>
    <w:p>
      <w:pPr>
        <w:spacing w:after="0" w:line="128" w:lineRule="exact"/>
        <w:rPr>
          <w:sz w:val="20"/>
          <w:szCs w:val="20"/>
          <w:color w:val="auto"/>
        </w:rPr>
      </w:pPr>
    </w:p>
    <w:p>
      <w:pPr>
        <w:jc w:val="both"/>
        <w:ind w:left="480" w:right="20" w:hanging="252"/>
        <w:spacing w:after="0" w:line="231" w:lineRule="auto"/>
        <w:tabs>
          <w:tab w:leader="none" w:pos="4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 xml:space="preserve">Includes car allowance, financial planning, and premiums for group variable universal life (GVUL) insurance which the Company offers to a number of senior managers at ESCO and its participating subsidiaries. Mr. Sayler’s figure for 2023 includes compensation of $538,495 for reimbursement of moving expenses related to his transition to CEO, and a country club initiation fee which the Company had agreed to pay at the time Mr. Sayler commenced his employment. Mr. Tucker’s figure for 2023 includes $88,000 as the personal portion of a country club initiation fee which the Company had agreed to pay at the time Mr. Tucker commenced his employment. For more information, see </w:t>
      </w:r>
      <w:r>
        <w:rPr>
          <w:rFonts w:ascii="Arial" w:cs="Arial" w:eastAsia="Arial" w:hAnsi="Arial"/>
          <w:sz w:val="13"/>
          <w:szCs w:val="13"/>
          <w:b w:val="1"/>
          <w:bCs w:val="1"/>
          <w:i w:val="1"/>
          <w:iCs w:val="1"/>
          <w:color w:val="auto"/>
        </w:rPr>
        <w:t>Other Compensation Elements – Perquisites</w:t>
      </w:r>
      <w:r>
        <w:rPr>
          <w:rFonts w:ascii="Arial" w:cs="Arial" w:eastAsia="Arial" w:hAnsi="Arial"/>
          <w:sz w:val="13"/>
          <w:szCs w:val="13"/>
          <w:color w:val="auto"/>
        </w:rPr>
        <w:t xml:space="preserve"> in the Compensation Discussion and Analysis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264795</wp:posOffset>
            </wp:positionV>
            <wp:extent cx="7141210"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41" w:name="page42"/>
    <w:bookmarkEnd w:id="41"/>
    <w:p>
      <w:pPr>
        <w:ind w:left="220" w:right="20" w:hanging="219"/>
        <w:spacing w:after="0" w:line="249" w:lineRule="auto"/>
        <w:tabs>
          <w:tab w:leader="none" w:pos="2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Upon becoming an executive officer Mr. Sayler, who was previously a management official of the Company, received an increase in his annualized salary from $339,500 to $715,000, prorated based on his days of service in each position.</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2024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71412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12" w:lineRule="exact"/>
        <w:rPr>
          <w:sz w:val="20"/>
          <w:szCs w:val="20"/>
          <w:color w:val="auto"/>
        </w:rPr>
      </w:pPr>
    </w:p>
    <w:p>
      <w:pPr>
        <w:jc w:val="both"/>
        <w:ind w:right="20"/>
        <w:spacing w:after="0" w:line="246" w:lineRule="auto"/>
        <w:rPr>
          <w:sz w:val="20"/>
          <w:szCs w:val="20"/>
          <w:color w:val="auto"/>
        </w:rPr>
      </w:pPr>
      <w:r>
        <w:rPr>
          <w:rFonts w:ascii="Arial" w:cs="Arial" w:eastAsia="Arial" w:hAnsi="Arial"/>
          <w:sz w:val="14"/>
          <w:szCs w:val="14"/>
          <w:color w:val="auto"/>
        </w:rPr>
        <w:t xml:space="preserve">The following table provides information for fiscal 2024 for the executive officers regarding cash incentive awards under our PCP and awards of RSUs and PSUs under the 2018 Omnibus Incentive Plan. See </w:t>
      </w:r>
      <w:r>
        <w:rPr>
          <w:rFonts w:ascii="Arial" w:cs="Arial" w:eastAsia="Arial" w:hAnsi="Arial"/>
          <w:sz w:val="14"/>
          <w:szCs w:val="14"/>
          <w:b w:val="1"/>
          <w:bCs w:val="1"/>
          <w:i w:val="1"/>
          <w:iCs w:val="1"/>
          <w:color w:val="auto"/>
        </w:rPr>
        <w:t>Principal Elements of Compensation – Cash Incentive Plans</w:t>
      </w:r>
      <w:r>
        <w:rPr>
          <w:rFonts w:ascii="Arial" w:cs="Arial" w:eastAsia="Arial" w:hAnsi="Arial"/>
          <w:sz w:val="14"/>
          <w:szCs w:val="14"/>
          <w:color w:val="auto"/>
        </w:rPr>
        <w:t xml:space="preserve"> and </w:t>
      </w:r>
      <w:r>
        <w:rPr>
          <w:rFonts w:ascii="Arial" w:cs="Arial" w:eastAsia="Arial" w:hAnsi="Arial"/>
          <w:sz w:val="14"/>
          <w:szCs w:val="14"/>
          <w:b w:val="1"/>
          <w:bCs w:val="1"/>
          <w:i w:val="1"/>
          <w:iCs w:val="1"/>
          <w:color w:val="auto"/>
        </w:rPr>
        <w:t>Long-Term Equity Incentive Compensation</w:t>
      </w:r>
      <w:r>
        <w:rPr>
          <w:rFonts w:ascii="Arial" w:cs="Arial" w:eastAsia="Arial" w:hAnsi="Arial"/>
          <w:sz w:val="14"/>
          <w:szCs w:val="14"/>
          <w:color w:val="auto"/>
        </w:rPr>
        <w:t xml:space="preserve"> in the Compensation Discussion and Analysis section.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jc w:val="right"/>
              <w:ind w:right="21"/>
              <w:spacing w:after="0"/>
              <w:rPr>
                <w:sz w:val="20"/>
                <w:szCs w:val="20"/>
                <w:color w:val="auto"/>
              </w:rPr>
            </w:pPr>
            <w:r>
              <w:rPr>
                <w:rFonts w:ascii="Arial" w:cs="Arial" w:eastAsia="Arial" w:hAnsi="Arial"/>
                <w:sz w:val="12"/>
                <w:szCs w:val="12"/>
                <w:b w:val="1"/>
                <w:bCs w:val="1"/>
                <w:color w:val="auto"/>
              </w:rPr>
              <w:t>All other</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b w:val="1"/>
                <w:bCs w:val="1"/>
                <w:color w:val="auto"/>
              </w:rPr>
              <w:t>All other</w:t>
            </w:r>
          </w:p>
        </w:tc>
        <w:tc>
          <w:tcPr>
            <w:tcW w:w="1000" w:type="dxa"/>
            <w:vAlign w:val="bottom"/>
          </w:tcPr>
          <w:p>
            <w:pPr>
              <w:jc w:val="right"/>
              <w:ind w:right="21"/>
              <w:spacing w:after="0"/>
              <w:rPr>
                <w:sz w:val="20"/>
                <w:szCs w:val="20"/>
                <w:color w:val="auto"/>
              </w:rPr>
            </w:pPr>
            <w:r>
              <w:rPr>
                <w:rFonts w:ascii="Arial" w:cs="Arial" w:eastAsia="Arial" w:hAnsi="Arial"/>
                <w:sz w:val="12"/>
                <w:szCs w:val="12"/>
                <w:b w:val="1"/>
                <w:bCs w:val="1"/>
                <w:color w:val="auto"/>
              </w:rPr>
              <w:t>option</w:t>
            </w: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jc w:val="right"/>
              <w:ind w:right="41"/>
              <w:spacing w:after="0"/>
              <w:rPr>
                <w:sz w:val="20"/>
                <w:szCs w:val="20"/>
                <w:color w:val="auto"/>
              </w:rPr>
            </w:pPr>
            <w:r>
              <w:rPr>
                <w:rFonts w:ascii="Arial" w:cs="Arial" w:eastAsia="Arial" w:hAnsi="Arial"/>
                <w:sz w:val="12"/>
                <w:szCs w:val="12"/>
                <w:b w:val="1"/>
                <w:bCs w:val="1"/>
                <w:color w:val="auto"/>
              </w:rPr>
              <w:t>stock</w:t>
            </w:r>
          </w:p>
        </w:tc>
        <w:tc>
          <w:tcPr>
            <w:tcW w:w="1000" w:type="dxa"/>
            <w:vAlign w:val="bottom"/>
          </w:tcPr>
          <w:p>
            <w:pPr>
              <w:jc w:val="right"/>
              <w:ind w:right="21"/>
              <w:spacing w:after="0"/>
              <w:rPr>
                <w:sz w:val="20"/>
                <w:szCs w:val="20"/>
                <w:color w:val="auto"/>
              </w:rPr>
            </w:pPr>
            <w:r>
              <w:rPr>
                <w:rFonts w:ascii="Arial" w:cs="Arial" w:eastAsia="Arial" w:hAnsi="Arial"/>
                <w:sz w:val="12"/>
                <w:szCs w:val="12"/>
                <w:b w:val="1"/>
                <w:bCs w:val="1"/>
                <w:color w:val="auto"/>
              </w:rPr>
              <w:t>awards:</w:t>
            </w:r>
          </w:p>
        </w:tc>
        <w:tc>
          <w:tcPr>
            <w:tcW w:w="780" w:type="dxa"/>
            <w:vAlign w:val="bottom"/>
          </w:tcPr>
          <w:p>
            <w:pPr>
              <w:jc w:val="right"/>
              <w:ind w:right="21"/>
              <w:spacing w:after="0"/>
              <w:rPr>
                <w:sz w:val="20"/>
                <w:szCs w:val="20"/>
                <w:color w:val="auto"/>
              </w:rPr>
            </w:pPr>
            <w:r>
              <w:rPr>
                <w:rFonts w:ascii="Arial" w:cs="Arial" w:eastAsia="Arial" w:hAnsi="Arial"/>
                <w:sz w:val="12"/>
                <w:szCs w:val="12"/>
                <w:b w:val="1"/>
                <w:bCs w:val="1"/>
                <w:color w:val="auto"/>
              </w:rPr>
              <w:t>Exercise</w:t>
            </w:r>
          </w:p>
        </w:tc>
        <w:tc>
          <w:tcPr>
            <w:tcW w:w="780" w:type="dxa"/>
            <w:vAlign w:val="bottom"/>
          </w:tcPr>
          <w:p>
            <w:pPr>
              <w:jc w:val="right"/>
              <w:ind w:right="21"/>
              <w:spacing w:after="0"/>
              <w:rPr>
                <w:sz w:val="20"/>
                <w:szCs w:val="20"/>
                <w:color w:val="auto"/>
              </w:rPr>
            </w:pPr>
            <w:r>
              <w:rPr>
                <w:rFonts w:ascii="Arial" w:cs="Arial" w:eastAsia="Arial" w:hAnsi="Arial"/>
                <w:sz w:val="12"/>
                <w:szCs w:val="12"/>
                <w:b w:val="1"/>
                <w:bCs w:val="1"/>
                <w:color w:val="auto"/>
              </w:rPr>
              <w:t>Grant date</w:t>
            </w:r>
          </w:p>
        </w:tc>
        <w:tc>
          <w:tcPr>
            <w:tcW w:w="0" w:type="dxa"/>
            <w:vAlign w:val="bottom"/>
          </w:tcPr>
          <w:p>
            <w:pPr>
              <w:spacing w:after="0"/>
              <w:rPr>
                <w:sz w:val="1"/>
                <w:szCs w:val="1"/>
                <w:color w:val="auto"/>
              </w:rPr>
            </w:pPr>
          </w:p>
        </w:tc>
      </w:tr>
      <w:tr>
        <w:trPr>
          <w:trHeight w:val="177"/>
        </w:trPr>
        <w:tc>
          <w:tcPr>
            <w:tcW w:w="1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gridSpan w:val="3"/>
          </w:tcPr>
          <w:p>
            <w:pPr>
              <w:jc w:val="right"/>
              <w:ind w:right="461"/>
              <w:spacing w:after="0"/>
              <w:rPr>
                <w:sz w:val="20"/>
                <w:szCs w:val="20"/>
                <w:color w:val="auto"/>
              </w:rPr>
            </w:pPr>
            <w:r>
              <w:rPr>
                <w:rFonts w:ascii="Arial" w:cs="Arial" w:eastAsia="Arial" w:hAnsi="Arial"/>
                <w:sz w:val="12"/>
                <w:szCs w:val="12"/>
                <w:b w:val="1"/>
                <w:bCs w:val="1"/>
                <w:color w:val="auto"/>
              </w:rPr>
              <w:t>Estimated future payouts under</w:t>
            </w:r>
          </w:p>
        </w:tc>
        <w:tc>
          <w:tcPr>
            <w:tcW w:w="2340" w:type="dxa"/>
            <w:vAlign w:val="bottom"/>
            <w:gridSpan w:val="3"/>
          </w:tcPr>
          <w:p>
            <w:pPr>
              <w:jc w:val="center"/>
              <w:ind w:right="21"/>
              <w:spacing w:after="0"/>
              <w:rPr>
                <w:sz w:val="20"/>
                <w:szCs w:val="20"/>
                <w:color w:val="auto"/>
              </w:rPr>
            </w:pPr>
            <w:r>
              <w:rPr>
                <w:rFonts w:ascii="Arial" w:cs="Arial" w:eastAsia="Arial" w:hAnsi="Arial"/>
                <w:sz w:val="12"/>
                <w:szCs w:val="12"/>
                <w:b w:val="1"/>
                <w:bCs w:val="1"/>
                <w:color w:val="auto"/>
                <w:w w:val="98"/>
              </w:rPr>
              <w:t>Estimated future payouts under</w:t>
            </w:r>
          </w:p>
        </w:tc>
        <w:tc>
          <w:tcPr>
            <w:tcW w:w="800" w:type="dxa"/>
            <w:vAlign w:val="bottom"/>
          </w:tcPr>
          <w:p>
            <w:pPr>
              <w:jc w:val="right"/>
              <w:ind w:right="41"/>
              <w:spacing w:after="0"/>
              <w:rPr>
                <w:sz w:val="20"/>
                <w:szCs w:val="20"/>
                <w:color w:val="auto"/>
              </w:rPr>
            </w:pPr>
            <w:r>
              <w:rPr>
                <w:rFonts w:ascii="Arial" w:cs="Arial" w:eastAsia="Arial" w:hAnsi="Arial"/>
                <w:sz w:val="12"/>
                <w:szCs w:val="12"/>
                <w:b w:val="1"/>
                <w:bCs w:val="1"/>
                <w:color w:val="auto"/>
              </w:rPr>
              <w:t>awards:</w:t>
            </w:r>
          </w:p>
        </w:tc>
        <w:tc>
          <w:tcPr>
            <w:tcW w:w="1000" w:type="dxa"/>
            <w:vAlign w:val="bottom"/>
          </w:tcPr>
          <w:p>
            <w:pPr>
              <w:jc w:val="right"/>
              <w:ind w:right="21"/>
              <w:spacing w:after="0"/>
              <w:rPr>
                <w:sz w:val="20"/>
                <w:szCs w:val="20"/>
                <w:color w:val="auto"/>
              </w:rPr>
            </w:pPr>
            <w:r>
              <w:rPr>
                <w:rFonts w:ascii="Arial" w:cs="Arial" w:eastAsia="Arial" w:hAnsi="Arial"/>
                <w:sz w:val="12"/>
                <w:szCs w:val="12"/>
                <w:b w:val="1"/>
                <w:bCs w:val="1"/>
                <w:color w:val="auto"/>
              </w:rPr>
              <w:t>Number of</w:t>
            </w:r>
          </w:p>
        </w:tc>
        <w:tc>
          <w:tcPr>
            <w:tcW w:w="780" w:type="dxa"/>
            <w:vAlign w:val="bottom"/>
          </w:tcPr>
          <w:p>
            <w:pPr>
              <w:jc w:val="right"/>
              <w:ind w:right="21"/>
              <w:spacing w:after="0"/>
              <w:rPr>
                <w:sz w:val="20"/>
                <w:szCs w:val="20"/>
                <w:color w:val="auto"/>
              </w:rPr>
            </w:pPr>
            <w:r>
              <w:rPr>
                <w:rFonts w:ascii="Arial" w:cs="Arial" w:eastAsia="Arial" w:hAnsi="Arial"/>
                <w:sz w:val="12"/>
                <w:szCs w:val="12"/>
                <w:b w:val="1"/>
                <w:bCs w:val="1"/>
                <w:color w:val="auto"/>
              </w:rPr>
              <w:t>or base</w:t>
            </w:r>
          </w:p>
        </w:tc>
        <w:tc>
          <w:tcPr>
            <w:tcW w:w="780" w:type="dxa"/>
            <w:vAlign w:val="bottom"/>
          </w:tcPr>
          <w:p>
            <w:pPr>
              <w:jc w:val="right"/>
              <w:ind w:right="21"/>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77"/>
        </w:trPr>
        <w:tc>
          <w:tcPr>
            <w:tcW w:w="1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720" w:type="dxa"/>
            <w:vAlign w:val="bottom"/>
            <w:gridSpan w:val="3"/>
          </w:tcPr>
          <w:p>
            <w:pPr>
              <w:jc w:val="right"/>
              <w:ind w:right="401"/>
              <w:spacing w:after="0"/>
              <w:rPr>
                <w:sz w:val="20"/>
                <w:szCs w:val="20"/>
                <w:color w:val="auto"/>
              </w:rPr>
            </w:pPr>
            <w:r>
              <w:rPr>
                <w:rFonts w:ascii="Arial" w:cs="Arial" w:eastAsia="Arial" w:hAnsi="Arial"/>
                <w:sz w:val="12"/>
                <w:szCs w:val="12"/>
                <w:b w:val="1"/>
                <w:bCs w:val="1"/>
                <w:color w:val="auto"/>
              </w:rPr>
              <w:t>non-equity incentive plan awards</w:t>
            </w:r>
            <w:r>
              <w:rPr>
                <w:rFonts w:ascii="Arial" w:cs="Arial" w:eastAsia="Arial" w:hAnsi="Arial"/>
                <w:sz w:val="7"/>
                <w:szCs w:val="7"/>
                <w:b w:val="1"/>
                <w:bCs w:val="1"/>
                <w:color w:val="auto"/>
              </w:rPr>
              <w:t>1</w:t>
            </w:r>
          </w:p>
        </w:tc>
        <w:tc>
          <w:tcPr>
            <w:tcW w:w="2340" w:type="dxa"/>
            <w:vAlign w:val="bottom"/>
            <w:gridSpan w:val="3"/>
          </w:tcPr>
          <w:p>
            <w:pPr>
              <w:jc w:val="center"/>
              <w:ind w:right="21"/>
              <w:spacing w:after="0"/>
              <w:rPr>
                <w:sz w:val="20"/>
                <w:szCs w:val="20"/>
                <w:color w:val="auto"/>
              </w:rPr>
            </w:pPr>
            <w:r>
              <w:rPr>
                <w:rFonts w:ascii="Arial" w:cs="Arial" w:eastAsia="Arial" w:hAnsi="Arial"/>
                <w:sz w:val="12"/>
                <w:szCs w:val="12"/>
                <w:b w:val="1"/>
                <w:bCs w:val="1"/>
                <w:color w:val="auto"/>
                <w:w w:val="99"/>
              </w:rPr>
              <w:t>equity incentive plan awards</w:t>
            </w:r>
            <w:r>
              <w:rPr>
                <w:rFonts w:ascii="Arial" w:cs="Arial" w:eastAsia="Arial" w:hAnsi="Arial"/>
                <w:sz w:val="7"/>
                <w:szCs w:val="7"/>
                <w:b w:val="1"/>
                <w:bCs w:val="1"/>
                <w:color w:val="auto"/>
                <w:w w:val="99"/>
              </w:rPr>
              <w:t>2</w:t>
            </w:r>
          </w:p>
        </w:tc>
        <w:tc>
          <w:tcPr>
            <w:tcW w:w="800" w:type="dxa"/>
            <w:vAlign w:val="bottom"/>
            <w:vMerge w:val="restart"/>
          </w:tcPr>
          <w:p>
            <w:pPr>
              <w:jc w:val="right"/>
              <w:ind w:right="41"/>
              <w:spacing w:after="0"/>
              <w:rPr>
                <w:sz w:val="20"/>
                <w:szCs w:val="20"/>
                <w:color w:val="auto"/>
              </w:rPr>
            </w:pPr>
            <w:r>
              <w:rPr>
                <w:rFonts w:ascii="Arial" w:cs="Arial" w:eastAsia="Arial" w:hAnsi="Arial"/>
                <w:sz w:val="12"/>
                <w:szCs w:val="12"/>
                <w:b w:val="1"/>
                <w:bCs w:val="1"/>
                <w:color w:val="auto"/>
              </w:rPr>
              <w:t>Number</w:t>
            </w:r>
          </w:p>
        </w:tc>
        <w:tc>
          <w:tcPr>
            <w:tcW w:w="1000" w:type="dxa"/>
            <w:vAlign w:val="bottom"/>
            <w:vMerge w:val="restart"/>
          </w:tcPr>
          <w:p>
            <w:pPr>
              <w:jc w:val="right"/>
              <w:ind w:right="21"/>
              <w:spacing w:after="0"/>
              <w:rPr>
                <w:sz w:val="20"/>
                <w:szCs w:val="20"/>
                <w:color w:val="auto"/>
              </w:rPr>
            </w:pPr>
            <w:r>
              <w:rPr>
                <w:rFonts w:ascii="Arial" w:cs="Arial" w:eastAsia="Arial" w:hAnsi="Arial"/>
                <w:sz w:val="12"/>
                <w:szCs w:val="12"/>
                <w:b w:val="1"/>
                <w:bCs w:val="1"/>
                <w:color w:val="auto"/>
              </w:rPr>
              <w:t>securities</w:t>
            </w:r>
          </w:p>
        </w:tc>
        <w:tc>
          <w:tcPr>
            <w:tcW w:w="780" w:type="dxa"/>
            <w:vAlign w:val="bottom"/>
            <w:vMerge w:val="restart"/>
          </w:tcPr>
          <w:p>
            <w:pPr>
              <w:jc w:val="right"/>
              <w:ind w:right="21"/>
              <w:spacing w:after="0"/>
              <w:rPr>
                <w:sz w:val="20"/>
                <w:szCs w:val="20"/>
                <w:color w:val="auto"/>
              </w:rPr>
            </w:pPr>
            <w:r>
              <w:rPr>
                <w:rFonts w:ascii="Arial" w:cs="Arial" w:eastAsia="Arial" w:hAnsi="Arial"/>
                <w:sz w:val="12"/>
                <w:szCs w:val="12"/>
                <w:b w:val="1"/>
                <w:bCs w:val="1"/>
                <w:color w:val="auto"/>
              </w:rPr>
              <w:t>price of</w:t>
            </w:r>
          </w:p>
        </w:tc>
        <w:tc>
          <w:tcPr>
            <w:tcW w:w="780" w:type="dxa"/>
            <w:vAlign w:val="bottom"/>
            <w:vMerge w:val="restart"/>
          </w:tcPr>
          <w:p>
            <w:pPr>
              <w:jc w:val="right"/>
              <w:ind w:right="21"/>
              <w:spacing w:after="0"/>
              <w:rPr>
                <w:sz w:val="20"/>
                <w:szCs w:val="20"/>
                <w:color w:val="auto"/>
              </w:rPr>
            </w:pPr>
            <w:r>
              <w:rPr>
                <w:rFonts w:ascii="Arial" w:cs="Arial" w:eastAsia="Arial" w:hAnsi="Arial"/>
                <w:sz w:val="12"/>
                <w:szCs w:val="12"/>
                <w:b w:val="1"/>
                <w:bCs w:val="1"/>
                <w:color w:val="auto"/>
              </w:rPr>
              <w:t>of stock</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1020" w:type="dxa"/>
            <w:vAlign w:val="bottom"/>
          </w:tcPr>
          <w:p>
            <w:pPr>
              <w:jc w:val="right"/>
              <w:ind w:right="21"/>
              <w:spacing w:after="0"/>
              <w:rPr>
                <w:sz w:val="20"/>
                <w:szCs w:val="20"/>
                <w:color w:val="auto"/>
              </w:rPr>
            </w:pPr>
            <w:r>
              <w:rPr>
                <w:rFonts w:ascii="Arial" w:cs="Arial" w:eastAsia="Arial" w:hAnsi="Arial"/>
                <w:sz w:val="12"/>
                <w:szCs w:val="12"/>
                <w:b w:val="1"/>
                <w:bCs w:val="1"/>
                <w:color w:val="auto"/>
              </w:rPr>
              <w:t>Grant</w:t>
            </w:r>
          </w:p>
        </w:tc>
        <w:tc>
          <w:tcPr>
            <w:tcW w:w="1040" w:type="dxa"/>
            <w:vAlign w:val="bottom"/>
          </w:tcPr>
          <w:p>
            <w:pPr>
              <w:jc w:val="right"/>
              <w:ind w:right="41"/>
              <w:spacing w:after="0"/>
              <w:rPr>
                <w:sz w:val="20"/>
                <w:szCs w:val="20"/>
                <w:color w:val="auto"/>
              </w:rPr>
            </w:pPr>
            <w:r>
              <w:rPr>
                <w:rFonts w:ascii="Arial" w:cs="Arial" w:eastAsia="Arial" w:hAnsi="Arial"/>
                <w:sz w:val="12"/>
                <w:szCs w:val="12"/>
                <w:b w:val="1"/>
                <w:bCs w:val="1"/>
                <w:color w:val="auto"/>
              </w:rPr>
              <w:t>Threshold</w:t>
            </w:r>
          </w:p>
        </w:tc>
        <w:tc>
          <w:tcPr>
            <w:tcW w:w="780" w:type="dxa"/>
            <w:vAlign w:val="bottom"/>
          </w:tcPr>
          <w:p>
            <w:pPr>
              <w:spacing w:after="0"/>
              <w:rPr>
                <w:sz w:val="16"/>
                <w:szCs w:val="16"/>
                <w:color w:val="auto"/>
              </w:rPr>
            </w:pPr>
          </w:p>
        </w:tc>
        <w:tc>
          <w:tcPr>
            <w:tcW w:w="900" w:type="dxa"/>
            <w:vAlign w:val="bottom"/>
          </w:tcPr>
          <w:p>
            <w:pPr>
              <w:jc w:val="right"/>
              <w:ind w:right="21"/>
              <w:spacing w:after="0"/>
              <w:rPr>
                <w:sz w:val="20"/>
                <w:szCs w:val="20"/>
                <w:color w:val="auto"/>
              </w:rPr>
            </w:pPr>
            <w:r>
              <w:rPr>
                <w:rFonts w:ascii="Arial" w:cs="Arial" w:eastAsia="Arial" w:hAnsi="Arial"/>
                <w:sz w:val="12"/>
                <w:szCs w:val="12"/>
                <w:b w:val="1"/>
                <w:bCs w:val="1"/>
                <w:color w:val="auto"/>
              </w:rPr>
              <w:t>Maximum</w:t>
            </w:r>
          </w:p>
        </w:tc>
        <w:tc>
          <w:tcPr>
            <w:tcW w:w="900" w:type="dxa"/>
            <w:vAlign w:val="bottom"/>
          </w:tcPr>
          <w:p>
            <w:pPr>
              <w:jc w:val="right"/>
              <w:ind w:right="41"/>
              <w:spacing w:after="0"/>
              <w:rPr>
                <w:sz w:val="20"/>
                <w:szCs w:val="20"/>
                <w:color w:val="auto"/>
              </w:rPr>
            </w:pPr>
            <w:r>
              <w:rPr>
                <w:rFonts w:ascii="Arial" w:cs="Arial" w:eastAsia="Arial" w:hAnsi="Arial"/>
                <w:sz w:val="12"/>
                <w:szCs w:val="12"/>
                <w:b w:val="1"/>
                <w:bCs w:val="1"/>
                <w:color w:val="auto"/>
              </w:rPr>
              <w:t>Threshold</w:t>
            </w:r>
          </w:p>
        </w:tc>
        <w:tc>
          <w:tcPr>
            <w:tcW w:w="560" w:type="dxa"/>
            <w:vAlign w:val="bottom"/>
          </w:tcPr>
          <w:p>
            <w:pPr>
              <w:spacing w:after="0"/>
              <w:rPr>
                <w:sz w:val="16"/>
                <w:szCs w:val="16"/>
                <w:color w:val="auto"/>
              </w:rPr>
            </w:pPr>
          </w:p>
        </w:tc>
        <w:tc>
          <w:tcPr>
            <w:tcW w:w="880" w:type="dxa"/>
            <w:vAlign w:val="bottom"/>
          </w:tcPr>
          <w:p>
            <w:pPr>
              <w:jc w:val="right"/>
              <w:ind w:right="21"/>
              <w:spacing w:after="0"/>
              <w:rPr>
                <w:sz w:val="20"/>
                <w:szCs w:val="20"/>
                <w:color w:val="auto"/>
              </w:rPr>
            </w:pPr>
            <w:r>
              <w:rPr>
                <w:rFonts w:ascii="Arial" w:cs="Arial" w:eastAsia="Arial" w:hAnsi="Arial"/>
                <w:sz w:val="12"/>
                <w:szCs w:val="12"/>
                <w:b w:val="1"/>
                <w:bCs w:val="1"/>
                <w:color w:val="auto"/>
              </w:rPr>
              <w:t>Maximum</w:t>
            </w:r>
          </w:p>
        </w:tc>
        <w:tc>
          <w:tcPr>
            <w:tcW w:w="800" w:type="dxa"/>
            <w:vAlign w:val="bottom"/>
          </w:tcPr>
          <w:p>
            <w:pPr>
              <w:jc w:val="right"/>
              <w:ind w:right="41"/>
              <w:spacing w:after="0"/>
              <w:rPr>
                <w:sz w:val="20"/>
                <w:szCs w:val="20"/>
                <w:color w:val="auto"/>
              </w:rPr>
            </w:pPr>
            <w:r>
              <w:rPr>
                <w:rFonts w:ascii="Arial" w:cs="Arial" w:eastAsia="Arial" w:hAnsi="Arial"/>
                <w:sz w:val="12"/>
                <w:szCs w:val="12"/>
                <w:b w:val="1"/>
                <w:bCs w:val="1"/>
                <w:color w:val="auto"/>
              </w:rPr>
              <w:t>of shares</w:t>
            </w:r>
          </w:p>
        </w:tc>
        <w:tc>
          <w:tcPr>
            <w:tcW w:w="1000" w:type="dxa"/>
            <w:vAlign w:val="bottom"/>
          </w:tcPr>
          <w:p>
            <w:pPr>
              <w:jc w:val="right"/>
              <w:ind w:right="21"/>
              <w:spacing w:after="0"/>
              <w:rPr>
                <w:sz w:val="20"/>
                <w:szCs w:val="20"/>
                <w:color w:val="auto"/>
              </w:rPr>
            </w:pPr>
            <w:r>
              <w:rPr>
                <w:rFonts w:ascii="Arial" w:cs="Arial" w:eastAsia="Arial" w:hAnsi="Arial"/>
                <w:sz w:val="12"/>
                <w:szCs w:val="12"/>
                <w:b w:val="1"/>
                <w:bCs w:val="1"/>
                <w:color w:val="auto"/>
              </w:rPr>
              <w:t>underlying</w:t>
            </w:r>
          </w:p>
        </w:tc>
        <w:tc>
          <w:tcPr>
            <w:tcW w:w="780" w:type="dxa"/>
            <w:vAlign w:val="bottom"/>
          </w:tcPr>
          <w:p>
            <w:pPr>
              <w:jc w:val="right"/>
              <w:ind w:right="21"/>
              <w:spacing w:after="0"/>
              <w:rPr>
                <w:sz w:val="20"/>
                <w:szCs w:val="20"/>
                <w:color w:val="auto"/>
              </w:rPr>
            </w:pPr>
            <w:r>
              <w:rPr>
                <w:rFonts w:ascii="Arial" w:cs="Arial" w:eastAsia="Arial" w:hAnsi="Arial"/>
                <w:sz w:val="12"/>
                <w:szCs w:val="12"/>
                <w:b w:val="1"/>
                <w:bCs w:val="1"/>
                <w:color w:val="auto"/>
              </w:rPr>
              <w:t>option</w:t>
            </w:r>
          </w:p>
        </w:tc>
        <w:tc>
          <w:tcPr>
            <w:tcW w:w="780" w:type="dxa"/>
            <w:vAlign w:val="bottom"/>
          </w:tcPr>
          <w:p>
            <w:pPr>
              <w:jc w:val="right"/>
              <w:ind w:right="21"/>
              <w:spacing w:after="0"/>
              <w:rPr>
                <w:sz w:val="20"/>
                <w:szCs w:val="20"/>
                <w:color w:val="auto"/>
              </w:rPr>
            </w:pPr>
            <w:r>
              <w:rPr>
                <w:rFonts w:ascii="Arial" w:cs="Arial" w:eastAsia="Arial" w:hAnsi="Arial"/>
                <w:sz w:val="12"/>
                <w:szCs w:val="12"/>
                <w:b w:val="1"/>
                <w:bCs w:val="1"/>
                <w:color w:val="auto"/>
              </w:rPr>
              <w:t>and option</w:t>
            </w:r>
          </w:p>
        </w:tc>
        <w:tc>
          <w:tcPr>
            <w:tcW w:w="0" w:type="dxa"/>
            <w:vAlign w:val="bottom"/>
          </w:tcPr>
          <w:p>
            <w:pPr>
              <w:spacing w:after="0"/>
              <w:rPr>
                <w:sz w:val="1"/>
                <w:szCs w:val="1"/>
                <w:color w:val="auto"/>
              </w:rPr>
            </w:pPr>
          </w:p>
        </w:tc>
      </w:tr>
      <w:tr>
        <w:trPr>
          <w:trHeight w:val="177"/>
        </w:trPr>
        <w:tc>
          <w:tcPr>
            <w:tcW w:w="1800" w:type="dxa"/>
            <w:vAlign w:val="bottom"/>
          </w:tcPr>
          <w:p>
            <w:pPr>
              <w:ind w:left="100"/>
              <w:spacing w:after="0"/>
              <w:rPr>
                <w:sz w:val="20"/>
                <w:szCs w:val="20"/>
                <w:color w:val="auto"/>
              </w:rPr>
            </w:pPr>
            <w:r>
              <w:rPr>
                <w:rFonts w:ascii="Arial" w:cs="Arial" w:eastAsia="Arial" w:hAnsi="Arial"/>
                <w:sz w:val="12"/>
                <w:szCs w:val="12"/>
                <w:b w:val="1"/>
                <w:bCs w:val="1"/>
                <w:color w:val="auto"/>
              </w:rPr>
              <w:t>Name</w:t>
            </w:r>
          </w:p>
        </w:tc>
        <w:tc>
          <w:tcPr>
            <w:tcW w:w="1020" w:type="dxa"/>
            <w:vAlign w:val="bottom"/>
          </w:tcPr>
          <w:p>
            <w:pPr>
              <w:jc w:val="right"/>
              <w:ind w:right="21"/>
              <w:spacing w:after="0"/>
              <w:rPr>
                <w:sz w:val="20"/>
                <w:szCs w:val="20"/>
                <w:color w:val="auto"/>
              </w:rPr>
            </w:pPr>
            <w:r>
              <w:rPr>
                <w:rFonts w:ascii="Arial" w:cs="Arial" w:eastAsia="Arial" w:hAnsi="Arial"/>
                <w:sz w:val="12"/>
                <w:szCs w:val="12"/>
                <w:b w:val="1"/>
                <w:bCs w:val="1"/>
                <w:color w:val="auto"/>
              </w:rPr>
              <w:t>date</w:t>
            </w:r>
          </w:p>
        </w:tc>
        <w:tc>
          <w:tcPr>
            <w:tcW w:w="1040" w:type="dxa"/>
            <w:vAlign w:val="bottom"/>
          </w:tcPr>
          <w:p>
            <w:pPr>
              <w:jc w:val="right"/>
              <w:ind w:right="41"/>
              <w:spacing w:after="0"/>
              <w:rPr>
                <w:sz w:val="20"/>
                <w:szCs w:val="20"/>
                <w:color w:val="auto"/>
              </w:rPr>
            </w:pPr>
            <w:r>
              <w:rPr>
                <w:rFonts w:ascii="Arial" w:cs="Arial" w:eastAsia="Arial" w:hAnsi="Arial"/>
                <w:sz w:val="12"/>
                <w:szCs w:val="12"/>
                <w:b w:val="1"/>
                <w:bCs w:val="1"/>
                <w:color w:val="auto"/>
              </w:rPr>
              <w:t>(0.3x Target)</w:t>
            </w:r>
          </w:p>
        </w:tc>
        <w:tc>
          <w:tcPr>
            <w:tcW w:w="780" w:type="dxa"/>
            <w:vAlign w:val="bottom"/>
          </w:tcPr>
          <w:p>
            <w:pPr>
              <w:jc w:val="right"/>
              <w:ind w:right="21"/>
              <w:spacing w:after="0"/>
              <w:rPr>
                <w:sz w:val="20"/>
                <w:szCs w:val="20"/>
                <w:color w:val="auto"/>
              </w:rPr>
            </w:pPr>
            <w:r>
              <w:rPr>
                <w:rFonts w:ascii="Arial" w:cs="Arial" w:eastAsia="Arial" w:hAnsi="Arial"/>
                <w:sz w:val="12"/>
                <w:szCs w:val="12"/>
                <w:b w:val="1"/>
                <w:bCs w:val="1"/>
                <w:color w:val="auto"/>
              </w:rPr>
              <w:t>Target</w:t>
            </w:r>
          </w:p>
        </w:tc>
        <w:tc>
          <w:tcPr>
            <w:tcW w:w="900" w:type="dxa"/>
            <w:vAlign w:val="bottom"/>
          </w:tcPr>
          <w:p>
            <w:pPr>
              <w:jc w:val="right"/>
              <w:ind w:right="21"/>
              <w:spacing w:after="0"/>
              <w:rPr>
                <w:sz w:val="20"/>
                <w:szCs w:val="20"/>
                <w:color w:val="auto"/>
              </w:rPr>
            </w:pPr>
            <w:r>
              <w:rPr>
                <w:rFonts w:ascii="Arial" w:cs="Arial" w:eastAsia="Arial" w:hAnsi="Arial"/>
                <w:sz w:val="12"/>
                <w:szCs w:val="12"/>
                <w:b w:val="1"/>
                <w:bCs w:val="1"/>
                <w:color w:val="auto"/>
              </w:rPr>
              <w:t>(2.0X Target)</w:t>
            </w:r>
          </w:p>
        </w:tc>
        <w:tc>
          <w:tcPr>
            <w:tcW w:w="900" w:type="dxa"/>
            <w:vAlign w:val="bottom"/>
          </w:tcPr>
          <w:p>
            <w:pPr>
              <w:jc w:val="right"/>
              <w:ind w:right="41"/>
              <w:spacing w:after="0"/>
              <w:rPr>
                <w:sz w:val="20"/>
                <w:szCs w:val="20"/>
                <w:color w:val="auto"/>
              </w:rPr>
            </w:pPr>
            <w:r>
              <w:rPr>
                <w:rFonts w:ascii="Arial" w:cs="Arial" w:eastAsia="Arial" w:hAnsi="Arial"/>
                <w:sz w:val="12"/>
                <w:szCs w:val="12"/>
                <w:b w:val="1"/>
                <w:bCs w:val="1"/>
                <w:color w:val="auto"/>
              </w:rPr>
              <w:t>(0.5x Target)</w:t>
            </w:r>
          </w:p>
        </w:tc>
        <w:tc>
          <w:tcPr>
            <w:tcW w:w="560" w:type="dxa"/>
            <w:vAlign w:val="bottom"/>
          </w:tcPr>
          <w:p>
            <w:pPr>
              <w:jc w:val="center"/>
              <w:ind w:right="41"/>
              <w:spacing w:after="0"/>
              <w:rPr>
                <w:sz w:val="20"/>
                <w:szCs w:val="20"/>
                <w:color w:val="auto"/>
              </w:rPr>
            </w:pPr>
            <w:r>
              <w:rPr>
                <w:rFonts w:ascii="Arial" w:cs="Arial" w:eastAsia="Arial" w:hAnsi="Arial"/>
                <w:sz w:val="12"/>
                <w:szCs w:val="12"/>
                <w:b w:val="1"/>
                <w:bCs w:val="1"/>
                <w:color w:val="auto"/>
                <w:w w:val="92"/>
              </w:rPr>
              <w:t>Target</w:t>
            </w:r>
          </w:p>
        </w:tc>
        <w:tc>
          <w:tcPr>
            <w:tcW w:w="880" w:type="dxa"/>
            <w:vAlign w:val="bottom"/>
          </w:tcPr>
          <w:p>
            <w:pPr>
              <w:jc w:val="right"/>
              <w:ind w:right="21"/>
              <w:spacing w:after="0"/>
              <w:rPr>
                <w:sz w:val="20"/>
                <w:szCs w:val="20"/>
                <w:color w:val="auto"/>
              </w:rPr>
            </w:pPr>
            <w:r>
              <w:rPr>
                <w:rFonts w:ascii="Arial" w:cs="Arial" w:eastAsia="Arial" w:hAnsi="Arial"/>
                <w:sz w:val="12"/>
                <w:szCs w:val="12"/>
                <w:b w:val="1"/>
                <w:bCs w:val="1"/>
                <w:color w:val="auto"/>
              </w:rPr>
              <w:t>(2.0x Target)</w:t>
            </w:r>
          </w:p>
        </w:tc>
        <w:tc>
          <w:tcPr>
            <w:tcW w:w="800" w:type="dxa"/>
            <w:vAlign w:val="bottom"/>
          </w:tcPr>
          <w:p>
            <w:pPr>
              <w:jc w:val="right"/>
              <w:ind w:right="41"/>
              <w:spacing w:after="0"/>
              <w:rPr>
                <w:sz w:val="20"/>
                <w:szCs w:val="20"/>
                <w:color w:val="auto"/>
              </w:rPr>
            </w:pPr>
            <w:r>
              <w:rPr>
                <w:rFonts w:ascii="Arial" w:cs="Arial" w:eastAsia="Arial" w:hAnsi="Arial"/>
                <w:sz w:val="12"/>
                <w:szCs w:val="12"/>
                <w:b w:val="1"/>
                <w:bCs w:val="1"/>
                <w:color w:val="auto"/>
              </w:rPr>
              <w:t>of stock</w:t>
            </w:r>
            <w:r>
              <w:rPr>
                <w:rFonts w:ascii="Arial" w:cs="Arial" w:eastAsia="Arial" w:hAnsi="Arial"/>
                <w:sz w:val="7"/>
                <w:szCs w:val="7"/>
                <w:b w:val="1"/>
                <w:bCs w:val="1"/>
                <w:color w:val="auto"/>
              </w:rPr>
              <w:t>3</w:t>
            </w:r>
          </w:p>
        </w:tc>
        <w:tc>
          <w:tcPr>
            <w:tcW w:w="1000" w:type="dxa"/>
            <w:vAlign w:val="bottom"/>
          </w:tcPr>
          <w:p>
            <w:pPr>
              <w:jc w:val="right"/>
              <w:ind w:right="21"/>
              <w:spacing w:after="0"/>
              <w:rPr>
                <w:sz w:val="20"/>
                <w:szCs w:val="20"/>
                <w:color w:val="auto"/>
              </w:rPr>
            </w:pPr>
            <w:r>
              <w:rPr>
                <w:rFonts w:ascii="Arial" w:cs="Arial" w:eastAsia="Arial" w:hAnsi="Arial"/>
                <w:sz w:val="12"/>
                <w:szCs w:val="12"/>
                <w:b w:val="1"/>
                <w:bCs w:val="1"/>
                <w:color w:val="auto"/>
              </w:rPr>
              <w:t>options</w:t>
            </w:r>
          </w:p>
        </w:tc>
        <w:tc>
          <w:tcPr>
            <w:tcW w:w="780" w:type="dxa"/>
            <w:vAlign w:val="bottom"/>
          </w:tcPr>
          <w:p>
            <w:pPr>
              <w:jc w:val="right"/>
              <w:ind w:right="21"/>
              <w:spacing w:after="0"/>
              <w:rPr>
                <w:sz w:val="20"/>
                <w:szCs w:val="20"/>
                <w:color w:val="auto"/>
              </w:rPr>
            </w:pPr>
            <w:r>
              <w:rPr>
                <w:rFonts w:ascii="Arial" w:cs="Arial" w:eastAsia="Arial" w:hAnsi="Arial"/>
                <w:sz w:val="12"/>
                <w:szCs w:val="12"/>
                <w:b w:val="1"/>
                <w:bCs w:val="1"/>
                <w:color w:val="auto"/>
              </w:rPr>
              <w:t>awards</w:t>
            </w:r>
          </w:p>
        </w:tc>
        <w:tc>
          <w:tcPr>
            <w:tcW w:w="780" w:type="dxa"/>
            <w:vAlign w:val="bottom"/>
          </w:tcPr>
          <w:p>
            <w:pPr>
              <w:jc w:val="right"/>
              <w:ind w:right="21"/>
              <w:spacing w:after="0"/>
              <w:rPr>
                <w:sz w:val="20"/>
                <w:szCs w:val="20"/>
                <w:color w:val="auto"/>
              </w:rPr>
            </w:pPr>
            <w:r>
              <w:rPr>
                <w:rFonts w:ascii="Arial" w:cs="Arial" w:eastAsia="Arial" w:hAnsi="Arial"/>
                <w:sz w:val="12"/>
                <w:szCs w:val="12"/>
                <w:b w:val="1"/>
                <w:bCs w:val="1"/>
                <w:color w:val="auto"/>
              </w:rPr>
              <w:t>awards</w:t>
            </w:r>
            <w:r>
              <w:rPr>
                <w:rFonts w:ascii="Arial" w:cs="Arial" w:eastAsia="Arial" w:hAnsi="Arial"/>
                <w:sz w:val="7"/>
                <w:szCs w:val="7"/>
                <w:b w:val="1"/>
                <w:bCs w:val="1"/>
                <w:color w:val="auto"/>
              </w:rPr>
              <w:t>4</w:t>
            </w:r>
          </w:p>
        </w:tc>
        <w:tc>
          <w:tcPr>
            <w:tcW w:w="0" w:type="dxa"/>
            <w:vAlign w:val="bottom"/>
          </w:tcPr>
          <w:p>
            <w:pPr>
              <w:spacing w:after="0"/>
              <w:rPr>
                <w:sz w:val="1"/>
                <w:szCs w:val="1"/>
                <w:color w:val="auto"/>
              </w:rPr>
            </w:pPr>
          </w:p>
        </w:tc>
      </w:tr>
      <w:tr>
        <w:trPr>
          <w:trHeight w:val="57"/>
        </w:trPr>
        <w:tc>
          <w:tcPr>
            <w:tcW w:w="1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Bryan H.</w:t>
            </w:r>
          </w:p>
        </w:tc>
        <w:tc>
          <w:tcPr>
            <w:tcW w:w="102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11/14/2023</w:t>
            </w:r>
          </w:p>
        </w:tc>
        <w:tc>
          <w:tcPr>
            <w:tcW w:w="10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  226,500</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$ 755,000</w:t>
            </w:r>
          </w:p>
        </w:tc>
        <w:tc>
          <w:tcPr>
            <w:tcW w:w="9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$ 1,510,000</w:t>
            </w:r>
          </w:p>
        </w:tc>
        <w:tc>
          <w:tcPr>
            <w:tcW w:w="9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5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8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8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10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180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Sayler</w:t>
            </w:r>
          </w:p>
        </w:tc>
        <w:tc>
          <w:tcPr>
            <w:tcW w:w="102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11/14/2023</w:t>
            </w:r>
          </w:p>
        </w:tc>
        <w:tc>
          <w:tcPr>
            <w:tcW w:w="10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9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9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3,814</w:t>
            </w:r>
          </w:p>
        </w:tc>
        <w:tc>
          <w:tcPr>
            <w:tcW w:w="5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7,627</w:t>
            </w:r>
          </w:p>
        </w:tc>
        <w:tc>
          <w:tcPr>
            <w:tcW w:w="8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15,254</w:t>
            </w:r>
          </w:p>
        </w:tc>
        <w:tc>
          <w:tcPr>
            <w:tcW w:w="8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10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$ 847,817</w:t>
            </w:r>
          </w:p>
        </w:tc>
        <w:tc>
          <w:tcPr>
            <w:tcW w:w="0" w:type="dxa"/>
            <w:vAlign w:val="bottom"/>
          </w:tcPr>
          <w:p>
            <w:pPr>
              <w:spacing w:after="0"/>
              <w:rPr>
                <w:sz w:val="1"/>
                <w:szCs w:val="1"/>
                <w:color w:val="auto"/>
              </w:rPr>
            </w:pPr>
          </w:p>
        </w:tc>
      </w:tr>
      <w:tr>
        <w:trPr>
          <w:trHeight w:val="171"/>
        </w:trPr>
        <w:tc>
          <w:tcPr>
            <w:tcW w:w="1800" w:type="dxa"/>
            <w:vAlign w:val="bottom"/>
            <w:shd w:val="clear" w:color="auto" w:fill="F3F3F4"/>
          </w:tcPr>
          <w:p>
            <w:pPr>
              <w:spacing w:after="0"/>
              <w:rPr>
                <w:sz w:val="14"/>
                <w:szCs w:val="14"/>
                <w:color w:val="auto"/>
              </w:rPr>
            </w:pPr>
          </w:p>
        </w:tc>
        <w:tc>
          <w:tcPr>
            <w:tcW w:w="102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11/14/2023</w:t>
            </w:r>
          </w:p>
        </w:tc>
        <w:tc>
          <w:tcPr>
            <w:tcW w:w="10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9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9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5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8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8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7,627</w:t>
            </w:r>
          </w:p>
        </w:tc>
        <w:tc>
          <w:tcPr>
            <w:tcW w:w="10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803,733</w:t>
            </w:r>
          </w:p>
        </w:tc>
        <w:tc>
          <w:tcPr>
            <w:tcW w:w="0" w:type="dxa"/>
            <w:vAlign w:val="bottom"/>
          </w:tcPr>
          <w:p>
            <w:pPr>
              <w:spacing w:after="0"/>
              <w:rPr>
                <w:sz w:val="1"/>
                <w:szCs w:val="1"/>
                <w:color w:val="auto"/>
              </w:rPr>
            </w:pPr>
          </w:p>
        </w:tc>
      </w:tr>
      <w:tr>
        <w:trPr>
          <w:trHeight w:val="113"/>
        </w:trPr>
        <w:tc>
          <w:tcPr>
            <w:tcW w:w="1800" w:type="dxa"/>
            <w:vAlign w:val="bottom"/>
            <w:tcBorders>
              <w:bottom w:val="single" w:sz="8" w:color="808080"/>
            </w:tcBorders>
            <w:shd w:val="clear" w:color="auto" w:fill="F3F3F4"/>
          </w:tcPr>
          <w:p>
            <w:pPr>
              <w:spacing w:after="0"/>
              <w:rPr>
                <w:sz w:val="9"/>
                <w:szCs w:val="9"/>
                <w:color w:val="auto"/>
              </w:rPr>
            </w:pPr>
          </w:p>
        </w:tc>
        <w:tc>
          <w:tcPr>
            <w:tcW w:w="1020" w:type="dxa"/>
            <w:vAlign w:val="bottom"/>
            <w:tcBorders>
              <w:bottom w:val="single" w:sz="8" w:color="808080"/>
            </w:tcBorders>
            <w:shd w:val="clear" w:color="auto" w:fill="F3F3F4"/>
          </w:tcPr>
          <w:p>
            <w:pPr>
              <w:spacing w:after="0"/>
              <w:rPr>
                <w:sz w:val="9"/>
                <w:szCs w:val="9"/>
                <w:color w:val="auto"/>
              </w:rPr>
            </w:pPr>
          </w:p>
        </w:tc>
        <w:tc>
          <w:tcPr>
            <w:tcW w:w="1040" w:type="dxa"/>
            <w:vAlign w:val="bottom"/>
            <w:tcBorders>
              <w:bottom w:val="single" w:sz="8" w:color="808080"/>
            </w:tcBorders>
            <w:shd w:val="clear" w:color="auto" w:fill="F3F3F4"/>
          </w:tcPr>
          <w:p>
            <w:pPr>
              <w:spacing w:after="0"/>
              <w:rPr>
                <w:sz w:val="9"/>
                <w:szCs w:val="9"/>
                <w:color w:val="auto"/>
              </w:rPr>
            </w:pPr>
          </w:p>
        </w:tc>
        <w:tc>
          <w:tcPr>
            <w:tcW w:w="780" w:type="dxa"/>
            <w:vAlign w:val="bottom"/>
            <w:tcBorders>
              <w:bottom w:val="single" w:sz="8" w:color="808080"/>
            </w:tcBorders>
            <w:shd w:val="clear" w:color="auto" w:fill="F3F3F4"/>
          </w:tcPr>
          <w:p>
            <w:pPr>
              <w:spacing w:after="0"/>
              <w:rPr>
                <w:sz w:val="9"/>
                <w:szCs w:val="9"/>
                <w:color w:val="auto"/>
              </w:rPr>
            </w:pPr>
          </w:p>
        </w:tc>
        <w:tc>
          <w:tcPr>
            <w:tcW w:w="900" w:type="dxa"/>
            <w:vAlign w:val="bottom"/>
            <w:tcBorders>
              <w:bottom w:val="single" w:sz="8" w:color="808080"/>
            </w:tcBorders>
            <w:shd w:val="clear" w:color="auto" w:fill="F3F3F4"/>
          </w:tcPr>
          <w:p>
            <w:pPr>
              <w:spacing w:after="0"/>
              <w:rPr>
                <w:sz w:val="9"/>
                <w:szCs w:val="9"/>
                <w:color w:val="auto"/>
              </w:rPr>
            </w:pPr>
          </w:p>
        </w:tc>
        <w:tc>
          <w:tcPr>
            <w:tcW w:w="900" w:type="dxa"/>
            <w:vAlign w:val="bottom"/>
            <w:tcBorders>
              <w:bottom w:val="single" w:sz="8" w:color="808080"/>
            </w:tcBorders>
            <w:shd w:val="clear" w:color="auto" w:fill="F3F3F4"/>
          </w:tcPr>
          <w:p>
            <w:pPr>
              <w:spacing w:after="0"/>
              <w:rPr>
                <w:sz w:val="9"/>
                <w:szCs w:val="9"/>
                <w:color w:val="auto"/>
              </w:rPr>
            </w:pPr>
          </w:p>
        </w:tc>
        <w:tc>
          <w:tcPr>
            <w:tcW w:w="560" w:type="dxa"/>
            <w:vAlign w:val="bottom"/>
            <w:tcBorders>
              <w:bottom w:val="single" w:sz="8" w:color="808080"/>
            </w:tcBorders>
            <w:shd w:val="clear" w:color="auto" w:fill="F3F3F4"/>
          </w:tcPr>
          <w:p>
            <w:pPr>
              <w:spacing w:after="0"/>
              <w:rPr>
                <w:sz w:val="9"/>
                <w:szCs w:val="9"/>
                <w:color w:val="auto"/>
              </w:rPr>
            </w:pPr>
          </w:p>
        </w:tc>
        <w:tc>
          <w:tcPr>
            <w:tcW w:w="880" w:type="dxa"/>
            <w:vAlign w:val="bottom"/>
            <w:tcBorders>
              <w:bottom w:val="single" w:sz="8" w:color="808080"/>
            </w:tcBorders>
            <w:shd w:val="clear" w:color="auto" w:fill="F3F3F4"/>
          </w:tcPr>
          <w:p>
            <w:pPr>
              <w:spacing w:after="0"/>
              <w:rPr>
                <w:sz w:val="9"/>
                <w:szCs w:val="9"/>
                <w:color w:val="auto"/>
              </w:rPr>
            </w:pPr>
          </w:p>
        </w:tc>
        <w:tc>
          <w:tcPr>
            <w:tcW w:w="800" w:type="dxa"/>
            <w:vAlign w:val="bottom"/>
            <w:tcBorders>
              <w:bottom w:val="single" w:sz="8" w:color="808080"/>
            </w:tcBorders>
            <w:shd w:val="clear" w:color="auto" w:fill="F3F3F4"/>
          </w:tcPr>
          <w:p>
            <w:pPr>
              <w:spacing w:after="0"/>
              <w:rPr>
                <w:sz w:val="9"/>
                <w:szCs w:val="9"/>
                <w:color w:val="auto"/>
              </w:rPr>
            </w:pPr>
          </w:p>
        </w:tc>
        <w:tc>
          <w:tcPr>
            <w:tcW w:w="1000" w:type="dxa"/>
            <w:vAlign w:val="bottom"/>
            <w:tcBorders>
              <w:bottom w:val="single" w:sz="8" w:color="808080"/>
            </w:tcBorders>
            <w:shd w:val="clear" w:color="auto" w:fill="F3F3F4"/>
          </w:tcPr>
          <w:p>
            <w:pPr>
              <w:spacing w:after="0"/>
              <w:rPr>
                <w:sz w:val="9"/>
                <w:szCs w:val="9"/>
                <w:color w:val="auto"/>
              </w:rPr>
            </w:pPr>
          </w:p>
        </w:tc>
        <w:tc>
          <w:tcPr>
            <w:tcW w:w="780" w:type="dxa"/>
            <w:vAlign w:val="bottom"/>
            <w:tcBorders>
              <w:bottom w:val="single" w:sz="8" w:color="808080"/>
            </w:tcBorders>
            <w:shd w:val="clear" w:color="auto" w:fill="F3F3F4"/>
          </w:tcPr>
          <w:p>
            <w:pPr>
              <w:spacing w:after="0"/>
              <w:rPr>
                <w:sz w:val="9"/>
                <w:szCs w:val="9"/>
                <w:color w:val="auto"/>
              </w:rPr>
            </w:pPr>
          </w:p>
        </w:tc>
        <w:tc>
          <w:tcPr>
            <w:tcW w:w="780" w:type="dxa"/>
            <w:vAlign w:val="bottom"/>
            <w:tcBorders>
              <w:bottom w:val="single" w:sz="8" w:color="808080"/>
            </w:tcBorders>
            <w:shd w:val="clear" w:color="auto" w:fill="F3F3F4"/>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Christopher</w:t>
            </w:r>
          </w:p>
        </w:tc>
        <w:tc>
          <w:tcPr>
            <w:tcW w:w="102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11/14/2023</w:t>
            </w:r>
          </w:p>
        </w:tc>
        <w:tc>
          <w:tcPr>
            <w:tcW w:w="10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  116,700</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$ 389,000</w:t>
            </w:r>
          </w:p>
        </w:tc>
        <w:tc>
          <w:tcPr>
            <w:tcW w:w="9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     778,000</w:t>
            </w:r>
          </w:p>
        </w:tc>
        <w:tc>
          <w:tcPr>
            <w:tcW w:w="9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5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8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8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10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180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L. Tucker</w:t>
            </w:r>
          </w:p>
        </w:tc>
        <w:tc>
          <w:tcPr>
            <w:tcW w:w="102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11/14/2023</w:t>
            </w:r>
          </w:p>
        </w:tc>
        <w:tc>
          <w:tcPr>
            <w:tcW w:w="10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9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9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1,512</w:t>
            </w:r>
          </w:p>
        </w:tc>
        <w:tc>
          <w:tcPr>
            <w:tcW w:w="5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3,023</w:t>
            </w:r>
          </w:p>
        </w:tc>
        <w:tc>
          <w:tcPr>
            <w:tcW w:w="8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6,046</w:t>
            </w:r>
          </w:p>
        </w:tc>
        <w:tc>
          <w:tcPr>
            <w:tcW w:w="8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10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$ 336,037</w:t>
            </w:r>
          </w:p>
        </w:tc>
        <w:tc>
          <w:tcPr>
            <w:tcW w:w="0" w:type="dxa"/>
            <w:vAlign w:val="bottom"/>
          </w:tcPr>
          <w:p>
            <w:pPr>
              <w:spacing w:after="0"/>
              <w:rPr>
                <w:sz w:val="1"/>
                <w:szCs w:val="1"/>
                <w:color w:val="auto"/>
              </w:rPr>
            </w:pPr>
          </w:p>
        </w:tc>
      </w:tr>
      <w:tr>
        <w:trPr>
          <w:trHeight w:val="171"/>
        </w:trPr>
        <w:tc>
          <w:tcPr>
            <w:tcW w:w="1800" w:type="dxa"/>
            <w:vAlign w:val="bottom"/>
            <w:shd w:val="clear" w:color="auto" w:fill="F3F3F4"/>
          </w:tcPr>
          <w:p>
            <w:pPr>
              <w:spacing w:after="0"/>
              <w:rPr>
                <w:sz w:val="14"/>
                <w:szCs w:val="14"/>
                <w:color w:val="auto"/>
              </w:rPr>
            </w:pPr>
          </w:p>
        </w:tc>
        <w:tc>
          <w:tcPr>
            <w:tcW w:w="102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11/14/2023</w:t>
            </w:r>
          </w:p>
        </w:tc>
        <w:tc>
          <w:tcPr>
            <w:tcW w:w="10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9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9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5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8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8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3,023</w:t>
            </w:r>
          </w:p>
        </w:tc>
        <w:tc>
          <w:tcPr>
            <w:tcW w:w="10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318,564</w:t>
            </w:r>
          </w:p>
        </w:tc>
        <w:tc>
          <w:tcPr>
            <w:tcW w:w="0" w:type="dxa"/>
            <w:vAlign w:val="bottom"/>
          </w:tcPr>
          <w:p>
            <w:pPr>
              <w:spacing w:after="0"/>
              <w:rPr>
                <w:sz w:val="1"/>
                <w:szCs w:val="1"/>
                <w:color w:val="auto"/>
              </w:rPr>
            </w:pPr>
          </w:p>
        </w:tc>
      </w:tr>
      <w:tr>
        <w:trPr>
          <w:trHeight w:val="113"/>
        </w:trPr>
        <w:tc>
          <w:tcPr>
            <w:tcW w:w="1800" w:type="dxa"/>
            <w:vAlign w:val="bottom"/>
            <w:tcBorders>
              <w:bottom w:val="single" w:sz="8" w:color="808080"/>
            </w:tcBorders>
            <w:shd w:val="clear" w:color="auto" w:fill="F3F3F4"/>
          </w:tcPr>
          <w:p>
            <w:pPr>
              <w:spacing w:after="0"/>
              <w:rPr>
                <w:sz w:val="9"/>
                <w:szCs w:val="9"/>
                <w:color w:val="auto"/>
              </w:rPr>
            </w:pPr>
          </w:p>
        </w:tc>
        <w:tc>
          <w:tcPr>
            <w:tcW w:w="1020" w:type="dxa"/>
            <w:vAlign w:val="bottom"/>
            <w:tcBorders>
              <w:bottom w:val="single" w:sz="8" w:color="808080"/>
            </w:tcBorders>
            <w:shd w:val="clear" w:color="auto" w:fill="F3F3F4"/>
          </w:tcPr>
          <w:p>
            <w:pPr>
              <w:spacing w:after="0"/>
              <w:rPr>
                <w:sz w:val="9"/>
                <w:szCs w:val="9"/>
                <w:color w:val="auto"/>
              </w:rPr>
            </w:pPr>
          </w:p>
        </w:tc>
        <w:tc>
          <w:tcPr>
            <w:tcW w:w="1040" w:type="dxa"/>
            <w:vAlign w:val="bottom"/>
            <w:tcBorders>
              <w:bottom w:val="single" w:sz="8" w:color="808080"/>
            </w:tcBorders>
            <w:shd w:val="clear" w:color="auto" w:fill="F3F3F4"/>
          </w:tcPr>
          <w:p>
            <w:pPr>
              <w:spacing w:after="0"/>
              <w:rPr>
                <w:sz w:val="9"/>
                <w:szCs w:val="9"/>
                <w:color w:val="auto"/>
              </w:rPr>
            </w:pPr>
          </w:p>
        </w:tc>
        <w:tc>
          <w:tcPr>
            <w:tcW w:w="780" w:type="dxa"/>
            <w:vAlign w:val="bottom"/>
            <w:tcBorders>
              <w:bottom w:val="single" w:sz="8" w:color="808080"/>
            </w:tcBorders>
            <w:shd w:val="clear" w:color="auto" w:fill="F3F3F4"/>
          </w:tcPr>
          <w:p>
            <w:pPr>
              <w:spacing w:after="0"/>
              <w:rPr>
                <w:sz w:val="9"/>
                <w:szCs w:val="9"/>
                <w:color w:val="auto"/>
              </w:rPr>
            </w:pPr>
          </w:p>
        </w:tc>
        <w:tc>
          <w:tcPr>
            <w:tcW w:w="900" w:type="dxa"/>
            <w:vAlign w:val="bottom"/>
            <w:tcBorders>
              <w:bottom w:val="single" w:sz="8" w:color="808080"/>
            </w:tcBorders>
            <w:shd w:val="clear" w:color="auto" w:fill="F3F3F4"/>
          </w:tcPr>
          <w:p>
            <w:pPr>
              <w:spacing w:after="0"/>
              <w:rPr>
                <w:sz w:val="9"/>
                <w:szCs w:val="9"/>
                <w:color w:val="auto"/>
              </w:rPr>
            </w:pPr>
          </w:p>
        </w:tc>
        <w:tc>
          <w:tcPr>
            <w:tcW w:w="900" w:type="dxa"/>
            <w:vAlign w:val="bottom"/>
            <w:tcBorders>
              <w:bottom w:val="single" w:sz="8" w:color="808080"/>
            </w:tcBorders>
            <w:shd w:val="clear" w:color="auto" w:fill="F3F3F4"/>
          </w:tcPr>
          <w:p>
            <w:pPr>
              <w:spacing w:after="0"/>
              <w:rPr>
                <w:sz w:val="9"/>
                <w:szCs w:val="9"/>
                <w:color w:val="auto"/>
              </w:rPr>
            </w:pPr>
          </w:p>
        </w:tc>
        <w:tc>
          <w:tcPr>
            <w:tcW w:w="560" w:type="dxa"/>
            <w:vAlign w:val="bottom"/>
            <w:tcBorders>
              <w:bottom w:val="single" w:sz="8" w:color="808080"/>
            </w:tcBorders>
            <w:shd w:val="clear" w:color="auto" w:fill="F3F3F4"/>
          </w:tcPr>
          <w:p>
            <w:pPr>
              <w:spacing w:after="0"/>
              <w:rPr>
                <w:sz w:val="9"/>
                <w:szCs w:val="9"/>
                <w:color w:val="auto"/>
              </w:rPr>
            </w:pPr>
          </w:p>
        </w:tc>
        <w:tc>
          <w:tcPr>
            <w:tcW w:w="880" w:type="dxa"/>
            <w:vAlign w:val="bottom"/>
            <w:tcBorders>
              <w:bottom w:val="single" w:sz="8" w:color="808080"/>
            </w:tcBorders>
            <w:shd w:val="clear" w:color="auto" w:fill="F3F3F4"/>
          </w:tcPr>
          <w:p>
            <w:pPr>
              <w:spacing w:after="0"/>
              <w:rPr>
                <w:sz w:val="9"/>
                <w:szCs w:val="9"/>
                <w:color w:val="auto"/>
              </w:rPr>
            </w:pPr>
          </w:p>
        </w:tc>
        <w:tc>
          <w:tcPr>
            <w:tcW w:w="800" w:type="dxa"/>
            <w:vAlign w:val="bottom"/>
            <w:tcBorders>
              <w:bottom w:val="single" w:sz="8" w:color="808080"/>
            </w:tcBorders>
            <w:shd w:val="clear" w:color="auto" w:fill="F3F3F4"/>
          </w:tcPr>
          <w:p>
            <w:pPr>
              <w:spacing w:after="0"/>
              <w:rPr>
                <w:sz w:val="9"/>
                <w:szCs w:val="9"/>
                <w:color w:val="auto"/>
              </w:rPr>
            </w:pPr>
          </w:p>
        </w:tc>
        <w:tc>
          <w:tcPr>
            <w:tcW w:w="1000" w:type="dxa"/>
            <w:vAlign w:val="bottom"/>
            <w:tcBorders>
              <w:bottom w:val="single" w:sz="8" w:color="808080"/>
            </w:tcBorders>
            <w:shd w:val="clear" w:color="auto" w:fill="F3F3F4"/>
          </w:tcPr>
          <w:p>
            <w:pPr>
              <w:spacing w:after="0"/>
              <w:rPr>
                <w:sz w:val="9"/>
                <w:szCs w:val="9"/>
                <w:color w:val="auto"/>
              </w:rPr>
            </w:pPr>
          </w:p>
        </w:tc>
        <w:tc>
          <w:tcPr>
            <w:tcW w:w="780" w:type="dxa"/>
            <w:vAlign w:val="bottom"/>
            <w:tcBorders>
              <w:bottom w:val="single" w:sz="8" w:color="808080"/>
            </w:tcBorders>
            <w:shd w:val="clear" w:color="auto" w:fill="F3F3F4"/>
          </w:tcPr>
          <w:p>
            <w:pPr>
              <w:spacing w:after="0"/>
              <w:rPr>
                <w:sz w:val="9"/>
                <w:szCs w:val="9"/>
                <w:color w:val="auto"/>
              </w:rPr>
            </w:pPr>
          </w:p>
        </w:tc>
        <w:tc>
          <w:tcPr>
            <w:tcW w:w="780" w:type="dxa"/>
            <w:vAlign w:val="bottom"/>
            <w:tcBorders>
              <w:bottom w:val="single" w:sz="8" w:color="808080"/>
            </w:tcBorders>
            <w:shd w:val="clear" w:color="auto" w:fill="F3F3F4"/>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David M.</w:t>
            </w:r>
          </w:p>
        </w:tc>
        <w:tc>
          <w:tcPr>
            <w:tcW w:w="102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11/14/2023</w:t>
            </w:r>
          </w:p>
        </w:tc>
        <w:tc>
          <w:tcPr>
            <w:tcW w:w="10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    60,870</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$ 202,900</w:t>
            </w:r>
          </w:p>
        </w:tc>
        <w:tc>
          <w:tcPr>
            <w:tcW w:w="9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     405,800</w:t>
            </w:r>
          </w:p>
        </w:tc>
        <w:tc>
          <w:tcPr>
            <w:tcW w:w="9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5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8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8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10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7"/>
        </w:trPr>
        <w:tc>
          <w:tcPr>
            <w:tcW w:w="180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Schatz</w:t>
            </w:r>
          </w:p>
        </w:tc>
        <w:tc>
          <w:tcPr>
            <w:tcW w:w="102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11/14/2023</w:t>
            </w:r>
          </w:p>
        </w:tc>
        <w:tc>
          <w:tcPr>
            <w:tcW w:w="10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9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9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769</w:t>
            </w:r>
          </w:p>
        </w:tc>
        <w:tc>
          <w:tcPr>
            <w:tcW w:w="5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1,538</w:t>
            </w:r>
          </w:p>
        </w:tc>
        <w:tc>
          <w:tcPr>
            <w:tcW w:w="8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3,076</w:t>
            </w:r>
          </w:p>
        </w:tc>
        <w:tc>
          <w:tcPr>
            <w:tcW w:w="8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10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$ 170,964</w:t>
            </w:r>
          </w:p>
        </w:tc>
        <w:tc>
          <w:tcPr>
            <w:tcW w:w="0" w:type="dxa"/>
            <w:vAlign w:val="bottom"/>
          </w:tcPr>
          <w:p>
            <w:pPr>
              <w:spacing w:after="0"/>
              <w:rPr>
                <w:sz w:val="1"/>
                <w:szCs w:val="1"/>
                <w:color w:val="auto"/>
              </w:rPr>
            </w:pPr>
          </w:p>
        </w:tc>
      </w:tr>
      <w:tr>
        <w:trPr>
          <w:trHeight w:val="171"/>
        </w:trPr>
        <w:tc>
          <w:tcPr>
            <w:tcW w:w="1800" w:type="dxa"/>
            <w:vAlign w:val="bottom"/>
            <w:shd w:val="clear" w:color="auto" w:fill="F3F3F4"/>
          </w:tcPr>
          <w:p>
            <w:pPr>
              <w:spacing w:after="0"/>
              <w:rPr>
                <w:sz w:val="14"/>
                <w:szCs w:val="14"/>
                <w:color w:val="auto"/>
              </w:rPr>
            </w:pPr>
          </w:p>
        </w:tc>
        <w:tc>
          <w:tcPr>
            <w:tcW w:w="102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11/14/2023</w:t>
            </w:r>
          </w:p>
        </w:tc>
        <w:tc>
          <w:tcPr>
            <w:tcW w:w="10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9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9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5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w:t>
            </w:r>
          </w:p>
        </w:tc>
        <w:tc>
          <w:tcPr>
            <w:tcW w:w="8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80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1,538</w:t>
            </w:r>
          </w:p>
        </w:tc>
        <w:tc>
          <w:tcPr>
            <w:tcW w:w="100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shd w:val="clear" w:color="auto" w:fill="F3F3F4"/>
          </w:tcPr>
          <w:p>
            <w:pPr>
              <w:jc w:val="right"/>
              <w:ind w:right="21"/>
              <w:spacing w:after="0"/>
              <w:rPr>
                <w:sz w:val="20"/>
                <w:szCs w:val="20"/>
                <w:color w:val="auto"/>
              </w:rPr>
            </w:pPr>
            <w:r>
              <w:rPr>
                <w:rFonts w:ascii="Arial" w:cs="Arial" w:eastAsia="Arial" w:hAnsi="Arial"/>
                <w:sz w:val="12"/>
                <w:szCs w:val="12"/>
                <w:color w:val="auto"/>
              </w:rPr>
              <w:t>162,074</w:t>
            </w:r>
          </w:p>
        </w:tc>
        <w:tc>
          <w:tcPr>
            <w:tcW w:w="0" w:type="dxa"/>
            <w:vAlign w:val="bottom"/>
          </w:tcPr>
          <w:p>
            <w:pPr>
              <w:spacing w:after="0"/>
              <w:rPr>
                <w:sz w:val="1"/>
                <w:szCs w:val="1"/>
                <w:color w:val="auto"/>
              </w:rPr>
            </w:pPr>
          </w:p>
        </w:tc>
      </w:tr>
      <w:tr>
        <w:trPr>
          <w:trHeight w:val="113"/>
        </w:trPr>
        <w:tc>
          <w:tcPr>
            <w:tcW w:w="1800" w:type="dxa"/>
            <w:vAlign w:val="bottom"/>
            <w:tcBorders>
              <w:bottom w:val="single" w:sz="8" w:color="808080"/>
            </w:tcBorders>
            <w:shd w:val="clear" w:color="auto" w:fill="F3F3F4"/>
          </w:tcPr>
          <w:p>
            <w:pPr>
              <w:spacing w:after="0"/>
              <w:rPr>
                <w:sz w:val="9"/>
                <w:szCs w:val="9"/>
                <w:color w:val="auto"/>
              </w:rPr>
            </w:pPr>
          </w:p>
        </w:tc>
        <w:tc>
          <w:tcPr>
            <w:tcW w:w="1020" w:type="dxa"/>
            <w:vAlign w:val="bottom"/>
            <w:tcBorders>
              <w:bottom w:val="single" w:sz="8" w:color="808080"/>
            </w:tcBorders>
            <w:shd w:val="clear" w:color="auto" w:fill="F3F3F4"/>
          </w:tcPr>
          <w:p>
            <w:pPr>
              <w:spacing w:after="0"/>
              <w:rPr>
                <w:sz w:val="9"/>
                <w:szCs w:val="9"/>
                <w:color w:val="auto"/>
              </w:rPr>
            </w:pPr>
          </w:p>
        </w:tc>
        <w:tc>
          <w:tcPr>
            <w:tcW w:w="1040" w:type="dxa"/>
            <w:vAlign w:val="bottom"/>
            <w:tcBorders>
              <w:bottom w:val="single" w:sz="8" w:color="808080"/>
            </w:tcBorders>
            <w:shd w:val="clear" w:color="auto" w:fill="F3F3F4"/>
          </w:tcPr>
          <w:p>
            <w:pPr>
              <w:spacing w:after="0"/>
              <w:rPr>
                <w:sz w:val="9"/>
                <w:szCs w:val="9"/>
                <w:color w:val="auto"/>
              </w:rPr>
            </w:pPr>
          </w:p>
        </w:tc>
        <w:tc>
          <w:tcPr>
            <w:tcW w:w="780" w:type="dxa"/>
            <w:vAlign w:val="bottom"/>
            <w:tcBorders>
              <w:bottom w:val="single" w:sz="8" w:color="808080"/>
            </w:tcBorders>
            <w:shd w:val="clear" w:color="auto" w:fill="F3F3F4"/>
          </w:tcPr>
          <w:p>
            <w:pPr>
              <w:spacing w:after="0"/>
              <w:rPr>
                <w:sz w:val="9"/>
                <w:szCs w:val="9"/>
                <w:color w:val="auto"/>
              </w:rPr>
            </w:pPr>
          </w:p>
        </w:tc>
        <w:tc>
          <w:tcPr>
            <w:tcW w:w="900" w:type="dxa"/>
            <w:vAlign w:val="bottom"/>
            <w:tcBorders>
              <w:bottom w:val="single" w:sz="8" w:color="808080"/>
            </w:tcBorders>
            <w:shd w:val="clear" w:color="auto" w:fill="F3F3F4"/>
          </w:tcPr>
          <w:p>
            <w:pPr>
              <w:spacing w:after="0"/>
              <w:rPr>
                <w:sz w:val="9"/>
                <w:szCs w:val="9"/>
                <w:color w:val="auto"/>
              </w:rPr>
            </w:pPr>
          </w:p>
        </w:tc>
        <w:tc>
          <w:tcPr>
            <w:tcW w:w="900" w:type="dxa"/>
            <w:vAlign w:val="bottom"/>
            <w:tcBorders>
              <w:bottom w:val="single" w:sz="8" w:color="808080"/>
            </w:tcBorders>
            <w:shd w:val="clear" w:color="auto" w:fill="F3F3F4"/>
          </w:tcPr>
          <w:p>
            <w:pPr>
              <w:spacing w:after="0"/>
              <w:rPr>
                <w:sz w:val="9"/>
                <w:szCs w:val="9"/>
                <w:color w:val="auto"/>
              </w:rPr>
            </w:pPr>
          </w:p>
        </w:tc>
        <w:tc>
          <w:tcPr>
            <w:tcW w:w="560" w:type="dxa"/>
            <w:vAlign w:val="bottom"/>
            <w:tcBorders>
              <w:bottom w:val="single" w:sz="8" w:color="808080"/>
            </w:tcBorders>
            <w:shd w:val="clear" w:color="auto" w:fill="F3F3F4"/>
          </w:tcPr>
          <w:p>
            <w:pPr>
              <w:spacing w:after="0"/>
              <w:rPr>
                <w:sz w:val="9"/>
                <w:szCs w:val="9"/>
                <w:color w:val="auto"/>
              </w:rPr>
            </w:pPr>
          </w:p>
        </w:tc>
        <w:tc>
          <w:tcPr>
            <w:tcW w:w="880" w:type="dxa"/>
            <w:vAlign w:val="bottom"/>
            <w:tcBorders>
              <w:bottom w:val="single" w:sz="8" w:color="808080"/>
            </w:tcBorders>
            <w:shd w:val="clear" w:color="auto" w:fill="F3F3F4"/>
          </w:tcPr>
          <w:p>
            <w:pPr>
              <w:spacing w:after="0"/>
              <w:rPr>
                <w:sz w:val="9"/>
                <w:szCs w:val="9"/>
                <w:color w:val="auto"/>
              </w:rPr>
            </w:pPr>
          </w:p>
        </w:tc>
        <w:tc>
          <w:tcPr>
            <w:tcW w:w="800" w:type="dxa"/>
            <w:vAlign w:val="bottom"/>
            <w:tcBorders>
              <w:bottom w:val="single" w:sz="8" w:color="808080"/>
            </w:tcBorders>
            <w:shd w:val="clear" w:color="auto" w:fill="F3F3F4"/>
          </w:tcPr>
          <w:p>
            <w:pPr>
              <w:spacing w:after="0"/>
              <w:rPr>
                <w:sz w:val="9"/>
                <w:szCs w:val="9"/>
                <w:color w:val="auto"/>
              </w:rPr>
            </w:pPr>
          </w:p>
        </w:tc>
        <w:tc>
          <w:tcPr>
            <w:tcW w:w="1000" w:type="dxa"/>
            <w:vAlign w:val="bottom"/>
            <w:tcBorders>
              <w:bottom w:val="single" w:sz="8" w:color="808080"/>
            </w:tcBorders>
            <w:shd w:val="clear" w:color="auto" w:fill="F3F3F4"/>
          </w:tcPr>
          <w:p>
            <w:pPr>
              <w:spacing w:after="0"/>
              <w:rPr>
                <w:sz w:val="9"/>
                <w:szCs w:val="9"/>
                <w:color w:val="auto"/>
              </w:rPr>
            </w:pPr>
          </w:p>
        </w:tc>
        <w:tc>
          <w:tcPr>
            <w:tcW w:w="780" w:type="dxa"/>
            <w:vAlign w:val="bottom"/>
            <w:tcBorders>
              <w:bottom w:val="single" w:sz="8" w:color="808080"/>
            </w:tcBorders>
            <w:shd w:val="clear" w:color="auto" w:fill="F3F3F4"/>
          </w:tcPr>
          <w:p>
            <w:pPr>
              <w:spacing w:after="0"/>
              <w:rPr>
                <w:sz w:val="9"/>
                <w:szCs w:val="9"/>
                <w:color w:val="auto"/>
              </w:rPr>
            </w:pPr>
          </w:p>
        </w:tc>
        <w:tc>
          <w:tcPr>
            <w:tcW w:w="780" w:type="dxa"/>
            <w:vAlign w:val="bottom"/>
            <w:tcBorders>
              <w:bottom w:val="single" w:sz="8" w:color="808080"/>
            </w:tcBorders>
            <w:shd w:val="clear" w:color="auto" w:fill="F3F3F4"/>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220" w:right="20" w:hanging="219"/>
        <w:spacing w:after="0" w:line="236" w:lineRule="auto"/>
        <w:tabs>
          <w:tab w:leader="none" w:pos="2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 xml:space="preserve">Represent the threshold, target and maximum cash incentive opportunities awarded for fiscal 2024 under the PCP. If performance according to a specific performance measure is less than that necessary to achieve the threshold payout, the payout will be zero for that measure. Actual amounts earned were based on fiscal 2024 results and are reported in the column captioned </w:t>
      </w:r>
      <w:r>
        <w:rPr>
          <w:rFonts w:ascii="Arial" w:cs="Arial" w:eastAsia="Arial" w:hAnsi="Arial"/>
          <w:sz w:val="13"/>
          <w:szCs w:val="13"/>
          <w:b w:val="1"/>
          <w:bCs w:val="1"/>
          <w:i w:val="1"/>
          <w:iCs w:val="1"/>
          <w:color w:val="auto"/>
        </w:rPr>
        <w:t>Non Equity</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 xml:space="preserve">Incentive Plan Compensation </w:t>
      </w:r>
      <w:r>
        <w:rPr>
          <w:rFonts w:ascii="Arial" w:cs="Arial" w:eastAsia="Arial" w:hAnsi="Arial"/>
          <w:sz w:val="13"/>
          <w:szCs w:val="13"/>
          <w:color w:val="auto"/>
        </w:rPr>
        <w:t>in the Summary Compensation Table; these amounts were paid out in fiscal 2025. For more information, see</w:t>
      </w:r>
      <w:r>
        <w:rPr>
          <w:rFonts w:ascii="Arial" w:cs="Arial" w:eastAsia="Arial" w:hAnsi="Arial"/>
          <w:sz w:val="13"/>
          <w:szCs w:val="13"/>
          <w:b w:val="1"/>
          <w:bCs w:val="1"/>
          <w:i w:val="1"/>
          <w:iCs w:val="1"/>
          <w:color w:val="auto"/>
        </w:rPr>
        <w:t xml:space="preserve"> Principal Elements of Compensation – Cash Incentive Plans </w:t>
      </w:r>
      <w:r>
        <w:rPr>
          <w:rFonts w:ascii="Arial" w:cs="Arial" w:eastAsia="Arial" w:hAnsi="Arial"/>
          <w:sz w:val="13"/>
          <w:szCs w:val="13"/>
          <w:color w:val="auto"/>
        </w:rPr>
        <w:t>in the Compensation Discussion and Analysis section.</w:t>
      </w:r>
    </w:p>
    <w:p>
      <w:pPr>
        <w:spacing w:after="0" w:line="103" w:lineRule="exact"/>
        <w:rPr>
          <w:sz w:val="20"/>
          <w:szCs w:val="20"/>
          <w:color w:val="auto"/>
        </w:rPr>
      </w:pPr>
    </w:p>
    <w:p>
      <w:pPr>
        <w:jc w:val="both"/>
        <w:ind w:left="220" w:right="20" w:hanging="219"/>
        <w:spacing w:after="0" w:line="225" w:lineRule="auto"/>
        <w:tabs>
          <w:tab w:leader="none" w:pos="2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Represent the threshold, target and maximum equity incentive opportunities for the PSUs awarded for fiscal 2024 under the Company’s Long-Term Incentive Compensation program. If performance according to a specific performance measure is less than that necessary to achieve the threshold payout, the payout will be zero for that measure. The actual incentive payout will be in shares of common stock based on Company performance over a three-year performance period and will not be determinable until after the close of the performance period. For more information, see</w:t>
      </w:r>
    </w:p>
    <w:p>
      <w:pPr>
        <w:ind w:left="240"/>
        <w:spacing w:after="0"/>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Principal Elements of Compensation – Long-Term Equity Incentive Compensation </w:t>
      </w:r>
      <w:r>
        <w:rPr>
          <w:rFonts w:ascii="Arial" w:cs="Arial" w:eastAsia="Arial" w:hAnsi="Arial"/>
          <w:sz w:val="12"/>
          <w:szCs w:val="12"/>
          <w:color w:val="auto"/>
        </w:rPr>
        <w:t>in the Compensation Discussion and Analysis section.</w:t>
      </w:r>
    </w:p>
    <w:p>
      <w:pPr>
        <w:spacing w:after="0" w:line="107" w:lineRule="exact"/>
        <w:rPr>
          <w:sz w:val="20"/>
          <w:szCs w:val="20"/>
          <w:color w:val="auto"/>
        </w:rPr>
      </w:pPr>
    </w:p>
    <w:p>
      <w:pPr>
        <w:ind w:left="220" w:right="20" w:hanging="219"/>
        <w:spacing w:after="0" w:line="259" w:lineRule="auto"/>
        <w:tabs>
          <w:tab w:leader="none" w:pos="2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 xml:space="preserve">These consist of time-vested RSUs vesting in three equal portions approximately 12, 24 and 36 months after the month in which they are granted. For more information, see </w:t>
      </w:r>
      <w:r>
        <w:rPr>
          <w:rFonts w:ascii="Arial" w:cs="Arial" w:eastAsia="Arial" w:hAnsi="Arial"/>
          <w:sz w:val="13"/>
          <w:szCs w:val="13"/>
          <w:b w:val="1"/>
          <w:bCs w:val="1"/>
          <w:i w:val="1"/>
          <w:iCs w:val="1"/>
          <w:color w:val="auto"/>
        </w:rPr>
        <w:t>Principal Elements of</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 xml:space="preserve">Compensation – Long-Term Equity Incentive Compensation </w:t>
      </w:r>
      <w:r>
        <w:rPr>
          <w:rFonts w:ascii="Arial" w:cs="Arial" w:eastAsia="Arial" w:hAnsi="Arial"/>
          <w:sz w:val="13"/>
          <w:szCs w:val="13"/>
          <w:color w:val="auto"/>
        </w:rPr>
        <w:t>in the Compensation Discussion and Analysis section.</w:t>
      </w:r>
    </w:p>
    <w:p>
      <w:pPr>
        <w:spacing w:after="0" w:line="94" w:lineRule="exact"/>
        <w:rPr>
          <w:sz w:val="20"/>
          <w:szCs w:val="20"/>
          <w:color w:val="auto"/>
        </w:rPr>
      </w:pPr>
    </w:p>
    <w:p>
      <w:pPr>
        <w:ind w:left="220" w:right="20" w:hanging="219"/>
        <w:spacing w:after="0" w:line="290" w:lineRule="auto"/>
        <w:tabs>
          <w:tab w:leader="none" w:pos="2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the fair market value on the grant date of a number of shares of common stock equal to the number of RSUs, or in the case of PSUs, the number of shares corresponding to the Target payout, as calculated in accordance with applicable accounting rules. Such amounts do not represent the actual value that will be realized by the executive officers at the time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245110</wp:posOffset>
            </wp:positionV>
            <wp:extent cx="7141210"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2" w:name="page43"/>
    <w:bookmarkEnd w:id="42"/>
    <w:p>
      <w:pPr>
        <w:spacing w:after="0"/>
        <w:rPr>
          <w:sz w:val="20"/>
          <w:szCs w:val="20"/>
          <w:color w:val="auto"/>
        </w:rPr>
      </w:pPr>
      <w:r>
        <w:rPr>
          <w:rFonts w:ascii="Arial" w:cs="Arial" w:eastAsia="Arial" w:hAnsi="Arial"/>
          <w:sz w:val="21"/>
          <w:szCs w:val="21"/>
          <w:b w:val="1"/>
          <w:bCs w:val="1"/>
          <w:color w:val="auto"/>
        </w:rPr>
        <w:t>OUTSTANDING EQUITY AWARDS AT FISCAL 2024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71412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17"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following table provides information as of the end of fiscal 2024 for our executive officers regarding outstanding equity awards, consisting of unvested RSUs and unvested PSUs. As of the end of fiscal 2024, no executive officer had any outstanding stock option awards, either exercisable or unexercisable.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2"/>
          </w:tcPr>
          <w:p>
            <w:pPr>
              <w:jc w:val="right"/>
              <w:ind w:right="1021"/>
              <w:spacing w:after="0"/>
              <w:rPr>
                <w:sz w:val="20"/>
                <w:szCs w:val="20"/>
                <w:color w:val="auto"/>
              </w:rPr>
            </w:pPr>
            <w:r>
              <w:rPr>
                <w:rFonts w:ascii="Arial" w:cs="Arial" w:eastAsia="Arial" w:hAnsi="Arial"/>
                <w:sz w:val="12"/>
                <w:szCs w:val="12"/>
                <w:b w:val="1"/>
                <w:bCs w:val="1"/>
                <w:color w:val="auto"/>
              </w:rPr>
              <w:t>Stock Awards</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40" w:type="dxa"/>
            <w:vAlign w:val="bottom"/>
          </w:tcPr>
          <w:p>
            <w:pPr>
              <w:jc w:val="right"/>
              <w:ind w:right="41"/>
              <w:spacing w:after="0"/>
              <w:rPr>
                <w:sz w:val="20"/>
                <w:szCs w:val="20"/>
                <w:color w:val="auto"/>
              </w:rPr>
            </w:pPr>
            <w:r>
              <w:rPr>
                <w:rFonts w:ascii="Arial" w:cs="Arial" w:eastAsia="Arial" w:hAnsi="Arial"/>
                <w:sz w:val="12"/>
                <w:szCs w:val="12"/>
                <w:b w:val="1"/>
                <w:bCs w:val="1"/>
                <w:color w:val="auto"/>
              </w:rPr>
              <w:t>Number of</w:t>
            </w:r>
          </w:p>
        </w:tc>
        <w:tc>
          <w:tcPr>
            <w:tcW w:w="2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Market value of</w:t>
            </w:r>
          </w:p>
        </w:tc>
        <w:tc>
          <w:tcPr>
            <w:tcW w:w="0" w:type="dxa"/>
            <w:vAlign w:val="bottom"/>
          </w:tcPr>
          <w:p>
            <w:pPr>
              <w:spacing w:after="0"/>
              <w:rPr>
                <w:sz w:val="1"/>
                <w:szCs w:val="1"/>
                <w:color w:val="auto"/>
              </w:rPr>
            </w:pPr>
          </w:p>
        </w:tc>
      </w:tr>
      <w:tr>
        <w:trPr>
          <w:trHeight w:val="163"/>
        </w:trPr>
        <w:tc>
          <w:tcPr>
            <w:tcW w:w="2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41"/>
              <w:spacing w:after="0"/>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4"/>
                <w:szCs w:val="14"/>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b w:val="1"/>
                <w:bCs w:val="1"/>
                <w:color w:val="auto"/>
              </w:rPr>
              <w:t>Market value</w:t>
            </w:r>
          </w:p>
        </w:tc>
        <w:tc>
          <w:tcPr>
            <w:tcW w:w="1540" w:type="dxa"/>
            <w:vAlign w:val="bottom"/>
          </w:tcPr>
          <w:p>
            <w:pPr>
              <w:jc w:val="right"/>
              <w:ind w:right="41"/>
              <w:spacing w:after="0"/>
              <w:rPr>
                <w:sz w:val="20"/>
                <w:szCs w:val="20"/>
                <w:color w:val="auto"/>
              </w:rPr>
            </w:pPr>
            <w:r>
              <w:rPr>
                <w:rFonts w:ascii="Arial" w:cs="Arial" w:eastAsia="Arial" w:hAnsi="Arial"/>
                <w:sz w:val="12"/>
                <w:szCs w:val="12"/>
                <w:b w:val="1"/>
                <w:bCs w:val="1"/>
                <w:color w:val="auto"/>
              </w:rPr>
              <w:t>unearned shares,</w:t>
            </w:r>
          </w:p>
        </w:tc>
        <w:tc>
          <w:tcPr>
            <w:tcW w:w="20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unearned shares,</w:t>
            </w:r>
          </w:p>
        </w:tc>
        <w:tc>
          <w:tcPr>
            <w:tcW w:w="0" w:type="dxa"/>
            <w:vAlign w:val="bottom"/>
          </w:tcPr>
          <w:p>
            <w:pPr>
              <w:spacing w:after="0"/>
              <w:rPr>
                <w:sz w:val="1"/>
                <w:szCs w:val="1"/>
                <w:color w:val="auto"/>
              </w:rPr>
            </w:pPr>
          </w:p>
        </w:tc>
      </w:tr>
      <w:tr>
        <w:trPr>
          <w:trHeight w:val="177"/>
        </w:trPr>
        <w:tc>
          <w:tcPr>
            <w:tcW w:w="2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41"/>
              <w:spacing w:after="0"/>
              <w:rPr>
                <w:sz w:val="20"/>
                <w:szCs w:val="20"/>
                <w:color w:val="auto"/>
              </w:rPr>
            </w:pPr>
            <w:r>
              <w:rPr>
                <w:rFonts w:ascii="Arial" w:cs="Arial" w:eastAsia="Arial" w:hAnsi="Arial"/>
                <w:sz w:val="12"/>
                <w:szCs w:val="12"/>
                <w:b w:val="1"/>
                <w:bCs w:val="1"/>
                <w:color w:val="auto"/>
              </w:rPr>
              <w:t>of shares or units of</w:t>
            </w:r>
          </w:p>
        </w:tc>
        <w:tc>
          <w:tcPr>
            <w:tcW w:w="240" w:type="dxa"/>
            <w:vAlign w:val="bottom"/>
          </w:tcPr>
          <w:p>
            <w:pPr>
              <w:spacing w:after="0"/>
              <w:rPr>
                <w:sz w:val="15"/>
                <w:szCs w:val="15"/>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b w:val="1"/>
                <w:bCs w:val="1"/>
                <w:color w:val="auto"/>
              </w:rPr>
              <w:t>of shares or units of</w:t>
            </w:r>
          </w:p>
        </w:tc>
        <w:tc>
          <w:tcPr>
            <w:tcW w:w="1540" w:type="dxa"/>
            <w:vAlign w:val="bottom"/>
          </w:tcPr>
          <w:p>
            <w:pPr>
              <w:jc w:val="right"/>
              <w:ind w:right="41"/>
              <w:spacing w:after="0"/>
              <w:rPr>
                <w:sz w:val="20"/>
                <w:szCs w:val="20"/>
                <w:color w:val="auto"/>
              </w:rPr>
            </w:pPr>
            <w:r>
              <w:rPr>
                <w:rFonts w:ascii="Arial" w:cs="Arial" w:eastAsia="Arial" w:hAnsi="Arial"/>
                <w:sz w:val="12"/>
                <w:szCs w:val="12"/>
                <w:b w:val="1"/>
                <w:bCs w:val="1"/>
                <w:color w:val="auto"/>
              </w:rPr>
              <w:t>units or other</w:t>
            </w:r>
          </w:p>
        </w:tc>
        <w:tc>
          <w:tcPr>
            <w:tcW w:w="20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units or other</w:t>
            </w:r>
          </w:p>
        </w:tc>
        <w:tc>
          <w:tcPr>
            <w:tcW w:w="0" w:type="dxa"/>
            <w:vAlign w:val="bottom"/>
          </w:tcPr>
          <w:p>
            <w:pPr>
              <w:spacing w:after="0"/>
              <w:rPr>
                <w:sz w:val="1"/>
                <w:szCs w:val="1"/>
                <w:color w:val="auto"/>
              </w:rPr>
            </w:pPr>
          </w:p>
        </w:tc>
      </w:tr>
      <w:tr>
        <w:trPr>
          <w:trHeight w:val="177"/>
        </w:trPr>
        <w:tc>
          <w:tcPr>
            <w:tcW w:w="232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Type of</w:t>
            </w: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ind w:right="41"/>
              <w:spacing w:after="0"/>
              <w:rPr>
                <w:sz w:val="20"/>
                <w:szCs w:val="20"/>
                <w:color w:val="auto"/>
              </w:rPr>
            </w:pPr>
            <w:r>
              <w:rPr>
                <w:rFonts w:ascii="Arial" w:cs="Arial" w:eastAsia="Arial" w:hAnsi="Arial"/>
                <w:sz w:val="12"/>
                <w:szCs w:val="12"/>
                <w:b w:val="1"/>
                <w:bCs w:val="1"/>
                <w:color w:val="auto"/>
              </w:rPr>
              <w:t>stock that have not</w:t>
            </w:r>
          </w:p>
        </w:tc>
        <w:tc>
          <w:tcPr>
            <w:tcW w:w="240" w:type="dxa"/>
            <w:vAlign w:val="bottom"/>
          </w:tcPr>
          <w:p>
            <w:pPr>
              <w:spacing w:after="0"/>
              <w:rPr>
                <w:sz w:val="15"/>
                <w:szCs w:val="15"/>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b w:val="1"/>
                <w:bCs w:val="1"/>
                <w:color w:val="auto"/>
              </w:rPr>
              <w:t>stock that have not</w:t>
            </w:r>
          </w:p>
        </w:tc>
        <w:tc>
          <w:tcPr>
            <w:tcW w:w="1540" w:type="dxa"/>
            <w:vAlign w:val="bottom"/>
          </w:tcPr>
          <w:p>
            <w:pPr>
              <w:jc w:val="right"/>
              <w:ind w:right="41"/>
              <w:spacing w:after="0"/>
              <w:rPr>
                <w:sz w:val="20"/>
                <w:szCs w:val="20"/>
                <w:color w:val="auto"/>
              </w:rPr>
            </w:pPr>
            <w:r>
              <w:rPr>
                <w:rFonts w:ascii="Arial" w:cs="Arial" w:eastAsia="Arial" w:hAnsi="Arial"/>
                <w:sz w:val="12"/>
                <w:szCs w:val="12"/>
                <w:b w:val="1"/>
                <w:bCs w:val="1"/>
                <w:color w:val="auto"/>
              </w:rPr>
              <w:t>rights that have not</w:t>
            </w:r>
          </w:p>
        </w:tc>
        <w:tc>
          <w:tcPr>
            <w:tcW w:w="20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rights that have not</w:t>
            </w:r>
          </w:p>
        </w:tc>
        <w:tc>
          <w:tcPr>
            <w:tcW w:w="0" w:type="dxa"/>
            <w:vAlign w:val="bottom"/>
          </w:tcPr>
          <w:p>
            <w:pPr>
              <w:spacing w:after="0"/>
              <w:rPr>
                <w:sz w:val="1"/>
                <w:szCs w:val="1"/>
                <w:color w:val="auto"/>
              </w:rPr>
            </w:pPr>
          </w:p>
        </w:tc>
      </w:tr>
      <w:tr>
        <w:trPr>
          <w:trHeight w:val="177"/>
        </w:trPr>
        <w:tc>
          <w:tcPr>
            <w:tcW w:w="2320" w:type="dxa"/>
            <w:vAlign w:val="bottom"/>
          </w:tcPr>
          <w:p>
            <w:pPr>
              <w:ind w:left="100"/>
              <w:spacing w:after="0"/>
              <w:rPr>
                <w:sz w:val="20"/>
                <w:szCs w:val="20"/>
                <w:color w:val="auto"/>
              </w:rPr>
            </w:pPr>
            <w:r>
              <w:rPr>
                <w:rFonts w:ascii="Arial" w:cs="Arial" w:eastAsia="Arial" w:hAnsi="Arial"/>
                <w:sz w:val="12"/>
                <w:szCs w:val="12"/>
                <w:b w:val="1"/>
                <w:bCs w:val="1"/>
                <w:color w:val="auto"/>
              </w:rPr>
              <w:t>Name</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award</w:t>
            </w:r>
          </w:p>
        </w:tc>
        <w:tc>
          <w:tcPr>
            <w:tcW w:w="1820" w:type="dxa"/>
            <w:vAlign w:val="bottom"/>
          </w:tcPr>
          <w:p>
            <w:pPr>
              <w:ind w:left="380"/>
              <w:spacing w:after="0"/>
              <w:rPr>
                <w:sz w:val="20"/>
                <w:szCs w:val="20"/>
                <w:color w:val="auto"/>
              </w:rPr>
            </w:pPr>
            <w:r>
              <w:rPr>
                <w:rFonts w:ascii="Arial" w:cs="Arial" w:eastAsia="Arial" w:hAnsi="Arial"/>
                <w:sz w:val="12"/>
                <w:szCs w:val="12"/>
                <w:b w:val="1"/>
                <w:bCs w:val="1"/>
                <w:color w:val="auto"/>
              </w:rPr>
              <w:t>Grant date</w:t>
            </w:r>
          </w:p>
        </w:tc>
        <w:tc>
          <w:tcPr>
            <w:tcW w:w="220" w:type="dxa"/>
            <w:vAlign w:val="bottom"/>
          </w:tcPr>
          <w:p>
            <w:pPr>
              <w:spacing w:after="0"/>
              <w:rPr>
                <w:sz w:val="15"/>
                <w:szCs w:val="15"/>
                <w:color w:val="auto"/>
              </w:rPr>
            </w:pPr>
          </w:p>
        </w:tc>
        <w:tc>
          <w:tcPr>
            <w:tcW w:w="1360" w:type="dxa"/>
            <w:vAlign w:val="bottom"/>
          </w:tcPr>
          <w:p>
            <w:pPr>
              <w:jc w:val="right"/>
              <w:ind w:right="41"/>
              <w:spacing w:after="0"/>
              <w:rPr>
                <w:sz w:val="20"/>
                <w:szCs w:val="20"/>
                <w:color w:val="auto"/>
              </w:rPr>
            </w:pPr>
            <w:r>
              <w:rPr>
                <w:rFonts w:ascii="Arial" w:cs="Arial" w:eastAsia="Arial" w:hAnsi="Arial"/>
                <w:sz w:val="12"/>
                <w:szCs w:val="12"/>
                <w:b w:val="1"/>
                <w:bCs w:val="1"/>
                <w:color w:val="auto"/>
              </w:rPr>
              <w:t>vested</w:t>
            </w:r>
            <w:r>
              <w:rPr>
                <w:rFonts w:ascii="Arial" w:cs="Arial" w:eastAsia="Arial" w:hAnsi="Arial"/>
                <w:sz w:val="7"/>
                <w:szCs w:val="7"/>
                <w:b w:val="1"/>
                <w:bCs w:val="1"/>
                <w:color w:val="auto"/>
              </w:rPr>
              <w:t>1</w:t>
            </w:r>
          </w:p>
        </w:tc>
        <w:tc>
          <w:tcPr>
            <w:tcW w:w="240" w:type="dxa"/>
            <w:vAlign w:val="bottom"/>
          </w:tcPr>
          <w:p>
            <w:pPr>
              <w:spacing w:after="0"/>
              <w:rPr>
                <w:sz w:val="15"/>
                <w:szCs w:val="15"/>
                <w:color w:val="auto"/>
              </w:rPr>
            </w:pPr>
          </w:p>
        </w:tc>
        <w:tc>
          <w:tcPr>
            <w:tcW w:w="1360" w:type="dxa"/>
            <w:vAlign w:val="bottom"/>
          </w:tcPr>
          <w:p>
            <w:pPr>
              <w:jc w:val="right"/>
              <w:ind w:right="61"/>
              <w:spacing w:after="0"/>
              <w:rPr>
                <w:sz w:val="20"/>
                <w:szCs w:val="20"/>
                <w:color w:val="auto"/>
              </w:rPr>
            </w:pPr>
            <w:r>
              <w:rPr>
                <w:rFonts w:ascii="Arial" w:cs="Arial" w:eastAsia="Arial" w:hAnsi="Arial"/>
                <w:sz w:val="12"/>
                <w:szCs w:val="12"/>
                <w:b w:val="1"/>
                <w:bCs w:val="1"/>
                <w:color w:val="auto"/>
              </w:rPr>
              <w:t>vested</w:t>
            </w:r>
            <w:r>
              <w:rPr>
                <w:rFonts w:ascii="Arial" w:cs="Arial" w:eastAsia="Arial" w:hAnsi="Arial"/>
                <w:sz w:val="7"/>
                <w:szCs w:val="7"/>
                <w:b w:val="1"/>
                <w:bCs w:val="1"/>
                <w:color w:val="auto"/>
              </w:rPr>
              <w:t>2</w:t>
            </w:r>
          </w:p>
        </w:tc>
        <w:tc>
          <w:tcPr>
            <w:tcW w:w="1540" w:type="dxa"/>
            <w:vAlign w:val="bottom"/>
          </w:tcPr>
          <w:p>
            <w:pPr>
              <w:jc w:val="right"/>
              <w:ind w:right="41"/>
              <w:spacing w:after="0"/>
              <w:rPr>
                <w:sz w:val="20"/>
                <w:szCs w:val="20"/>
                <w:color w:val="auto"/>
              </w:rPr>
            </w:pPr>
            <w:r>
              <w:rPr>
                <w:rFonts w:ascii="Arial" w:cs="Arial" w:eastAsia="Arial" w:hAnsi="Arial"/>
                <w:sz w:val="12"/>
                <w:szCs w:val="12"/>
                <w:b w:val="1"/>
                <w:bCs w:val="1"/>
                <w:color w:val="auto"/>
              </w:rPr>
              <w:t>vested</w:t>
            </w:r>
            <w:r>
              <w:rPr>
                <w:rFonts w:ascii="Arial" w:cs="Arial" w:eastAsia="Arial" w:hAnsi="Arial"/>
                <w:sz w:val="7"/>
                <w:szCs w:val="7"/>
                <w:b w:val="1"/>
                <w:bCs w:val="1"/>
                <w:color w:val="auto"/>
              </w:rPr>
              <w:t>3</w:t>
            </w:r>
          </w:p>
        </w:tc>
        <w:tc>
          <w:tcPr>
            <w:tcW w:w="20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vested</w:t>
            </w:r>
            <w:r>
              <w:rPr>
                <w:rFonts w:ascii="Arial" w:cs="Arial" w:eastAsia="Arial" w:hAnsi="Arial"/>
                <w:sz w:val="7"/>
                <w:szCs w:val="7"/>
                <w:b w:val="1"/>
                <w:bCs w:val="1"/>
                <w:color w:val="auto"/>
              </w:rPr>
              <w:t>2</w:t>
            </w:r>
          </w:p>
        </w:tc>
        <w:tc>
          <w:tcPr>
            <w:tcW w:w="0" w:type="dxa"/>
            <w:vAlign w:val="bottom"/>
          </w:tcPr>
          <w:p>
            <w:pPr>
              <w:spacing w:after="0"/>
              <w:rPr>
                <w:sz w:val="1"/>
                <w:szCs w:val="1"/>
                <w:color w:val="auto"/>
              </w:rPr>
            </w:pPr>
          </w:p>
        </w:tc>
      </w:tr>
      <w:tr>
        <w:trPr>
          <w:trHeight w:val="32"/>
        </w:trPr>
        <w:tc>
          <w:tcPr>
            <w:tcW w:w="2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32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Bryan H. Sayler</w:t>
            </w: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4/30/2021</w:t>
            </w:r>
          </w:p>
        </w:tc>
        <w:tc>
          <w:tcPr>
            <w:tcW w:w="1580" w:type="dxa"/>
            <w:vAlign w:val="bottom"/>
            <w:gridSpan w:val="2"/>
            <w:shd w:val="clear" w:color="auto" w:fill="F3F3F4"/>
          </w:tcPr>
          <w:p>
            <w:pPr>
              <w:jc w:val="right"/>
              <w:ind w:right="41"/>
              <w:spacing w:after="0"/>
              <w:rPr>
                <w:sz w:val="20"/>
                <w:szCs w:val="20"/>
                <w:color w:val="auto"/>
              </w:rPr>
            </w:pPr>
            <w:r>
              <w:rPr>
                <w:rFonts w:ascii="Arial" w:cs="Arial" w:eastAsia="Arial" w:hAnsi="Arial"/>
                <w:sz w:val="12"/>
                <w:szCs w:val="12"/>
                <w:color w:val="auto"/>
              </w:rPr>
              <w:t>1,582</w:t>
            </w:r>
          </w:p>
        </w:tc>
        <w:tc>
          <w:tcPr>
            <w:tcW w:w="24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w:t>
            </w:r>
          </w:p>
        </w:tc>
        <w:tc>
          <w:tcPr>
            <w:tcW w:w="136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204,046</w:t>
            </w:r>
          </w:p>
        </w:tc>
        <w:tc>
          <w:tcPr>
            <w:tcW w:w="1540" w:type="dxa"/>
            <w:vAlign w:val="bottom"/>
            <w:shd w:val="clear" w:color="auto" w:fill="F3F3F4"/>
          </w:tcPr>
          <w:p>
            <w:pPr>
              <w:spacing w:after="0"/>
              <w:rPr>
                <w:sz w:val="19"/>
                <w:szCs w:val="19"/>
                <w:color w:val="auto"/>
              </w:rPr>
            </w:pPr>
          </w:p>
        </w:tc>
        <w:tc>
          <w:tcPr>
            <w:tcW w:w="200" w:type="dxa"/>
            <w:vAlign w:val="bottom"/>
            <w:shd w:val="clear" w:color="auto" w:fill="F3F3F4"/>
          </w:tcPr>
          <w:p>
            <w:pPr>
              <w:spacing w:after="0"/>
              <w:rPr>
                <w:sz w:val="19"/>
                <w:szCs w:val="19"/>
                <w:color w:val="auto"/>
              </w:rPr>
            </w:pPr>
          </w:p>
        </w:tc>
        <w:tc>
          <w:tcPr>
            <w:tcW w:w="1240" w:type="dxa"/>
            <w:vAlign w:val="bottom"/>
            <w:shd w:val="clear" w:color="auto" w:fill="F3F3F4"/>
          </w:tcPr>
          <w:p>
            <w:pPr>
              <w:spacing w:after="0"/>
              <w:rPr>
                <w:sz w:val="19"/>
                <w:szCs w:val="19"/>
                <w:color w:val="auto"/>
              </w:rPr>
            </w:pPr>
          </w:p>
        </w:tc>
        <w:tc>
          <w:tcPr>
            <w:tcW w:w="100" w:type="dxa"/>
            <w:vAlign w:val="bottom"/>
            <w:shd w:val="clear" w:color="auto" w:fill="F3F3F4"/>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320" w:type="dxa"/>
            <w:vAlign w:val="bottom"/>
            <w:shd w:val="clear" w:color="auto" w:fill="F3F3F4"/>
          </w:tcPr>
          <w:p>
            <w:pPr>
              <w:spacing w:after="0"/>
              <w:rPr>
                <w:sz w:val="20"/>
                <w:szCs w:val="20"/>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PSU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11/17/2021</w:t>
            </w:r>
          </w:p>
        </w:tc>
        <w:tc>
          <w:tcPr>
            <w:tcW w:w="220" w:type="dxa"/>
            <w:vAlign w:val="bottom"/>
            <w:shd w:val="clear" w:color="auto" w:fill="F3F3F4"/>
          </w:tcPr>
          <w:p>
            <w:pPr>
              <w:spacing w:after="0"/>
              <w:rPr>
                <w:sz w:val="20"/>
                <w:szCs w:val="20"/>
                <w:color w:val="auto"/>
              </w:rPr>
            </w:pPr>
          </w:p>
        </w:tc>
        <w:tc>
          <w:tcPr>
            <w:tcW w:w="1360" w:type="dxa"/>
            <w:vAlign w:val="bottom"/>
            <w:shd w:val="clear" w:color="auto" w:fill="F3F3F4"/>
          </w:tcPr>
          <w:p>
            <w:pPr>
              <w:spacing w:after="0"/>
              <w:rPr>
                <w:sz w:val="20"/>
                <w:szCs w:val="20"/>
                <w:color w:val="auto"/>
              </w:rPr>
            </w:pPr>
          </w:p>
        </w:tc>
        <w:tc>
          <w:tcPr>
            <w:tcW w:w="240" w:type="dxa"/>
            <w:vAlign w:val="bottom"/>
            <w:shd w:val="clear" w:color="auto" w:fill="F3F3F4"/>
          </w:tcPr>
          <w:p>
            <w:pPr>
              <w:spacing w:after="0"/>
              <w:rPr>
                <w:sz w:val="20"/>
                <w:szCs w:val="20"/>
                <w:color w:val="auto"/>
              </w:rPr>
            </w:pPr>
          </w:p>
        </w:tc>
        <w:tc>
          <w:tcPr>
            <w:tcW w:w="1360" w:type="dxa"/>
            <w:vAlign w:val="bottom"/>
            <w:shd w:val="clear" w:color="auto" w:fill="F3F3F4"/>
          </w:tcPr>
          <w:p>
            <w:pPr>
              <w:spacing w:after="0"/>
              <w:rPr>
                <w:sz w:val="20"/>
                <w:szCs w:val="20"/>
                <w:color w:val="auto"/>
              </w:rPr>
            </w:pPr>
          </w:p>
        </w:tc>
        <w:tc>
          <w:tcPr>
            <w:tcW w:w="15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1,089</w:t>
            </w:r>
          </w:p>
        </w:tc>
        <w:tc>
          <w:tcPr>
            <w:tcW w:w="200" w:type="dxa"/>
            <w:vAlign w:val="bottom"/>
            <w:shd w:val="clear" w:color="auto" w:fill="F3F3F4"/>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F3F3F4"/>
          </w:tcPr>
          <w:p>
            <w:pPr>
              <w:jc w:val="right"/>
              <w:ind w:right="100"/>
              <w:spacing w:after="0"/>
              <w:rPr>
                <w:sz w:val="20"/>
                <w:szCs w:val="20"/>
                <w:color w:val="auto"/>
              </w:rPr>
            </w:pPr>
            <w:r>
              <w:rPr>
                <w:rFonts w:ascii="Arial" w:cs="Arial" w:eastAsia="Arial" w:hAnsi="Arial"/>
                <w:sz w:val="12"/>
                <w:szCs w:val="12"/>
                <w:color w:val="auto"/>
              </w:rPr>
              <w:t>140,459</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155"/>
        </w:trPr>
        <w:tc>
          <w:tcPr>
            <w:tcW w:w="2320" w:type="dxa"/>
            <w:vAlign w:val="bottom"/>
            <w:shd w:val="clear" w:color="auto" w:fill="F3F3F4"/>
          </w:tcPr>
          <w:p>
            <w:pPr>
              <w:spacing w:after="0"/>
              <w:rPr>
                <w:sz w:val="13"/>
                <w:szCs w:val="13"/>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5/5/2022</w:t>
            </w:r>
          </w:p>
        </w:tc>
        <w:tc>
          <w:tcPr>
            <w:tcW w:w="1580" w:type="dxa"/>
            <w:vAlign w:val="bottom"/>
            <w:gridSpan w:val="2"/>
            <w:shd w:val="clear" w:color="auto" w:fill="F3F3F4"/>
          </w:tcPr>
          <w:p>
            <w:pPr>
              <w:jc w:val="right"/>
              <w:ind w:right="41"/>
              <w:spacing w:after="0"/>
              <w:rPr>
                <w:sz w:val="20"/>
                <w:szCs w:val="20"/>
                <w:color w:val="auto"/>
              </w:rPr>
            </w:pPr>
            <w:r>
              <w:rPr>
                <w:rFonts w:ascii="Arial" w:cs="Arial" w:eastAsia="Arial" w:hAnsi="Arial"/>
                <w:sz w:val="12"/>
                <w:szCs w:val="12"/>
                <w:color w:val="auto"/>
              </w:rPr>
              <w:t>2,805</w:t>
            </w:r>
          </w:p>
        </w:tc>
        <w:tc>
          <w:tcPr>
            <w:tcW w:w="240" w:type="dxa"/>
            <w:vAlign w:val="bottom"/>
            <w:shd w:val="clear" w:color="auto" w:fill="F3F3F4"/>
          </w:tcPr>
          <w:p>
            <w:pPr>
              <w:spacing w:after="0"/>
              <w:rPr>
                <w:sz w:val="13"/>
                <w:szCs w:val="13"/>
                <w:color w:val="auto"/>
              </w:rPr>
            </w:pPr>
          </w:p>
        </w:tc>
        <w:tc>
          <w:tcPr>
            <w:tcW w:w="136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361,789</w:t>
            </w:r>
          </w:p>
        </w:tc>
        <w:tc>
          <w:tcPr>
            <w:tcW w:w="1540" w:type="dxa"/>
            <w:vAlign w:val="bottom"/>
            <w:shd w:val="clear" w:color="auto" w:fill="F3F3F4"/>
          </w:tcPr>
          <w:p>
            <w:pPr>
              <w:spacing w:after="0"/>
              <w:rPr>
                <w:sz w:val="13"/>
                <w:szCs w:val="13"/>
                <w:color w:val="auto"/>
              </w:rPr>
            </w:pPr>
          </w:p>
        </w:tc>
        <w:tc>
          <w:tcPr>
            <w:tcW w:w="200" w:type="dxa"/>
            <w:vAlign w:val="bottom"/>
            <w:shd w:val="clear" w:color="auto" w:fill="F3F3F4"/>
          </w:tcPr>
          <w:p>
            <w:pPr>
              <w:spacing w:after="0"/>
              <w:rPr>
                <w:sz w:val="13"/>
                <w:szCs w:val="13"/>
                <w:color w:val="auto"/>
              </w:rPr>
            </w:pPr>
          </w:p>
        </w:tc>
        <w:tc>
          <w:tcPr>
            <w:tcW w:w="1240" w:type="dxa"/>
            <w:vAlign w:val="bottom"/>
            <w:shd w:val="clear" w:color="auto" w:fill="F3F3F4"/>
          </w:tcPr>
          <w:p>
            <w:pPr>
              <w:spacing w:after="0"/>
              <w:rPr>
                <w:sz w:val="13"/>
                <w:szCs w:val="13"/>
                <w:color w:val="auto"/>
              </w:rPr>
            </w:pPr>
          </w:p>
        </w:tc>
        <w:tc>
          <w:tcPr>
            <w:tcW w:w="100" w:type="dxa"/>
            <w:vAlign w:val="bottom"/>
            <w:shd w:val="clear" w:color="auto" w:fill="F3F3F4"/>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320" w:type="dxa"/>
            <w:vAlign w:val="bottom"/>
            <w:shd w:val="clear" w:color="auto" w:fill="F3F3F4"/>
          </w:tcPr>
          <w:p>
            <w:pPr>
              <w:spacing w:after="0"/>
              <w:rPr>
                <w:sz w:val="21"/>
                <w:szCs w:val="21"/>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PSU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11/16/2022</w:t>
            </w:r>
          </w:p>
        </w:tc>
        <w:tc>
          <w:tcPr>
            <w:tcW w:w="220" w:type="dxa"/>
            <w:vAlign w:val="bottom"/>
            <w:shd w:val="clear" w:color="auto" w:fill="F3F3F4"/>
          </w:tcPr>
          <w:p>
            <w:pPr>
              <w:spacing w:after="0"/>
              <w:rPr>
                <w:sz w:val="21"/>
                <w:szCs w:val="21"/>
                <w:color w:val="auto"/>
              </w:rPr>
            </w:pPr>
          </w:p>
        </w:tc>
        <w:tc>
          <w:tcPr>
            <w:tcW w:w="1360" w:type="dxa"/>
            <w:vAlign w:val="bottom"/>
            <w:shd w:val="clear" w:color="auto" w:fill="F3F3F4"/>
          </w:tcPr>
          <w:p>
            <w:pPr>
              <w:spacing w:after="0"/>
              <w:rPr>
                <w:sz w:val="21"/>
                <w:szCs w:val="21"/>
                <w:color w:val="auto"/>
              </w:rPr>
            </w:pPr>
          </w:p>
        </w:tc>
        <w:tc>
          <w:tcPr>
            <w:tcW w:w="240" w:type="dxa"/>
            <w:vAlign w:val="bottom"/>
            <w:shd w:val="clear" w:color="auto" w:fill="F3F3F4"/>
          </w:tcPr>
          <w:p>
            <w:pPr>
              <w:spacing w:after="0"/>
              <w:rPr>
                <w:sz w:val="21"/>
                <w:szCs w:val="21"/>
                <w:color w:val="auto"/>
              </w:rPr>
            </w:pPr>
          </w:p>
        </w:tc>
        <w:tc>
          <w:tcPr>
            <w:tcW w:w="1360" w:type="dxa"/>
            <w:vAlign w:val="bottom"/>
            <w:shd w:val="clear" w:color="auto" w:fill="F3F3F4"/>
          </w:tcPr>
          <w:p>
            <w:pPr>
              <w:spacing w:after="0"/>
              <w:rPr>
                <w:sz w:val="21"/>
                <w:szCs w:val="21"/>
                <w:color w:val="auto"/>
              </w:rPr>
            </w:pPr>
          </w:p>
        </w:tc>
        <w:tc>
          <w:tcPr>
            <w:tcW w:w="15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4,118</w:t>
            </w:r>
          </w:p>
        </w:tc>
        <w:tc>
          <w:tcPr>
            <w:tcW w:w="200" w:type="dxa"/>
            <w:vAlign w:val="bottom"/>
            <w:shd w:val="clear" w:color="auto" w:fill="F3F3F4"/>
          </w:tcPr>
          <w:p>
            <w:pPr>
              <w:spacing w:after="0"/>
              <w:rPr>
                <w:sz w:val="21"/>
                <w:szCs w:val="21"/>
                <w:color w:val="auto"/>
              </w:rPr>
            </w:pPr>
          </w:p>
        </w:tc>
        <w:tc>
          <w:tcPr>
            <w:tcW w:w="1340" w:type="dxa"/>
            <w:vAlign w:val="bottom"/>
            <w:gridSpan w:val="2"/>
            <w:shd w:val="clear" w:color="auto" w:fill="F3F3F4"/>
          </w:tcPr>
          <w:p>
            <w:pPr>
              <w:jc w:val="right"/>
              <w:ind w:right="100"/>
              <w:spacing w:after="0"/>
              <w:rPr>
                <w:sz w:val="20"/>
                <w:szCs w:val="20"/>
                <w:color w:val="auto"/>
              </w:rPr>
            </w:pPr>
            <w:r>
              <w:rPr>
                <w:rFonts w:ascii="Arial" w:cs="Arial" w:eastAsia="Arial" w:hAnsi="Arial"/>
                <w:sz w:val="12"/>
                <w:szCs w:val="12"/>
                <w:color w:val="auto"/>
              </w:rPr>
              <w:t>531,140</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215"/>
        </w:trPr>
        <w:tc>
          <w:tcPr>
            <w:tcW w:w="2320" w:type="dxa"/>
            <w:vAlign w:val="bottom"/>
            <w:shd w:val="clear" w:color="auto" w:fill="F3F3F4"/>
          </w:tcPr>
          <w:p>
            <w:pPr>
              <w:spacing w:after="0"/>
              <w:rPr>
                <w:sz w:val="18"/>
                <w:szCs w:val="18"/>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5/2/2023</w:t>
            </w:r>
          </w:p>
        </w:tc>
        <w:tc>
          <w:tcPr>
            <w:tcW w:w="1580" w:type="dxa"/>
            <w:vAlign w:val="bottom"/>
            <w:gridSpan w:val="2"/>
            <w:shd w:val="clear" w:color="auto" w:fill="F3F3F4"/>
          </w:tcPr>
          <w:p>
            <w:pPr>
              <w:jc w:val="right"/>
              <w:ind w:right="41"/>
              <w:spacing w:after="0"/>
              <w:rPr>
                <w:sz w:val="20"/>
                <w:szCs w:val="20"/>
                <w:color w:val="auto"/>
              </w:rPr>
            </w:pPr>
            <w:r>
              <w:rPr>
                <w:rFonts w:ascii="Arial" w:cs="Arial" w:eastAsia="Arial" w:hAnsi="Arial"/>
                <w:sz w:val="12"/>
                <w:szCs w:val="12"/>
                <w:color w:val="auto"/>
              </w:rPr>
              <w:t>7,489</w:t>
            </w:r>
          </w:p>
        </w:tc>
        <w:tc>
          <w:tcPr>
            <w:tcW w:w="240" w:type="dxa"/>
            <w:vAlign w:val="bottom"/>
            <w:shd w:val="clear" w:color="auto" w:fill="F3F3F4"/>
          </w:tcPr>
          <w:p>
            <w:pPr>
              <w:spacing w:after="0"/>
              <w:rPr>
                <w:sz w:val="18"/>
                <w:szCs w:val="18"/>
                <w:color w:val="auto"/>
              </w:rPr>
            </w:pPr>
          </w:p>
        </w:tc>
        <w:tc>
          <w:tcPr>
            <w:tcW w:w="136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965,931</w:t>
            </w:r>
          </w:p>
        </w:tc>
        <w:tc>
          <w:tcPr>
            <w:tcW w:w="1540" w:type="dxa"/>
            <w:vAlign w:val="bottom"/>
            <w:shd w:val="clear" w:color="auto" w:fill="F3F3F4"/>
          </w:tcPr>
          <w:p>
            <w:pPr>
              <w:spacing w:after="0"/>
              <w:rPr>
                <w:sz w:val="18"/>
                <w:szCs w:val="18"/>
                <w:color w:val="auto"/>
              </w:rPr>
            </w:pPr>
          </w:p>
        </w:tc>
        <w:tc>
          <w:tcPr>
            <w:tcW w:w="200" w:type="dxa"/>
            <w:vAlign w:val="bottom"/>
            <w:shd w:val="clear" w:color="auto" w:fill="F3F3F4"/>
          </w:tcPr>
          <w:p>
            <w:pPr>
              <w:spacing w:after="0"/>
              <w:rPr>
                <w:sz w:val="18"/>
                <w:szCs w:val="18"/>
                <w:color w:val="auto"/>
              </w:rPr>
            </w:pPr>
          </w:p>
        </w:tc>
        <w:tc>
          <w:tcPr>
            <w:tcW w:w="1340" w:type="dxa"/>
            <w:vAlign w:val="bottom"/>
            <w:gridSpan w:val="2"/>
            <w:shd w:val="clear" w:color="auto" w:fill="F3F3F4"/>
          </w:tcPr>
          <w:p>
            <w:pPr>
              <w:jc w:val="right"/>
              <w:ind w:right="100"/>
              <w:spacing w:after="0" w:line="214" w:lineRule="exact"/>
              <w:rPr>
                <w:sz w:val="20"/>
                <w:szCs w:val="20"/>
                <w:color w:val="auto"/>
              </w:rPr>
            </w:pPr>
            <w:r>
              <w:rPr>
                <w:rFonts w:ascii="Arial" w:cs="Arial" w:eastAsia="Arial" w:hAnsi="Arial"/>
                <w:sz w:val="12"/>
                <w:szCs w:val="12"/>
                <w:color w:val="auto"/>
              </w:rPr>
              <w:t>2,996</w:t>
            </w:r>
            <w:r>
              <w:rPr>
                <w:rFonts w:ascii="Arial" w:cs="Arial" w:eastAsia="Arial" w:hAnsi="Arial"/>
                <w:sz w:val="19"/>
                <w:szCs w:val="19"/>
                <w:color w:val="auto"/>
                <w:vertAlign w:val="superscript"/>
              </w:rPr>
              <w:t>4</w:t>
            </w:r>
          </w:p>
        </w:tc>
        <w:tc>
          <w:tcPr>
            <w:tcW w:w="0" w:type="dxa"/>
            <w:vAlign w:val="bottom"/>
          </w:tcPr>
          <w:p>
            <w:pPr>
              <w:spacing w:after="0"/>
              <w:rPr>
                <w:sz w:val="1"/>
                <w:szCs w:val="1"/>
                <w:color w:val="auto"/>
              </w:rPr>
            </w:pPr>
          </w:p>
        </w:tc>
      </w:tr>
      <w:tr>
        <w:trPr>
          <w:trHeight w:val="215"/>
        </w:trPr>
        <w:tc>
          <w:tcPr>
            <w:tcW w:w="2320" w:type="dxa"/>
            <w:vAlign w:val="bottom"/>
            <w:shd w:val="clear" w:color="auto" w:fill="F3F3F4"/>
          </w:tcPr>
          <w:p>
            <w:pPr>
              <w:spacing w:after="0"/>
              <w:rPr>
                <w:sz w:val="18"/>
                <w:szCs w:val="18"/>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PSU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11/14/2023</w:t>
            </w:r>
          </w:p>
        </w:tc>
        <w:tc>
          <w:tcPr>
            <w:tcW w:w="220" w:type="dxa"/>
            <w:vAlign w:val="bottom"/>
            <w:shd w:val="clear" w:color="auto" w:fill="F3F3F4"/>
          </w:tcPr>
          <w:p>
            <w:pPr>
              <w:spacing w:after="0"/>
              <w:rPr>
                <w:sz w:val="18"/>
                <w:szCs w:val="18"/>
                <w:color w:val="auto"/>
              </w:rPr>
            </w:pPr>
          </w:p>
        </w:tc>
        <w:tc>
          <w:tcPr>
            <w:tcW w:w="1360" w:type="dxa"/>
            <w:vAlign w:val="bottom"/>
            <w:shd w:val="clear" w:color="auto" w:fill="F3F3F4"/>
          </w:tcPr>
          <w:p>
            <w:pPr>
              <w:spacing w:after="0"/>
              <w:rPr>
                <w:sz w:val="18"/>
                <w:szCs w:val="18"/>
                <w:color w:val="auto"/>
              </w:rPr>
            </w:pPr>
          </w:p>
        </w:tc>
        <w:tc>
          <w:tcPr>
            <w:tcW w:w="240" w:type="dxa"/>
            <w:vAlign w:val="bottom"/>
            <w:shd w:val="clear" w:color="auto" w:fill="F3F3F4"/>
          </w:tcPr>
          <w:p>
            <w:pPr>
              <w:spacing w:after="0"/>
              <w:rPr>
                <w:sz w:val="18"/>
                <w:szCs w:val="18"/>
                <w:color w:val="auto"/>
              </w:rPr>
            </w:pPr>
          </w:p>
        </w:tc>
        <w:tc>
          <w:tcPr>
            <w:tcW w:w="1360" w:type="dxa"/>
            <w:vAlign w:val="bottom"/>
            <w:shd w:val="clear" w:color="auto" w:fill="F3F3F4"/>
          </w:tcPr>
          <w:p>
            <w:pPr>
              <w:spacing w:after="0"/>
              <w:rPr>
                <w:sz w:val="18"/>
                <w:szCs w:val="18"/>
                <w:color w:val="auto"/>
              </w:rPr>
            </w:pPr>
          </w:p>
        </w:tc>
        <w:tc>
          <w:tcPr>
            <w:tcW w:w="15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3,814</w:t>
            </w:r>
          </w:p>
        </w:tc>
        <w:tc>
          <w:tcPr>
            <w:tcW w:w="200" w:type="dxa"/>
            <w:vAlign w:val="bottom"/>
            <w:shd w:val="clear" w:color="auto" w:fill="F3F3F4"/>
          </w:tcPr>
          <w:p>
            <w:pPr>
              <w:spacing w:after="0"/>
              <w:rPr>
                <w:sz w:val="18"/>
                <w:szCs w:val="18"/>
                <w:color w:val="auto"/>
              </w:rPr>
            </w:pPr>
          </w:p>
        </w:tc>
        <w:tc>
          <w:tcPr>
            <w:tcW w:w="1340" w:type="dxa"/>
            <w:vAlign w:val="bottom"/>
            <w:gridSpan w:val="2"/>
            <w:shd w:val="clear" w:color="auto" w:fill="F3F3F4"/>
          </w:tcPr>
          <w:p>
            <w:pPr>
              <w:jc w:val="right"/>
              <w:ind w:right="100"/>
              <w:spacing w:after="0" w:line="214" w:lineRule="exact"/>
              <w:rPr>
                <w:sz w:val="20"/>
                <w:szCs w:val="20"/>
                <w:color w:val="auto"/>
              </w:rPr>
            </w:pPr>
            <w:r>
              <w:rPr>
                <w:rFonts w:ascii="Arial" w:cs="Arial" w:eastAsia="Arial" w:hAnsi="Arial"/>
                <w:sz w:val="12"/>
                <w:szCs w:val="12"/>
                <w:color w:val="auto"/>
              </w:rPr>
              <w:t>492,845</w:t>
            </w:r>
            <w:r>
              <w:rPr>
                <w:rFonts w:ascii="Arial" w:cs="Arial" w:eastAsia="Arial" w:hAnsi="Arial"/>
                <w:sz w:val="19"/>
                <w:szCs w:val="19"/>
                <w:color w:val="auto"/>
                <w:vertAlign w:val="superscript"/>
              </w:rPr>
              <w:t>3,4</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939598"/>
            </w:tcBorders>
            <w:shd w:val="clear" w:color="auto" w:fill="F3F3F4"/>
          </w:tcPr>
          <w:p>
            <w:pPr>
              <w:spacing w:after="0"/>
              <w:rPr>
                <w:sz w:val="19"/>
                <w:szCs w:val="19"/>
                <w:color w:val="auto"/>
              </w:rPr>
            </w:pPr>
          </w:p>
        </w:tc>
        <w:tc>
          <w:tcPr>
            <w:tcW w:w="840" w:type="dxa"/>
            <w:vAlign w:val="bottom"/>
            <w:tcBorders>
              <w:bottom w:val="single" w:sz="8" w:color="939598"/>
            </w:tcBorders>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tcBorders>
              <w:bottom w:val="single" w:sz="8" w:color="939598"/>
            </w:tcBorders>
            <w:shd w:val="clear" w:color="auto" w:fill="F3F3F4"/>
          </w:tcPr>
          <w:p>
            <w:pPr>
              <w:ind w:left="380"/>
              <w:spacing w:after="0"/>
              <w:rPr>
                <w:sz w:val="20"/>
                <w:szCs w:val="20"/>
                <w:color w:val="auto"/>
              </w:rPr>
            </w:pPr>
            <w:r>
              <w:rPr>
                <w:rFonts w:ascii="Arial" w:cs="Arial" w:eastAsia="Arial" w:hAnsi="Arial"/>
                <w:sz w:val="12"/>
                <w:szCs w:val="12"/>
                <w:color w:val="auto"/>
              </w:rPr>
              <w:t>11/14/2023</w:t>
            </w:r>
          </w:p>
        </w:tc>
        <w:tc>
          <w:tcPr>
            <w:tcW w:w="1580" w:type="dxa"/>
            <w:vAlign w:val="bottom"/>
            <w:tcBorders>
              <w:bottom w:val="single" w:sz="8" w:color="939598"/>
            </w:tcBorders>
            <w:gridSpan w:val="2"/>
            <w:shd w:val="clear" w:color="auto" w:fill="F3F3F4"/>
          </w:tcPr>
          <w:p>
            <w:pPr>
              <w:jc w:val="right"/>
              <w:ind w:right="41"/>
              <w:spacing w:after="0"/>
              <w:rPr>
                <w:sz w:val="20"/>
                <w:szCs w:val="20"/>
                <w:color w:val="auto"/>
              </w:rPr>
            </w:pPr>
            <w:r>
              <w:rPr>
                <w:rFonts w:ascii="Arial" w:cs="Arial" w:eastAsia="Arial" w:hAnsi="Arial"/>
                <w:sz w:val="12"/>
                <w:szCs w:val="12"/>
                <w:color w:val="auto"/>
              </w:rPr>
              <w:t>7,627</w:t>
            </w:r>
          </w:p>
        </w:tc>
        <w:tc>
          <w:tcPr>
            <w:tcW w:w="240" w:type="dxa"/>
            <w:vAlign w:val="bottom"/>
            <w:tcBorders>
              <w:bottom w:val="single" w:sz="8" w:color="939598"/>
            </w:tcBorders>
            <w:shd w:val="clear" w:color="auto" w:fill="F3F3F4"/>
          </w:tcPr>
          <w:p>
            <w:pPr>
              <w:spacing w:after="0"/>
              <w:rPr>
                <w:sz w:val="19"/>
                <w:szCs w:val="19"/>
                <w:color w:val="auto"/>
              </w:rPr>
            </w:pPr>
          </w:p>
        </w:tc>
        <w:tc>
          <w:tcPr>
            <w:tcW w:w="1360" w:type="dxa"/>
            <w:vAlign w:val="bottom"/>
            <w:tcBorders>
              <w:bottom w:val="single" w:sz="8" w:color="939598"/>
            </w:tcBorders>
            <w:shd w:val="clear" w:color="auto" w:fill="F3F3F4"/>
          </w:tcPr>
          <w:p>
            <w:pPr>
              <w:jc w:val="right"/>
              <w:ind w:right="61"/>
              <w:spacing w:after="0"/>
              <w:rPr>
                <w:sz w:val="20"/>
                <w:szCs w:val="20"/>
                <w:color w:val="auto"/>
              </w:rPr>
            </w:pPr>
            <w:r>
              <w:rPr>
                <w:rFonts w:ascii="Arial" w:cs="Arial" w:eastAsia="Arial" w:hAnsi="Arial"/>
                <w:sz w:val="12"/>
                <w:szCs w:val="12"/>
                <w:color w:val="auto"/>
              </w:rPr>
              <w:t>983,730</w:t>
            </w:r>
          </w:p>
        </w:tc>
        <w:tc>
          <w:tcPr>
            <w:tcW w:w="1540" w:type="dxa"/>
            <w:vAlign w:val="bottom"/>
            <w:tcBorders>
              <w:bottom w:val="single" w:sz="8" w:color="939598"/>
            </w:tcBorders>
            <w:shd w:val="clear" w:color="auto" w:fill="F3F3F4"/>
          </w:tcPr>
          <w:p>
            <w:pPr>
              <w:spacing w:after="0"/>
              <w:rPr>
                <w:sz w:val="19"/>
                <w:szCs w:val="19"/>
                <w:color w:val="auto"/>
              </w:rPr>
            </w:pPr>
          </w:p>
        </w:tc>
        <w:tc>
          <w:tcPr>
            <w:tcW w:w="200" w:type="dxa"/>
            <w:vAlign w:val="bottom"/>
            <w:tcBorders>
              <w:bottom w:val="single" w:sz="8" w:color="939598"/>
            </w:tcBorders>
            <w:shd w:val="clear" w:color="auto" w:fill="F3F3F4"/>
          </w:tcPr>
          <w:p>
            <w:pPr>
              <w:spacing w:after="0"/>
              <w:rPr>
                <w:sz w:val="19"/>
                <w:szCs w:val="19"/>
                <w:color w:val="auto"/>
              </w:rPr>
            </w:pPr>
          </w:p>
        </w:tc>
        <w:tc>
          <w:tcPr>
            <w:tcW w:w="1340" w:type="dxa"/>
            <w:vAlign w:val="bottom"/>
            <w:tcBorders>
              <w:bottom w:val="single" w:sz="8" w:color="939598"/>
            </w:tcBorders>
            <w:gridSpan w:val="2"/>
            <w:shd w:val="clear" w:color="auto" w:fill="F3F3F4"/>
          </w:tcPr>
          <w:p>
            <w:pPr>
              <w:jc w:val="right"/>
              <w:ind w:right="100"/>
              <w:spacing w:after="0"/>
              <w:rPr>
                <w:sz w:val="20"/>
                <w:szCs w:val="20"/>
                <w:color w:val="auto"/>
              </w:rPr>
            </w:pPr>
            <w:r>
              <w:rPr>
                <w:rFonts w:ascii="Arial" w:cs="Arial" w:eastAsia="Arial" w:hAnsi="Arial"/>
                <w:sz w:val="12"/>
                <w:szCs w:val="12"/>
                <w:color w:val="auto"/>
              </w:rPr>
              <w:t>1,830</w:t>
            </w:r>
            <w:r>
              <w:rPr>
                <w:rFonts w:ascii="Arial" w:cs="Arial" w:eastAsia="Arial" w:hAnsi="Arial"/>
                <w:sz w:val="19"/>
                <w:szCs w:val="19"/>
                <w:color w:val="auto"/>
                <w:vertAlign w:val="superscript"/>
              </w:rPr>
              <w:t>4</w:t>
            </w:r>
          </w:p>
        </w:tc>
        <w:tc>
          <w:tcPr>
            <w:tcW w:w="0" w:type="dxa"/>
            <w:vAlign w:val="bottom"/>
          </w:tcPr>
          <w:p>
            <w:pPr>
              <w:spacing w:after="0"/>
              <w:rPr>
                <w:sz w:val="1"/>
                <w:szCs w:val="1"/>
                <w:color w:val="auto"/>
              </w:rPr>
            </w:pPr>
          </w:p>
        </w:tc>
      </w:tr>
      <w:tr>
        <w:trPr>
          <w:trHeight w:val="226"/>
        </w:trPr>
        <w:tc>
          <w:tcPr>
            <w:tcW w:w="232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Christopher L. Tucker</w:t>
            </w: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4/30/2021</w:t>
            </w:r>
          </w:p>
        </w:tc>
        <w:tc>
          <w:tcPr>
            <w:tcW w:w="220" w:type="dxa"/>
            <w:vAlign w:val="bottom"/>
            <w:shd w:val="clear" w:color="auto" w:fill="F3F3F4"/>
          </w:tcPr>
          <w:p>
            <w:pPr>
              <w:spacing w:after="0"/>
              <w:rPr>
                <w:sz w:val="19"/>
                <w:szCs w:val="19"/>
                <w:color w:val="auto"/>
              </w:rPr>
            </w:pPr>
          </w:p>
        </w:tc>
        <w:tc>
          <w:tcPr>
            <w:tcW w:w="13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3,132</w:t>
            </w:r>
          </w:p>
        </w:tc>
        <w:tc>
          <w:tcPr>
            <w:tcW w:w="24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w:t>
            </w:r>
          </w:p>
        </w:tc>
        <w:tc>
          <w:tcPr>
            <w:tcW w:w="136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403,965</w:t>
            </w:r>
          </w:p>
        </w:tc>
        <w:tc>
          <w:tcPr>
            <w:tcW w:w="1540" w:type="dxa"/>
            <w:vAlign w:val="bottom"/>
            <w:shd w:val="clear" w:color="auto" w:fill="F3F3F4"/>
          </w:tcPr>
          <w:p>
            <w:pPr>
              <w:spacing w:after="0"/>
              <w:rPr>
                <w:sz w:val="19"/>
                <w:szCs w:val="19"/>
                <w:color w:val="auto"/>
              </w:rPr>
            </w:pPr>
          </w:p>
        </w:tc>
        <w:tc>
          <w:tcPr>
            <w:tcW w:w="200" w:type="dxa"/>
            <w:vAlign w:val="bottom"/>
            <w:shd w:val="clear" w:color="auto" w:fill="F3F3F4"/>
          </w:tcPr>
          <w:p>
            <w:pPr>
              <w:spacing w:after="0"/>
              <w:rPr>
                <w:sz w:val="19"/>
                <w:szCs w:val="19"/>
                <w:color w:val="auto"/>
              </w:rPr>
            </w:pPr>
          </w:p>
        </w:tc>
        <w:tc>
          <w:tcPr>
            <w:tcW w:w="1240" w:type="dxa"/>
            <w:vAlign w:val="bottom"/>
            <w:shd w:val="clear" w:color="auto" w:fill="F3F3F4"/>
          </w:tcPr>
          <w:p>
            <w:pPr>
              <w:spacing w:after="0"/>
              <w:rPr>
                <w:sz w:val="19"/>
                <w:szCs w:val="19"/>
                <w:color w:val="auto"/>
              </w:rPr>
            </w:pPr>
          </w:p>
        </w:tc>
        <w:tc>
          <w:tcPr>
            <w:tcW w:w="100" w:type="dxa"/>
            <w:vAlign w:val="bottom"/>
            <w:shd w:val="clear" w:color="auto" w:fill="F3F3F4"/>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320" w:type="dxa"/>
            <w:vAlign w:val="bottom"/>
            <w:shd w:val="clear" w:color="auto" w:fill="F3F3F4"/>
          </w:tcPr>
          <w:p>
            <w:pPr>
              <w:spacing w:after="0"/>
              <w:rPr>
                <w:sz w:val="20"/>
                <w:szCs w:val="20"/>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PSU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11/17/2021</w:t>
            </w:r>
          </w:p>
        </w:tc>
        <w:tc>
          <w:tcPr>
            <w:tcW w:w="220" w:type="dxa"/>
            <w:vAlign w:val="bottom"/>
            <w:shd w:val="clear" w:color="auto" w:fill="F3F3F4"/>
          </w:tcPr>
          <w:p>
            <w:pPr>
              <w:spacing w:after="0"/>
              <w:rPr>
                <w:sz w:val="20"/>
                <w:szCs w:val="20"/>
                <w:color w:val="auto"/>
              </w:rPr>
            </w:pPr>
          </w:p>
        </w:tc>
        <w:tc>
          <w:tcPr>
            <w:tcW w:w="1360" w:type="dxa"/>
            <w:vAlign w:val="bottom"/>
            <w:shd w:val="clear" w:color="auto" w:fill="F3F3F4"/>
          </w:tcPr>
          <w:p>
            <w:pPr>
              <w:spacing w:after="0"/>
              <w:rPr>
                <w:sz w:val="20"/>
                <w:szCs w:val="20"/>
                <w:color w:val="auto"/>
              </w:rPr>
            </w:pPr>
          </w:p>
        </w:tc>
        <w:tc>
          <w:tcPr>
            <w:tcW w:w="240" w:type="dxa"/>
            <w:vAlign w:val="bottom"/>
            <w:shd w:val="clear" w:color="auto" w:fill="F3F3F4"/>
          </w:tcPr>
          <w:p>
            <w:pPr>
              <w:spacing w:after="0"/>
              <w:rPr>
                <w:sz w:val="20"/>
                <w:szCs w:val="20"/>
                <w:color w:val="auto"/>
              </w:rPr>
            </w:pPr>
          </w:p>
        </w:tc>
        <w:tc>
          <w:tcPr>
            <w:tcW w:w="1360" w:type="dxa"/>
            <w:vAlign w:val="bottom"/>
            <w:shd w:val="clear" w:color="auto" w:fill="F3F3F4"/>
          </w:tcPr>
          <w:p>
            <w:pPr>
              <w:spacing w:after="0"/>
              <w:rPr>
                <w:sz w:val="20"/>
                <w:szCs w:val="20"/>
                <w:color w:val="auto"/>
              </w:rPr>
            </w:pPr>
          </w:p>
        </w:tc>
        <w:tc>
          <w:tcPr>
            <w:tcW w:w="15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1,995</w:t>
            </w:r>
          </w:p>
        </w:tc>
        <w:tc>
          <w:tcPr>
            <w:tcW w:w="200" w:type="dxa"/>
            <w:vAlign w:val="bottom"/>
            <w:shd w:val="clear" w:color="auto" w:fill="F3F3F4"/>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F3F3F4"/>
          </w:tcPr>
          <w:p>
            <w:pPr>
              <w:jc w:val="right"/>
              <w:ind w:right="100"/>
              <w:spacing w:after="0"/>
              <w:rPr>
                <w:sz w:val="20"/>
                <w:szCs w:val="20"/>
                <w:color w:val="auto"/>
              </w:rPr>
            </w:pPr>
            <w:r>
              <w:rPr>
                <w:rFonts w:ascii="Arial" w:cs="Arial" w:eastAsia="Arial" w:hAnsi="Arial"/>
                <w:sz w:val="12"/>
                <w:szCs w:val="12"/>
                <w:color w:val="auto"/>
              </w:rPr>
              <w:t>257,315</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155"/>
        </w:trPr>
        <w:tc>
          <w:tcPr>
            <w:tcW w:w="2320" w:type="dxa"/>
            <w:vAlign w:val="bottom"/>
            <w:shd w:val="clear" w:color="auto" w:fill="F3F3F4"/>
          </w:tcPr>
          <w:p>
            <w:pPr>
              <w:spacing w:after="0"/>
              <w:rPr>
                <w:sz w:val="13"/>
                <w:szCs w:val="13"/>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5/5/2022</w:t>
            </w:r>
          </w:p>
        </w:tc>
        <w:tc>
          <w:tcPr>
            <w:tcW w:w="220" w:type="dxa"/>
            <w:vAlign w:val="bottom"/>
            <w:shd w:val="clear" w:color="auto" w:fill="F3F3F4"/>
          </w:tcPr>
          <w:p>
            <w:pPr>
              <w:spacing w:after="0"/>
              <w:rPr>
                <w:sz w:val="13"/>
                <w:szCs w:val="13"/>
                <w:color w:val="auto"/>
              </w:rPr>
            </w:pPr>
          </w:p>
        </w:tc>
        <w:tc>
          <w:tcPr>
            <w:tcW w:w="13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4,880</w:t>
            </w:r>
          </w:p>
        </w:tc>
        <w:tc>
          <w:tcPr>
            <w:tcW w:w="240" w:type="dxa"/>
            <w:vAlign w:val="bottom"/>
            <w:shd w:val="clear" w:color="auto" w:fill="F3F3F4"/>
          </w:tcPr>
          <w:p>
            <w:pPr>
              <w:spacing w:after="0"/>
              <w:rPr>
                <w:sz w:val="13"/>
                <w:szCs w:val="13"/>
                <w:color w:val="auto"/>
              </w:rPr>
            </w:pPr>
          </w:p>
        </w:tc>
        <w:tc>
          <w:tcPr>
            <w:tcW w:w="136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629,422</w:t>
            </w:r>
          </w:p>
        </w:tc>
        <w:tc>
          <w:tcPr>
            <w:tcW w:w="1540" w:type="dxa"/>
            <w:vAlign w:val="bottom"/>
            <w:shd w:val="clear" w:color="auto" w:fill="F3F3F4"/>
          </w:tcPr>
          <w:p>
            <w:pPr>
              <w:spacing w:after="0"/>
              <w:rPr>
                <w:sz w:val="13"/>
                <w:szCs w:val="13"/>
                <w:color w:val="auto"/>
              </w:rPr>
            </w:pPr>
          </w:p>
        </w:tc>
        <w:tc>
          <w:tcPr>
            <w:tcW w:w="200" w:type="dxa"/>
            <w:vAlign w:val="bottom"/>
            <w:shd w:val="clear" w:color="auto" w:fill="F3F3F4"/>
          </w:tcPr>
          <w:p>
            <w:pPr>
              <w:spacing w:after="0"/>
              <w:rPr>
                <w:sz w:val="13"/>
                <w:szCs w:val="13"/>
                <w:color w:val="auto"/>
              </w:rPr>
            </w:pPr>
          </w:p>
        </w:tc>
        <w:tc>
          <w:tcPr>
            <w:tcW w:w="1240" w:type="dxa"/>
            <w:vAlign w:val="bottom"/>
            <w:shd w:val="clear" w:color="auto" w:fill="F3F3F4"/>
          </w:tcPr>
          <w:p>
            <w:pPr>
              <w:spacing w:after="0"/>
              <w:rPr>
                <w:sz w:val="13"/>
                <w:szCs w:val="13"/>
                <w:color w:val="auto"/>
              </w:rPr>
            </w:pPr>
          </w:p>
        </w:tc>
        <w:tc>
          <w:tcPr>
            <w:tcW w:w="100" w:type="dxa"/>
            <w:vAlign w:val="bottom"/>
            <w:shd w:val="clear" w:color="auto" w:fill="F3F3F4"/>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320" w:type="dxa"/>
            <w:vAlign w:val="bottom"/>
            <w:shd w:val="clear" w:color="auto" w:fill="F3F3F4"/>
          </w:tcPr>
          <w:p>
            <w:pPr>
              <w:spacing w:after="0"/>
              <w:rPr>
                <w:sz w:val="21"/>
                <w:szCs w:val="21"/>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PSU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11/16/2022</w:t>
            </w:r>
          </w:p>
        </w:tc>
        <w:tc>
          <w:tcPr>
            <w:tcW w:w="220" w:type="dxa"/>
            <w:vAlign w:val="bottom"/>
            <w:shd w:val="clear" w:color="auto" w:fill="F3F3F4"/>
          </w:tcPr>
          <w:p>
            <w:pPr>
              <w:spacing w:after="0"/>
              <w:rPr>
                <w:sz w:val="21"/>
                <w:szCs w:val="21"/>
                <w:color w:val="auto"/>
              </w:rPr>
            </w:pPr>
          </w:p>
        </w:tc>
        <w:tc>
          <w:tcPr>
            <w:tcW w:w="1360" w:type="dxa"/>
            <w:vAlign w:val="bottom"/>
            <w:shd w:val="clear" w:color="auto" w:fill="F3F3F4"/>
          </w:tcPr>
          <w:p>
            <w:pPr>
              <w:spacing w:after="0"/>
              <w:rPr>
                <w:sz w:val="21"/>
                <w:szCs w:val="21"/>
                <w:color w:val="auto"/>
              </w:rPr>
            </w:pPr>
          </w:p>
        </w:tc>
        <w:tc>
          <w:tcPr>
            <w:tcW w:w="240" w:type="dxa"/>
            <w:vAlign w:val="bottom"/>
            <w:shd w:val="clear" w:color="auto" w:fill="F3F3F4"/>
          </w:tcPr>
          <w:p>
            <w:pPr>
              <w:spacing w:after="0"/>
              <w:rPr>
                <w:sz w:val="21"/>
                <w:szCs w:val="21"/>
                <w:color w:val="auto"/>
              </w:rPr>
            </w:pPr>
          </w:p>
        </w:tc>
        <w:tc>
          <w:tcPr>
            <w:tcW w:w="1360" w:type="dxa"/>
            <w:vAlign w:val="bottom"/>
            <w:shd w:val="clear" w:color="auto" w:fill="F3F3F4"/>
          </w:tcPr>
          <w:p>
            <w:pPr>
              <w:spacing w:after="0"/>
              <w:rPr>
                <w:sz w:val="21"/>
                <w:szCs w:val="21"/>
                <w:color w:val="auto"/>
              </w:rPr>
            </w:pPr>
          </w:p>
        </w:tc>
        <w:tc>
          <w:tcPr>
            <w:tcW w:w="15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1,642</w:t>
            </w:r>
          </w:p>
        </w:tc>
        <w:tc>
          <w:tcPr>
            <w:tcW w:w="200" w:type="dxa"/>
            <w:vAlign w:val="bottom"/>
            <w:shd w:val="clear" w:color="auto" w:fill="F3F3F4"/>
          </w:tcPr>
          <w:p>
            <w:pPr>
              <w:spacing w:after="0"/>
              <w:rPr>
                <w:sz w:val="21"/>
                <w:szCs w:val="21"/>
                <w:color w:val="auto"/>
              </w:rPr>
            </w:pPr>
          </w:p>
        </w:tc>
        <w:tc>
          <w:tcPr>
            <w:tcW w:w="1340" w:type="dxa"/>
            <w:vAlign w:val="bottom"/>
            <w:gridSpan w:val="2"/>
            <w:shd w:val="clear" w:color="auto" w:fill="F3F3F4"/>
          </w:tcPr>
          <w:p>
            <w:pPr>
              <w:jc w:val="right"/>
              <w:ind w:right="100"/>
              <w:spacing w:after="0"/>
              <w:rPr>
                <w:sz w:val="20"/>
                <w:szCs w:val="20"/>
                <w:color w:val="auto"/>
              </w:rPr>
            </w:pPr>
            <w:r>
              <w:rPr>
                <w:rFonts w:ascii="Arial" w:cs="Arial" w:eastAsia="Arial" w:hAnsi="Arial"/>
                <w:sz w:val="12"/>
                <w:szCs w:val="12"/>
                <w:color w:val="auto"/>
              </w:rPr>
              <w:t>211,785</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215"/>
        </w:trPr>
        <w:tc>
          <w:tcPr>
            <w:tcW w:w="2320" w:type="dxa"/>
            <w:vAlign w:val="bottom"/>
            <w:shd w:val="clear" w:color="auto" w:fill="F3F3F4"/>
          </w:tcPr>
          <w:p>
            <w:pPr>
              <w:spacing w:after="0"/>
              <w:rPr>
                <w:sz w:val="18"/>
                <w:szCs w:val="18"/>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2/3/2023</w:t>
            </w:r>
          </w:p>
        </w:tc>
        <w:tc>
          <w:tcPr>
            <w:tcW w:w="220" w:type="dxa"/>
            <w:vAlign w:val="bottom"/>
            <w:shd w:val="clear" w:color="auto" w:fill="F3F3F4"/>
          </w:tcPr>
          <w:p>
            <w:pPr>
              <w:spacing w:after="0"/>
              <w:rPr>
                <w:sz w:val="18"/>
                <w:szCs w:val="18"/>
                <w:color w:val="auto"/>
              </w:rPr>
            </w:pPr>
          </w:p>
        </w:tc>
        <w:tc>
          <w:tcPr>
            <w:tcW w:w="13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2,507</w:t>
            </w:r>
          </w:p>
        </w:tc>
        <w:tc>
          <w:tcPr>
            <w:tcW w:w="240" w:type="dxa"/>
            <w:vAlign w:val="bottom"/>
            <w:shd w:val="clear" w:color="auto" w:fill="F3F3F4"/>
          </w:tcPr>
          <w:p>
            <w:pPr>
              <w:spacing w:after="0"/>
              <w:rPr>
                <w:sz w:val="18"/>
                <w:szCs w:val="18"/>
                <w:color w:val="auto"/>
              </w:rPr>
            </w:pPr>
          </w:p>
        </w:tc>
        <w:tc>
          <w:tcPr>
            <w:tcW w:w="136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323,353</w:t>
            </w:r>
          </w:p>
        </w:tc>
        <w:tc>
          <w:tcPr>
            <w:tcW w:w="1540" w:type="dxa"/>
            <w:vAlign w:val="bottom"/>
            <w:shd w:val="clear" w:color="auto" w:fill="F3F3F4"/>
          </w:tcPr>
          <w:p>
            <w:pPr>
              <w:spacing w:after="0"/>
              <w:rPr>
                <w:sz w:val="18"/>
                <w:szCs w:val="18"/>
                <w:color w:val="auto"/>
              </w:rPr>
            </w:pPr>
          </w:p>
        </w:tc>
        <w:tc>
          <w:tcPr>
            <w:tcW w:w="200" w:type="dxa"/>
            <w:vAlign w:val="bottom"/>
            <w:shd w:val="clear" w:color="auto" w:fill="F3F3F4"/>
          </w:tcPr>
          <w:p>
            <w:pPr>
              <w:spacing w:after="0"/>
              <w:rPr>
                <w:sz w:val="18"/>
                <w:szCs w:val="18"/>
                <w:color w:val="auto"/>
              </w:rPr>
            </w:pPr>
          </w:p>
        </w:tc>
        <w:tc>
          <w:tcPr>
            <w:tcW w:w="1340" w:type="dxa"/>
            <w:vAlign w:val="bottom"/>
            <w:gridSpan w:val="2"/>
            <w:shd w:val="clear" w:color="auto" w:fill="F3F3F4"/>
          </w:tcPr>
          <w:p>
            <w:pPr>
              <w:jc w:val="right"/>
              <w:ind w:right="100"/>
              <w:spacing w:after="0" w:line="214" w:lineRule="exact"/>
              <w:rPr>
                <w:sz w:val="20"/>
                <w:szCs w:val="20"/>
                <w:color w:val="auto"/>
              </w:rPr>
            </w:pPr>
            <w:r>
              <w:rPr>
                <w:rFonts w:ascii="Arial" w:cs="Arial" w:eastAsia="Arial" w:hAnsi="Arial"/>
                <w:sz w:val="12"/>
                <w:szCs w:val="12"/>
                <w:color w:val="auto"/>
              </w:rPr>
              <w:t>1,230</w:t>
            </w:r>
            <w:r>
              <w:rPr>
                <w:rFonts w:ascii="Arial" w:cs="Arial" w:eastAsia="Arial" w:hAnsi="Arial"/>
                <w:sz w:val="19"/>
                <w:szCs w:val="19"/>
                <w:color w:val="auto"/>
                <w:vertAlign w:val="superscript"/>
              </w:rPr>
              <w:t>4</w:t>
            </w:r>
          </w:p>
        </w:tc>
        <w:tc>
          <w:tcPr>
            <w:tcW w:w="0" w:type="dxa"/>
            <w:vAlign w:val="bottom"/>
          </w:tcPr>
          <w:p>
            <w:pPr>
              <w:spacing w:after="0"/>
              <w:rPr>
                <w:sz w:val="1"/>
                <w:szCs w:val="1"/>
                <w:color w:val="auto"/>
              </w:rPr>
            </w:pPr>
          </w:p>
        </w:tc>
      </w:tr>
      <w:tr>
        <w:trPr>
          <w:trHeight w:val="215"/>
        </w:trPr>
        <w:tc>
          <w:tcPr>
            <w:tcW w:w="2320" w:type="dxa"/>
            <w:vAlign w:val="bottom"/>
            <w:shd w:val="clear" w:color="auto" w:fill="F3F3F4"/>
          </w:tcPr>
          <w:p>
            <w:pPr>
              <w:spacing w:after="0"/>
              <w:rPr>
                <w:sz w:val="18"/>
                <w:szCs w:val="18"/>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5/2/2023</w:t>
            </w:r>
          </w:p>
        </w:tc>
        <w:tc>
          <w:tcPr>
            <w:tcW w:w="220" w:type="dxa"/>
            <w:vAlign w:val="bottom"/>
            <w:shd w:val="clear" w:color="auto" w:fill="F3F3F4"/>
          </w:tcPr>
          <w:p>
            <w:pPr>
              <w:spacing w:after="0"/>
              <w:rPr>
                <w:sz w:val="18"/>
                <w:szCs w:val="18"/>
                <w:color w:val="auto"/>
              </w:rPr>
            </w:pPr>
          </w:p>
        </w:tc>
        <w:tc>
          <w:tcPr>
            <w:tcW w:w="13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2,985</w:t>
            </w:r>
          </w:p>
        </w:tc>
        <w:tc>
          <w:tcPr>
            <w:tcW w:w="240" w:type="dxa"/>
            <w:vAlign w:val="bottom"/>
            <w:shd w:val="clear" w:color="auto" w:fill="F3F3F4"/>
          </w:tcPr>
          <w:p>
            <w:pPr>
              <w:spacing w:after="0"/>
              <w:rPr>
                <w:sz w:val="18"/>
                <w:szCs w:val="18"/>
                <w:color w:val="auto"/>
              </w:rPr>
            </w:pPr>
          </w:p>
        </w:tc>
        <w:tc>
          <w:tcPr>
            <w:tcW w:w="136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385,005</w:t>
            </w:r>
          </w:p>
        </w:tc>
        <w:tc>
          <w:tcPr>
            <w:tcW w:w="1540" w:type="dxa"/>
            <w:vAlign w:val="bottom"/>
            <w:shd w:val="clear" w:color="auto" w:fill="F3F3F4"/>
          </w:tcPr>
          <w:p>
            <w:pPr>
              <w:spacing w:after="0"/>
              <w:rPr>
                <w:sz w:val="18"/>
                <w:szCs w:val="18"/>
                <w:color w:val="auto"/>
              </w:rPr>
            </w:pPr>
          </w:p>
        </w:tc>
        <w:tc>
          <w:tcPr>
            <w:tcW w:w="200" w:type="dxa"/>
            <w:vAlign w:val="bottom"/>
            <w:shd w:val="clear" w:color="auto" w:fill="F3F3F4"/>
          </w:tcPr>
          <w:p>
            <w:pPr>
              <w:spacing w:after="0"/>
              <w:rPr>
                <w:sz w:val="18"/>
                <w:szCs w:val="18"/>
                <w:color w:val="auto"/>
              </w:rPr>
            </w:pPr>
          </w:p>
        </w:tc>
        <w:tc>
          <w:tcPr>
            <w:tcW w:w="1340" w:type="dxa"/>
            <w:vAlign w:val="bottom"/>
            <w:gridSpan w:val="2"/>
            <w:shd w:val="clear" w:color="auto" w:fill="F3F3F4"/>
          </w:tcPr>
          <w:p>
            <w:pPr>
              <w:jc w:val="right"/>
              <w:ind w:right="100"/>
              <w:spacing w:after="0" w:line="214" w:lineRule="exact"/>
              <w:rPr>
                <w:sz w:val="20"/>
                <w:szCs w:val="20"/>
                <w:color w:val="auto"/>
              </w:rPr>
            </w:pPr>
            <w:r>
              <w:rPr>
                <w:rFonts w:ascii="Arial" w:cs="Arial" w:eastAsia="Arial" w:hAnsi="Arial"/>
                <w:sz w:val="12"/>
                <w:szCs w:val="12"/>
                <w:color w:val="auto"/>
              </w:rPr>
              <w:t>1,194</w:t>
            </w:r>
            <w:r>
              <w:rPr>
                <w:rFonts w:ascii="Arial" w:cs="Arial" w:eastAsia="Arial" w:hAnsi="Arial"/>
                <w:sz w:val="19"/>
                <w:szCs w:val="19"/>
                <w:color w:val="auto"/>
                <w:vertAlign w:val="superscript"/>
              </w:rPr>
              <w:t>4</w:t>
            </w:r>
          </w:p>
        </w:tc>
        <w:tc>
          <w:tcPr>
            <w:tcW w:w="0" w:type="dxa"/>
            <w:vAlign w:val="bottom"/>
          </w:tcPr>
          <w:p>
            <w:pPr>
              <w:spacing w:after="0"/>
              <w:rPr>
                <w:sz w:val="1"/>
                <w:szCs w:val="1"/>
                <w:color w:val="auto"/>
              </w:rPr>
            </w:pPr>
          </w:p>
        </w:tc>
      </w:tr>
      <w:tr>
        <w:trPr>
          <w:trHeight w:val="215"/>
        </w:trPr>
        <w:tc>
          <w:tcPr>
            <w:tcW w:w="2320" w:type="dxa"/>
            <w:vAlign w:val="bottom"/>
            <w:shd w:val="clear" w:color="auto" w:fill="F3F3F4"/>
          </w:tcPr>
          <w:p>
            <w:pPr>
              <w:spacing w:after="0"/>
              <w:rPr>
                <w:sz w:val="18"/>
                <w:szCs w:val="18"/>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PSU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11/14/2023</w:t>
            </w:r>
          </w:p>
        </w:tc>
        <w:tc>
          <w:tcPr>
            <w:tcW w:w="220" w:type="dxa"/>
            <w:vAlign w:val="bottom"/>
            <w:shd w:val="clear" w:color="auto" w:fill="F3F3F4"/>
          </w:tcPr>
          <w:p>
            <w:pPr>
              <w:spacing w:after="0"/>
              <w:rPr>
                <w:sz w:val="18"/>
                <w:szCs w:val="18"/>
                <w:color w:val="auto"/>
              </w:rPr>
            </w:pPr>
          </w:p>
        </w:tc>
        <w:tc>
          <w:tcPr>
            <w:tcW w:w="1360" w:type="dxa"/>
            <w:vAlign w:val="bottom"/>
            <w:shd w:val="clear" w:color="auto" w:fill="F3F3F4"/>
          </w:tcPr>
          <w:p>
            <w:pPr>
              <w:spacing w:after="0"/>
              <w:rPr>
                <w:sz w:val="18"/>
                <w:szCs w:val="18"/>
                <w:color w:val="auto"/>
              </w:rPr>
            </w:pPr>
          </w:p>
        </w:tc>
        <w:tc>
          <w:tcPr>
            <w:tcW w:w="240" w:type="dxa"/>
            <w:vAlign w:val="bottom"/>
            <w:shd w:val="clear" w:color="auto" w:fill="F3F3F4"/>
          </w:tcPr>
          <w:p>
            <w:pPr>
              <w:spacing w:after="0"/>
              <w:rPr>
                <w:sz w:val="18"/>
                <w:szCs w:val="18"/>
                <w:color w:val="auto"/>
              </w:rPr>
            </w:pPr>
          </w:p>
        </w:tc>
        <w:tc>
          <w:tcPr>
            <w:tcW w:w="1360" w:type="dxa"/>
            <w:vAlign w:val="bottom"/>
            <w:shd w:val="clear" w:color="auto" w:fill="F3F3F4"/>
          </w:tcPr>
          <w:p>
            <w:pPr>
              <w:spacing w:after="0"/>
              <w:rPr>
                <w:sz w:val="18"/>
                <w:szCs w:val="18"/>
                <w:color w:val="auto"/>
              </w:rPr>
            </w:pPr>
          </w:p>
        </w:tc>
        <w:tc>
          <w:tcPr>
            <w:tcW w:w="15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1,512</w:t>
            </w:r>
          </w:p>
        </w:tc>
        <w:tc>
          <w:tcPr>
            <w:tcW w:w="200" w:type="dxa"/>
            <w:vAlign w:val="bottom"/>
            <w:shd w:val="clear" w:color="auto" w:fill="F3F3F4"/>
          </w:tcPr>
          <w:p>
            <w:pPr>
              <w:spacing w:after="0"/>
              <w:rPr>
                <w:sz w:val="18"/>
                <w:szCs w:val="18"/>
                <w:color w:val="auto"/>
              </w:rPr>
            </w:pPr>
          </w:p>
        </w:tc>
        <w:tc>
          <w:tcPr>
            <w:tcW w:w="1340" w:type="dxa"/>
            <w:vAlign w:val="bottom"/>
            <w:gridSpan w:val="2"/>
            <w:shd w:val="clear" w:color="auto" w:fill="F3F3F4"/>
          </w:tcPr>
          <w:p>
            <w:pPr>
              <w:jc w:val="right"/>
              <w:ind w:right="100"/>
              <w:spacing w:after="0" w:line="214" w:lineRule="exact"/>
              <w:rPr>
                <w:sz w:val="20"/>
                <w:szCs w:val="20"/>
                <w:color w:val="auto"/>
              </w:rPr>
            </w:pPr>
            <w:r>
              <w:rPr>
                <w:rFonts w:ascii="Arial" w:cs="Arial" w:eastAsia="Arial" w:hAnsi="Arial"/>
                <w:sz w:val="12"/>
                <w:szCs w:val="12"/>
                <w:color w:val="auto"/>
              </w:rPr>
              <w:t>195,381</w:t>
            </w:r>
            <w:r>
              <w:rPr>
                <w:rFonts w:ascii="Arial" w:cs="Arial" w:eastAsia="Arial" w:hAnsi="Arial"/>
                <w:sz w:val="19"/>
                <w:szCs w:val="19"/>
                <w:color w:val="auto"/>
                <w:vertAlign w:val="superscript"/>
              </w:rPr>
              <w:t>3,4</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939598"/>
            </w:tcBorders>
            <w:shd w:val="clear" w:color="auto" w:fill="F3F3F4"/>
          </w:tcPr>
          <w:p>
            <w:pPr>
              <w:spacing w:after="0"/>
              <w:rPr>
                <w:sz w:val="19"/>
                <w:szCs w:val="19"/>
                <w:color w:val="auto"/>
              </w:rPr>
            </w:pPr>
          </w:p>
        </w:tc>
        <w:tc>
          <w:tcPr>
            <w:tcW w:w="840" w:type="dxa"/>
            <w:vAlign w:val="bottom"/>
            <w:tcBorders>
              <w:bottom w:val="single" w:sz="8" w:color="939598"/>
            </w:tcBorders>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tcBorders>
              <w:bottom w:val="single" w:sz="8" w:color="939598"/>
            </w:tcBorders>
            <w:shd w:val="clear" w:color="auto" w:fill="F3F3F4"/>
          </w:tcPr>
          <w:p>
            <w:pPr>
              <w:ind w:left="380"/>
              <w:spacing w:after="0"/>
              <w:rPr>
                <w:sz w:val="20"/>
                <w:szCs w:val="20"/>
                <w:color w:val="auto"/>
              </w:rPr>
            </w:pPr>
            <w:r>
              <w:rPr>
                <w:rFonts w:ascii="Arial" w:cs="Arial" w:eastAsia="Arial" w:hAnsi="Arial"/>
                <w:sz w:val="12"/>
                <w:szCs w:val="12"/>
                <w:color w:val="auto"/>
              </w:rPr>
              <w:t>11/14/2023</w:t>
            </w:r>
          </w:p>
        </w:tc>
        <w:tc>
          <w:tcPr>
            <w:tcW w:w="220" w:type="dxa"/>
            <w:vAlign w:val="bottom"/>
            <w:tcBorders>
              <w:bottom w:val="single" w:sz="8" w:color="939598"/>
            </w:tcBorders>
            <w:shd w:val="clear" w:color="auto" w:fill="F3F3F4"/>
          </w:tcPr>
          <w:p>
            <w:pPr>
              <w:spacing w:after="0"/>
              <w:rPr>
                <w:sz w:val="19"/>
                <w:szCs w:val="19"/>
                <w:color w:val="auto"/>
              </w:rPr>
            </w:pPr>
          </w:p>
        </w:tc>
        <w:tc>
          <w:tcPr>
            <w:tcW w:w="1360" w:type="dxa"/>
            <w:vAlign w:val="bottom"/>
            <w:tcBorders>
              <w:bottom w:val="single" w:sz="8" w:color="939598"/>
            </w:tcBorders>
            <w:shd w:val="clear" w:color="auto" w:fill="F3F3F4"/>
          </w:tcPr>
          <w:p>
            <w:pPr>
              <w:jc w:val="right"/>
              <w:ind w:right="41"/>
              <w:spacing w:after="0"/>
              <w:rPr>
                <w:sz w:val="20"/>
                <w:szCs w:val="20"/>
                <w:color w:val="auto"/>
              </w:rPr>
            </w:pPr>
            <w:r>
              <w:rPr>
                <w:rFonts w:ascii="Arial" w:cs="Arial" w:eastAsia="Arial" w:hAnsi="Arial"/>
                <w:sz w:val="12"/>
                <w:szCs w:val="12"/>
                <w:color w:val="auto"/>
              </w:rPr>
              <w:t>3,023</w:t>
            </w:r>
          </w:p>
        </w:tc>
        <w:tc>
          <w:tcPr>
            <w:tcW w:w="240" w:type="dxa"/>
            <w:vAlign w:val="bottom"/>
            <w:tcBorders>
              <w:bottom w:val="single" w:sz="8" w:color="939598"/>
            </w:tcBorders>
            <w:shd w:val="clear" w:color="auto" w:fill="F3F3F4"/>
          </w:tcPr>
          <w:p>
            <w:pPr>
              <w:spacing w:after="0"/>
              <w:rPr>
                <w:sz w:val="19"/>
                <w:szCs w:val="19"/>
                <w:color w:val="auto"/>
              </w:rPr>
            </w:pPr>
          </w:p>
        </w:tc>
        <w:tc>
          <w:tcPr>
            <w:tcW w:w="1360" w:type="dxa"/>
            <w:vAlign w:val="bottom"/>
            <w:tcBorders>
              <w:bottom w:val="single" w:sz="8" w:color="939598"/>
            </w:tcBorders>
            <w:shd w:val="clear" w:color="auto" w:fill="F3F3F4"/>
          </w:tcPr>
          <w:p>
            <w:pPr>
              <w:jc w:val="right"/>
              <w:ind w:right="61"/>
              <w:spacing w:after="0"/>
              <w:rPr>
                <w:sz w:val="20"/>
                <w:szCs w:val="20"/>
                <w:color w:val="auto"/>
              </w:rPr>
            </w:pPr>
            <w:r>
              <w:rPr>
                <w:rFonts w:ascii="Arial" w:cs="Arial" w:eastAsia="Arial" w:hAnsi="Arial"/>
                <w:sz w:val="12"/>
                <w:szCs w:val="12"/>
                <w:color w:val="auto"/>
              </w:rPr>
              <w:t>389,907</w:t>
            </w:r>
          </w:p>
        </w:tc>
        <w:tc>
          <w:tcPr>
            <w:tcW w:w="1540" w:type="dxa"/>
            <w:vAlign w:val="bottom"/>
            <w:tcBorders>
              <w:bottom w:val="single" w:sz="8" w:color="939598"/>
            </w:tcBorders>
            <w:shd w:val="clear" w:color="auto" w:fill="F3F3F4"/>
          </w:tcPr>
          <w:p>
            <w:pPr>
              <w:spacing w:after="0"/>
              <w:rPr>
                <w:sz w:val="19"/>
                <w:szCs w:val="19"/>
                <w:color w:val="auto"/>
              </w:rPr>
            </w:pPr>
          </w:p>
        </w:tc>
        <w:tc>
          <w:tcPr>
            <w:tcW w:w="200" w:type="dxa"/>
            <w:vAlign w:val="bottom"/>
            <w:tcBorders>
              <w:bottom w:val="single" w:sz="8" w:color="939598"/>
            </w:tcBorders>
            <w:shd w:val="clear" w:color="auto" w:fill="F3F3F4"/>
          </w:tcPr>
          <w:p>
            <w:pPr>
              <w:spacing w:after="0"/>
              <w:rPr>
                <w:sz w:val="19"/>
                <w:szCs w:val="19"/>
                <w:color w:val="auto"/>
              </w:rPr>
            </w:pPr>
          </w:p>
        </w:tc>
        <w:tc>
          <w:tcPr>
            <w:tcW w:w="1340" w:type="dxa"/>
            <w:vAlign w:val="bottom"/>
            <w:tcBorders>
              <w:bottom w:val="single" w:sz="8" w:color="939598"/>
            </w:tcBorders>
            <w:gridSpan w:val="2"/>
            <w:shd w:val="clear" w:color="auto" w:fill="F3F3F4"/>
          </w:tcPr>
          <w:p>
            <w:pPr>
              <w:jc w:val="right"/>
              <w:ind w:right="100"/>
              <w:spacing w:after="0"/>
              <w:rPr>
                <w:sz w:val="20"/>
                <w:szCs w:val="20"/>
                <w:color w:val="auto"/>
              </w:rPr>
            </w:pPr>
            <w:r>
              <w:rPr>
                <w:rFonts w:ascii="Arial" w:cs="Arial" w:eastAsia="Arial" w:hAnsi="Arial"/>
                <w:sz w:val="12"/>
                <w:szCs w:val="12"/>
                <w:color w:val="auto"/>
              </w:rPr>
              <w:t>726</w:t>
            </w:r>
            <w:r>
              <w:rPr>
                <w:rFonts w:ascii="Arial" w:cs="Arial" w:eastAsia="Arial" w:hAnsi="Arial"/>
                <w:sz w:val="19"/>
                <w:szCs w:val="19"/>
                <w:color w:val="auto"/>
                <w:vertAlign w:val="superscript"/>
              </w:rPr>
              <w:t>4</w:t>
            </w:r>
          </w:p>
        </w:tc>
        <w:tc>
          <w:tcPr>
            <w:tcW w:w="0" w:type="dxa"/>
            <w:vAlign w:val="bottom"/>
          </w:tcPr>
          <w:p>
            <w:pPr>
              <w:spacing w:after="0"/>
              <w:rPr>
                <w:sz w:val="1"/>
                <w:szCs w:val="1"/>
                <w:color w:val="auto"/>
              </w:rPr>
            </w:pPr>
          </w:p>
        </w:tc>
      </w:tr>
      <w:tr>
        <w:trPr>
          <w:trHeight w:val="226"/>
        </w:trPr>
        <w:tc>
          <w:tcPr>
            <w:tcW w:w="2320" w:type="dxa"/>
            <w:vAlign w:val="bottom"/>
            <w:shd w:val="clear" w:color="auto" w:fill="F3F3F4"/>
          </w:tcPr>
          <w:p>
            <w:pPr>
              <w:ind w:left="100"/>
              <w:spacing w:after="0"/>
              <w:rPr>
                <w:sz w:val="20"/>
                <w:szCs w:val="20"/>
                <w:color w:val="auto"/>
              </w:rPr>
            </w:pPr>
            <w:r>
              <w:rPr>
                <w:rFonts w:ascii="Arial" w:cs="Arial" w:eastAsia="Arial" w:hAnsi="Arial"/>
                <w:sz w:val="12"/>
                <w:szCs w:val="12"/>
                <w:b w:val="1"/>
                <w:bCs w:val="1"/>
                <w:color w:val="auto"/>
              </w:rPr>
              <w:t>David M. Schatz</w:t>
            </w: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4/30/2021</w:t>
            </w:r>
          </w:p>
        </w:tc>
        <w:tc>
          <w:tcPr>
            <w:tcW w:w="220" w:type="dxa"/>
            <w:vAlign w:val="bottom"/>
            <w:shd w:val="clear" w:color="auto" w:fill="F3F3F4"/>
          </w:tcPr>
          <w:p>
            <w:pPr>
              <w:spacing w:after="0"/>
              <w:rPr>
                <w:sz w:val="19"/>
                <w:szCs w:val="19"/>
                <w:color w:val="auto"/>
              </w:rPr>
            </w:pPr>
          </w:p>
        </w:tc>
        <w:tc>
          <w:tcPr>
            <w:tcW w:w="13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1,519</w:t>
            </w:r>
          </w:p>
        </w:tc>
        <w:tc>
          <w:tcPr>
            <w:tcW w:w="240" w:type="dxa"/>
            <w:vAlign w:val="bottom"/>
            <w:shd w:val="clear" w:color="auto" w:fill="F3F3F4"/>
          </w:tcPr>
          <w:p>
            <w:pPr>
              <w:jc w:val="right"/>
              <w:ind w:right="1"/>
              <w:spacing w:after="0"/>
              <w:rPr>
                <w:sz w:val="20"/>
                <w:szCs w:val="20"/>
                <w:color w:val="auto"/>
              </w:rPr>
            </w:pPr>
            <w:r>
              <w:rPr>
                <w:rFonts w:ascii="Arial" w:cs="Arial" w:eastAsia="Arial" w:hAnsi="Arial"/>
                <w:sz w:val="12"/>
                <w:szCs w:val="12"/>
                <w:color w:val="auto"/>
              </w:rPr>
              <w:t>$</w:t>
            </w:r>
          </w:p>
        </w:tc>
        <w:tc>
          <w:tcPr>
            <w:tcW w:w="136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195,921</w:t>
            </w:r>
          </w:p>
        </w:tc>
        <w:tc>
          <w:tcPr>
            <w:tcW w:w="1540" w:type="dxa"/>
            <w:vAlign w:val="bottom"/>
            <w:shd w:val="clear" w:color="auto" w:fill="F3F3F4"/>
          </w:tcPr>
          <w:p>
            <w:pPr>
              <w:spacing w:after="0"/>
              <w:rPr>
                <w:sz w:val="19"/>
                <w:szCs w:val="19"/>
                <w:color w:val="auto"/>
              </w:rPr>
            </w:pPr>
          </w:p>
        </w:tc>
        <w:tc>
          <w:tcPr>
            <w:tcW w:w="200" w:type="dxa"/>
            <w:vAlign w:val="bottom"/>
            <w:shd w:val="clear" w:color="auto" w:fill="F3F3F4"/>
          </w:tcPr>
          <w:p>
            <w:pPr>
              <w:spacing w:after="0"/>
              <w:rPr>
                <w:sz w:val="19"/>
                <w:szCs w:val="19"/>
                <w:color w:val="auto"/>
              </w:rPr>
            </w:pPr>
          </w:p>
        </w:tc>
        <w:tc>
          <w:tcPr>
            <w:tcW w:w="1340" w:type="dxa"/>
            <w:vAlign w:val="bottom"/>
            <w:gridSpan w:val="2"/>
            <w:vMerge w:val="restart"/>
            <w:shd w:val="clear" w:color="auto" w:fill="F3F3F4"/>
          </w:tcPr>
          <w:p>
            <w:pPr>
              <w:jc w:val="right"/>
              <w:ind w:right="100"/>
              <w:spacing w:after="0"/>
              <w:rPr>
                <w:sz w:val="20"/>
                <w:szCs w:val="20"/>
                <w:color w:val="auto"/>
              </w:rPr>
            </w:pPr>
            <w:r>
              <w:rPr>
                <w:rFonts w:ascii="Arial" w:cs="Arial" w:eastAsia="Arial" w:hAnsi="Arial"/>
                <w:sz w:val="12"/>
                <w:szCs w:val="12"/>
                <w:color w:val="auto"/>
              </w:rPr>
              <w:t>125,369</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231"/>
        </w:trPr>
        <w:tc>
          <w:tcPr>
            <w:tcW w:w="2320" w:type="dxa"/>
            <w:vAlign w:val="bottom"/>
            <w:shd w:val="clear" w:color="auto" w:fill="F3F3F4"/>
          </w:tcPr>
          <w:p>
            <w:pPr>
              <w:spacing w:after="0"/>
              <w:rPr>
                <w:sz w:val="20"/>
                <w:szCs w:val="20"/>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PSU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11/17/2021</w:t>
            </w:r>
          </w:p>
        </w:tc>
        <w:tc>
          <w:tcPr>
            <w:tcW w:w="220" w:type="dxa"/>
            <w:vAlign w:val="bottom"/>
            <w:shd w:val="clear" w:color="auto" w:fill="F3F3F4"/>
          </w:tcPr>
          <w:p>
            <w:pPr>
              <w:spacing w:after="0"/>
              <w:rPr>
                <w:sz w:val="20"/>
                <w:szCs w:val="20"/>
                <w:color w:val="auto"/>
              </w:rPr>
            </w:pPr>
          </w:p>
        </w:tc>
        <w:tc>
          <w:tcPr>
            <w:tcW w:w="1360" w:type="dxa"/>
            <w:vAlign w:val="bottom"/>
            <w:shd w:val="clear" w:color="auto" w:fill="F3F3F4"/>
          </w:tcPr>
          <w:p>
            <w:pPr>
              <w:spacing w:after="0"/>
              <w:rPr>
                <w:sz w:val="20"/>
                <w:szCs w:val="20"/>
                <w:color w:val="auto"/>
              </w:rPr>
            </w:pPr>
          </w:p>
        </w:tc>
        <w:tc>
          <w:tcPr>
            <w:tcW w:w="240" w:type="dxa"/>
            <w:vAlign w:val="bottom"/>
            <w:shd w:val="clear" w:color="auto" w:fill="F3F3F4"/>
          </w:tcPr>
          <w:p>
            <w:pPr>
              <w:spacing w:after="0"/>
              <w:rPr>
                <w:sz w:val="20"/>
                <w:szCs w:val="20"/>
                <w:color w:val="auto"/>
              </w:rPr>
            </w:pPr>
          </w:p>
        </w:tc>
        <w:tc>
          <w:tcPr>
            <w:tcW w:w="1360" w:type="dxa"/>
            <w:vAlign w:val="bottom"/>
            <w:shd w:val="clear" w:color="auto" w:fill="F3F3F4"/>
          </w:tcPr>
          <w:p>
            <w:pPr>
              <w:spacing w:after="0"/>
              <w:rPr>
                <w:sz w:val="20"/>
                <w:szCs w:val="20"/>
                <w:color w:val="auto"/>
              </w:rPr>
            </w:pPr>
          </w:p>
        </w:tc>
        <w:tc>
          <w:tcPr>
            <w:tcW w:w="15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972</w:t>
            </w:r>
          </w:p>
        </w:tc>
        <w:tc>
          <w:tcPr>
            <w:tcW w:w="200" w:type="dxa"/>
            <w:vAlign w:val="bottom"/>
            <w:shd w:val="clear" w:color="auto" w:fill="F3F3F4"/>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vMerge w:val="continue"/>
            <w:shd w:val="clear" w:color="auto" w:fill="F3F3F4"/>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F3F3F4"/>
          </w:tcPr>
          <w:p>
            <w:pPr>
              <w:spacing w:after="0"/>
              <w:rPr>
                <w:sz w:val="13"/>
                <w:szCs w:val="13"/>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5/5/2022</w:t>
            </w:r>
          </w:p>
        </w:tc>
        <w:tc>
          <w:tcPr>
            <w:tcW w:w="220" w:type="dxa"/>
            <w:vAlign w:val="bottom"/>
            <w:shd w:val="clear" w:color="auto" w:fill="F3F3F4"/>
          </w:tcPr>
          <w:p>
            <w:pPr>
              <w:spacing w:after="0"/>
              <w:rPr>
                <w:sz w:val="13"/>
                <w:szCs w:val="13"/>
                <w:color w:val="auto"/>
              </w:rPr>
            </w:pPr>
          </w:p>
        </w:tc>
        <w:tc>
          <w:tcPr>
            <w:tcW w:w="13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2,384</w:t>
            </w:r>
          </w:p>
        </w:tc>
        <w:tc>
          <w:tcPr>
            <w:tcW w:w="240" w:type="dxa"/>
            <w:vAlign w:val="bottom"/>
            <w:shd w:val="clear" w:color="auto" w:fill="F3F3F4"/>
          </w:tcPr>
          <w:p>
            <w:pPr>
              <w:spacing w:after="0"/>
              <w:rPr>
                <w:sz w:val="13"/>
                <w:szCs w:val="13"/>
                <w:color w:val="auto"/>
              </w:rPr>
            </w:pPr>
          </w:p>
        </w:tc>
        <w:tc>
          <w:tcPr>
            <w:tcW w:w="136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307,488</w:t>
            </w:r>
          </w:p>
        </w:tc>
        <w:tc>
          <w:tcPr>
            <w:tcW w:w="1540" w:type="dxa"/>
            <w:vAlign w:val="bottom"/>
            <w:shd w:val="clear" w:color="auto" w:fill="F3F3F4"/>
          </w:tcPr>
          <w:p>
            <w:pPr>
              <w:spacing w:after="0"/>
              <w:rPr>
                <w:sz w:val="13"/>
                <w:szCs w:val="13"/>
                <w:color w:val="auto"/>
              </w:rPr>
            </w:pPr>
          </w:p>
        </w:tc>
        <w:tc>
          <w:tcPr>
            <w:tcW w:w="200" w:type="dxa"/>
            <w:vAlign w:val="bottom"/>
            <w:shd w:val="clear" w:color="auto" w:fill="F3F3F4"/>
          </w:tcPr>
          <w:p>
            <w:pPr>
              <w:spacing w:after="0"/>
              <w:rPr>
                <w:sz w:val="13"/>
                <w:szCs w:val="13"/>
                <w:color w:val="auto"/>
              </w:rPr>
            </w:pPr>
          </w:p>
        </w:tc>
        <w:tc>
          <w:tcPr>
            <w:tcW w:w="1240" w:type="dxa"/>
            <w:vAlign w:val="bottom"/>
            <w:vMerge w:val="restart"/>
            <w:shd w:val="clear" w:color="auto" w:fill="F3F3F4"/>
          </w:tcPr>
          <w:p>
            <w:pPr>
              <w:jc w:val="right"/>
              <w:spacing w:after="0"/>
              <w:rPr>
                <w:sz w:val="20"/>
                <w:szCs w:val="20"/>
                <w:color w:val="auto"/>
              </w:rPr>
            </w:pPr>
            <w:r>
              <w:rPr>
                <w:rFonts w:ascii="Arial" w:cs="Arial" w:eastAsia="Arial" w:hAnsi="Arial"/>
                <w:sz w:val="12"/>
                <w:szCs w:val="12"/>
                <w:color w:val="auto"/>
              </w:rPr>
              <w:t>109,762</w:t>
            </w:r>
            <w:r>
              <w:rPr>
                <w:rFonts w:ascii="Arial" w:cs="Arial" w:eastAsia="Arial" w:hAnsi="Arial"/>
                <w:sz w:val="19"/>
                <w:szCs w:val="19"/>
                <w:color w:val="auto"/>
                <w:vertAlign w:val="superscript"/>
              </w:rPr>
              <w:t>3</w:t>
            </w:r>
          </w:p>
        </w:tc>
        <w:tc>
          <w:tcPr>
            <w:tcW w:w="100" w:type="dxa"/>
            <w:vAlign w:val="bottom"/>
            <w:shd w:val="clear" w:color="auto" w:fill="F3F3F4"/>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320" w:type="dxa"/>
            <w:vAlign w:val="bottom"/>
            <w:shd w:val="clear" w:color="auto" w:fill="F3F3F4"/>
          </w:tcPr>
          <w:p>
            <w:pPr>
              <w:spacing w:after="0"/>
              <w:rPr>
                <w:sz w:val="21"/>
                <w:szCs w:val="21"/>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PSU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11/16/2022</w:t>
            </w:r>
          </w:p>
        </w:tc>
        <w:tc>
          <w:tcPr>
            <w:tcW w:w="220" w:type="dxa"/>
            <w:vAlign w:val="bottom"/>
            <w:shd w:val="clear" w:color="auto" w:fill="F3F3F4"/>
          </w:tcPr>
          <w:p>
            <w:pPr>
              <w:spacing w:after="0"/>
              <w:rPr>
                <w:sz w:val="21"/>
                <w:szCs w:val="21"/>
                <w:color w:val="auto"/>
              </w:rPr>
            </w:pPr>
          </w:p>
        </w:tc>
        <w:tc>
          <w:tcPr>
            <w:tcW w:w="1360" w:type="dxa"/>
            <w:vAlign w:val="bottom"/>
            <w:shd w:val="clear" w:color="auto" w:fill="F3F3F4"/>
          </w:tcPr>
          <w:p>
            <w:pPr>
              <w:spacing w:after="0"/>
              <w:rPr>
                <w:sz w:val="21"/>
                <w:szCs w:val="21"/>
                <w:color w:val="auto"/>
              </w:rPr>
            </w:pPr>
          </w:p>
        </w:tc>
        <w:tc>
          <w:tcPr>
            <w:tcW w:w="240" w:type="dxa"/>
            <w:vAlign w:val="bottom"/>
            <w:shd w:val="clear" w:color="auto" w:fill="F3F3F4"/>
          </w:tcPr>
          <w:p>
            <w:pPr>
              <w:spacing w:after="0"/>
              <w:rPr>
                <w:sz w:val="21"/>
                <w:szCs w:val="21"/>
                <w:color w:val="auto"/>
              </w:rPr>
            </w:pPr>
          </w:p>
        </w:tc>
        <w:tc>
          <w:tcPr>
            <w:tcW w:w="1360" w:type="dxa"/>
            <w:vAlign w:val="bottom"/>
            <w:shd w:val="clear" w:color="auto" w:fill="F3F3F4"/>
          </w:tcPr>
          <w:p>
            <w:pPr>
              <w:spacing w:after="0"/>
              <w:rPr>
                <w:sz w:val="21"/>
                <w:szCs w:val="21"/>
                <w:color w:val="auto"/>
              </w:rPr>
            </w:pPr>
          </w:p>
        </w:tc>
        <w:tc>
          <w:tcPr>
            <w:tcW w:w="15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851</w:t>
            </w:r>
          </w:p>
        </w:tc>
        <w:tc>
          <w:tcPr>
            <w:tcW w:w="200" w:type="dxa"/>
            <w:vAlign w:val="bottom"/>
            <w:shd w:val="clear" w:color="auto" w:fill="F3F3F4"/>
          </w:tcPr>
          <w:p>
            <w:pPr>
              <w:spacing w:after="0"/>
              <w:rPr>
                <w:sz w:val="21"/>
                <w:szCs w:val="21"/>
                <w:color w:val="auto"/>
              </w:rPr>
            </w:pPr>
          </w:p>
        </w:tc>
        <w:tc>
          <w:tcPr>
            <w:tcW w:w="1240" w:type="dxa"/>
            <w:vAlign w:val="bottom"/>
            <w:vMerge w:val="continue"/>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F3F3F4"/>
          </w:tcPr>
          <w:p>
            <w:pPr>
              <w:spacing w:after="0"/>
              <w:rPr>
                <w:sz w:val="18"/>
                <w:szCs w:val="18"/>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5/2/2023</w:t>
            </w:r>
          </w:p>
        </w:tc>
        <w:tc>
          <w:tcPr>
            <w:tcW w:w="220" w:type="dxa"/>
            <w:vAlign w:val="bottom"/>
            <w:shd w:val="clear" w:color="auto" w:fill="F3F3F4"/>
          </w:tcPr>
          <w:p>
            <w:pPr>
              <w:spacing w:after="0"/>
              <w:rPr>
                <w:sz w:val="18"/>
                <w:szCs w:val="18"/>
                <w:color w:val="auto"/>
              </w:rPr>
            </w:pPr>
          </w:p>
        </w:tc>
        <w:tc>
          <w:tcPr>
            <w:tcW w:w="136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1,548</w:t>
            </w:r>
          </w:p>
        </w:tc>
        <w:tc>
          <w:tcPr>
            <w:tcW w:w="240" w:type="dxa"/>
            <w:vAlign w:val="bottom"/>
            <w:shd w:val="clear" w:color="auto" w:fill="F3F3F4"/>
          </w:tcPr>
          <w:p>
            <w:pPr>
              <w:spacing w:after="0"/>
              <w:rPr>
                <w:sz w:val="18"/>
                <w:szCs w:val="18"/>
                <w:color w:val="auto"/>
              </w:rPr>
            </w:pPr>
          </w:p>
        </w:tc>
        <w:tc>
          <w:tcPr>
            <w:tcW w:w="1360" w:type="dxa"/>
            <w:vAlign w:val="bottom"/>
            <w:shd w:val="clear" w:color="auto" w:fill="F3F3F4"/>
          </w:tcPr>
          <w:p>
            <w:pPr>
              <w:jc w:val="right"/>
              <w:ind w:right="61"/>
              <w:spacing w:after="0"/>
              <w:rPr>
                <w:sz w:val="20"/>
                <w:szCs w:val="20"/>
                <w:color w:val="auto"/>
              </w:rPr>
            </w:pPr>
            <w:r>
              <w:rPr>
                <w:rFonts w:ascii="Arial" w:cs="Arial" w:eastAsia="Arial" w:hAnsi="Arial"/>
                <w:sz w:val="12"/>
                <w:szCs w:val="12"/>
                <w:color w:val="auto"/>
              </w:rPr>
              <w:t>199,661</w:t>
            </w:r>
          </w:p>
        </w:tc>
        <w:tc>
          <w:tcPr>
            <w:tcW w:w="1540" w:type="dxa"/>
            <w:vAlign w:val="bottom"/>
            <w:shd w:val="clear" w:color="auto" w:fill="F3F3F4"/>
          </w:tcPr>
          <w:p>
            <w:pPr>
              <w:spacing w:after="0"/>
              <w:rPr>
                <w:sz w:val="18"/>
                <w:szCs w:val="18"/>
                <w:color w:val="auto"/>
              </w:rPr>
            </w:pPr>
          </w:p>
        </w:tc>
        <w:tc>
          <w:tcPr>
            <w:tcW w:w="200" w:type="dxa"/>
            <w:vAlign w:val="bottom"/>
            <w:shd w:val="clear" w:color="auto" w:fill="F3F3F4"/>
          </w:tcPr>
          <w:p>
            <w:pPr>
              <w:spacing w:after="0"/>
              <w:rPr>
                <w:sz w:val="18"/>
                <w:szCs w:val="18"/>
                <w:color w:val="auto"/>
              </w:rPr>
            </w:pPr>
          </w:p>
        </w:tc>
        <w:tc>
          <w:tcPr>
            <w:tcW w:w="1240" w:type="dxa"/>
            <w:vAlign w:val="bottom"/>
            <w:shd w:val="clear" w:color="auto" w:fill="F3F3F4"/>
          </w:tcPr>
          <w:p>
            <w:pPr>
              <w:jc w:val="right"/>
              <w:spacing w:after="0" w:line="214" w:lineRule="exact"/>
              <w:rPr>
                <w:sz w:val="20"/>
                <w:szCs w:val="20"/>
                <w:color w:val="auto"/>
              </w:rPr>
            </w:pPr>
            <w:r>
              <w:rPr>
                <w:rFonts w:ascii="Arial" w:cs="Arial" w:eastAsia="Arial" w:hAnsi="Arial"/>
                <w:sz w:val="12"/>
                <w:szCs w:val="12"/>
                <w:color w:val="auto"/>
              </w:rPr>
              <w:t>619</w:t>
            </w:r>
            <w:r>
              <w:rPr>
                <w:rFonts w:ascii="Arial" w:cs="Arial" w:eastAsia="Arial" w:hAnsi="Arial"/>
                <w:sz w:val="19"/>
                <w:szCs w:val="19"/>
                <w:color w:val="auto"/>
                <w:vertAlign w:val="superscript"/>
              </w:rPr>
              <w:t>4</w:t>
            </w:r>
          </w:p>
        </w:tc>
        <w:tc>
          <w:tcPr>
            <w:tcW w:w="100" w:type="dxa"/>
            <w:vAlign w:val="bottom"/>
            <w:shd w:val="clear" w:color="auto" w:fill="F3F3F4"/>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320" w:type="dxa"/>
            <w:vAlign w:val="bottom"/>
            <w:shd w:val="clear" w:color="auto" w:fill="F3F3F4"/>
          </w:tcPr>
          <w:p>
            <w:pPr>
              <w:spacing w:after="0"/>
              <w:rPr>
                <w:sz w:val="18"/>
                <w:szCs w:val="18"/>
                <w:color w:val="auto"/>
              </w:rPr>
            </w:pPr>
          </w:p>
        </w:tc>
        <w:tc>
          <w:tcPr>
            <w:tcW w:w="840" w:type="dxa"/>
            <w:vAlign w:val="bottom"/>
            <w:shd w:val="clear" w:color="auto" w:fill="F3F3F4"/>
          </w:tcPr>
          <w:p>
            <w:pPr>
              <w:ind w:left="160"/>
              <w:spacing w:after="0"/>
              <w:rPr>
                <w:sz w:val="20"/>
                <w:szCs w:val="20"/>
                <w:color w:val="auto"/>
              </w:rPr>
            </w:pPr>
            <w:r>
              <w:rPr>
                <w:rFonts w:ascii="Arial" w:cs="Arial" w:eastAsia="Arial" w:hAnsi="Arial"/>
                <w:sz w:val="12"/>
                <w:szCs w:val="12"/>
                <w:color w:val="auto"/>
              </w:rPr>
              <w:t>PSU</w:t>
            </w:r>
          </w:p>
        </w:tc>
        <w:tc>
          <w:tcPr>
            <w:tcW w:w="1820" w:type="dxa"/>
            <w:vAlign w:val="bottom"/>
            <w:shd w:val="clear" w:color="auto" w:fill="F3F3F4"/>
          </w:tcPr>
          <w:p>
            <w:pPr>
              <w:ind w:left="380"/>
              <w:spacing w:after="0"/>
              <w:rPr>
                <w:sz w:val="20"/>
                <w:szCs w:val="20"/>
                <w:color w:val="auto"/>
              </w:rPr>
            </w:pPr>
            <w:r>
              <w:rPr>
                <w:rFonts w:ascii="Arial" w:cs="Arial" w:eastAsia="Arial" w:hAnsi="Arial"/>
                <w:sz w:val="12"/>
                <w:szCs w:val="12"/>
                <w:color w:val="auto"/>
              </w:rPr>
              <w:t>11/14/2023</w:t>
            </w:r>
          </w:p>
        </w:tc>
        <w:tc>
          <w:tcPr>
            <w:tcW w:w="220" w:type="dxa"/>
            <w:vAlign w:val="bottom"/>
            <w:shd w:val="clear" w:color="auto" w:fill="F3F3F4"/>
          </w:tcPr>
          <w:p>
            <w:pPr>
              <w:spacing w:after="0"/>
              <w:rPr>
                <w:sz w:val="18"/>
                <w:szCs w:val="18"/>
                <w:color w:val="auto"/>
              </w:rPr>
            </w:pPr>
          </w:p>
        </w:tc>
        <w:tc>
          <w:tcPr>
            <w:tcW w:w="1360" w:type="dxa"/>
            <w:vAlign w:val="bottom"/>
            <w:shd w:val="clear" w:color="auto" w:fill="F3F3F4"/>
          </w:tcPr>
          <w:p>
            <w:pPr>
              <w:spacing w:after="0"/>
              <w:rPr>
                <w:sz w:val="18"/>
                <w:szCs w:val="18"/>
                <w:color w:val="auto"/>
              </w:rPr>
            </w:pPr>
          </w:p>
        </w:tc>
        <w:tc>
          <w:tcPr>
            <w:tcW w:w="240" w:type="dxa"/>
            <w:vAlign w:val="bottom"/>
            <w:shd w:val="clear" w:color="auto" w:fill="F3F3F4"/>
          </w:tcPr>
          <w:p>
            <w:pPr>
              <w:spacing w:after="0"/>
              <w:rPr>
                <w:sz w:val="18"/>
                <w:szCs w:val="18"/>
                <w:color w:val="auto"/>
              </w:rPr>
            </w:pPr>
          </w:p>
        </w:tc>
        <w:tc>
          <w:tcPr>
            <w:tcW w:w="1360" w:type="dxa"/>
            <w:vAlign w:val="bottom"/>
            <w:shd w:val="clear" w:color="auto" w:fill="F3F3F4"/>
          </w:tcPr>
          <w:p>
            <w:pPr>
              <w:spacing w:after="0"/>
              <w:rPr>
                <w:sz w:val="18"/>
                <w:szCs w:val="18"/>
                <w:color w:val="auto"/>
              </w:rPr>
            </w:pPr>
          </w:p>
        </w:tc>
        <w:tc>
          <w:tcPr>
            <w:tcW w:w="1540" w:type="dxa"/>
            <w:vAlign w:val="bottom"/>
            <w:shd w:val="clear" w:color="auto" w:fill="F3F3F4"/>
          </w:tcPr>
          <w:p>
            <w:pPr>
              <w:jc w:val="right"/>
              <w:ind w:right="41"/>
              <w:spacing w:after="0"/>
              <w:rPr>
                <w:sz w:val="20"/>
                <w:szCs w:val="20"/>
                <w:color w:val="auto"/>
              </w:rPr>
            </w:pPr>
            <w:r>
              <w:rPr>
                <w:rFonts w:ascii="Arial" w:cs="Arial" w:eastAsia="Arial" w:hAnsi="Arial"/>
                <w:sz w:val="12"/>
                <w:szCs w:val="12"/>
                <w:color w:val="auto"/>
              </w:rPr>
              <w:t>769</w:t>
            </w:r>
          </w:p>
        </w:tc>
        <w:tc>
          <w:tcPr>
            <w:tcW w:w="200" w:type="dxa"/>
            <w:vAlign w:val="bottom"/>
            <w:shd w:val="clear" w:color="auto" w:fill="F3F3F4"/>
          </w:tcPr>
          <w:p>
            <w:pPr>
              <w:spacing w:after="0"/>
              <w:rPr>
                <w:sz w:val="18"/>
                <w:szCs w:val="18"/>
                <w:color w:val="auto"/>
              </w:rPr>
            </w:pPr>
          </w:p>
        </w:tc>
        <w:tc>
          <w:tcPr>
            <w:tcW w:w="1240" w:type="dxa"/>
            <w:vAlign w:val="bottom"/>
            <w:shd w:val="clear" w:color="auto" w:fill="F3F3F4"/>
          </w:tcPr>
          <w:p>
            <w:pPr>
              <w:jc w:val="right"/>
              <w:spacing w:after="0" w:line="214" w:lineRule="exact"/>
              <w:rPr>
                <w:sz w:val="20"/>
                <w:szCs w:val="20"/>
                <w:color w:val="auto"/>
              </w:rPr>
            </w:pPr>
            <w:r>
              <w:rPr>
                <w:rFonts w:ascii="Arial" w:cs="Arial" w:eastAsia="Arial" w:hAnsi="Arial"/>
                <w:sz w:val="12"/>
                <w:szCs w:val="12"/>
                <w:color w:val="auto"/>
              </w:rPr>
              <w:t>99,370</w:t>
            </w:r>
            <w:r>
              <w:rPr>
                <w:rFonts w:ascii="Arial" w:cs="Arial" w:eastAsia="Arial" w:hAnsi="Arial"/>
                <w:sz w:val="19"/>
                <w:szCs w:val="19"/>
                <w:color w:val="auto"/>
                <w:vertAlign w:val="superscript"/>
              </w:rPr>
              <w:t>3,4</w:t>
            </w:r>
          </w:p>
        </w:tc>
        <w:tc>
          <w:tcPr>
            <w:tcW w:w="100" w:type="dxa"/>
            <w:vAlign w:val="bottom"/>
            <w:shd w:val="clear" w:color="auto" w:fill="F3F3F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20" w:type="dxa"/>
            <w:vAlign w:val="bottom"/>
            <w:tcBorders>
              <w:bottom w:val="single" w:sz="8" w:color="939598"/>
            </w:tcBorders>
            <w:shd w:val="clear" w:color="auto" w:fill="F3F3F4"/>
          </w:tcPr>
          <w:p>
            <w:pPr>
              <w:spacing w:after="0"/>
              <w:rPr>
                <w:sz w:val="19"/>
                <w:szCs w:val="19"/>
                <w:color w:val="auto"/>
              </w:rPr>
            </w:pPr>
          </w:p>
        </w:tc>
        <w:tc>
          <w:tcPr>
            <w:tcW w:w="840" w:type="dxa"/>
            <w:vAlign w:val="bottom"/>
            <w:tcBorders>
              <w:bottom w:val="single" w:sz="8" w:color="939598"/>
            </w:tcBorders>
            <w:shd w:val="clear" w:color="auto" w:fill="F3F3F4"/>
          </w:tcPr>
          <w:p>
            <w:pPr>
              <w:ind w:left="160"/>
              <w:spacing w:after="0"/>
              <w:rPr>
                <w:sz w:val="20"/>
                <w:szCs w:val="20"/>
                <w:color w:val="auto"/>
              </w:rPr>
            </w:pPr>
            <w:r>
              <w:rPr>
                <w:rFonts w:ascii="Arial" w:cs="Arial" w:eastAsia="Arial" w:hAnsi="Arial"/>
                <w:sz w:val="12"/>
                <w:szCs w:val="12"/>
                <w:color w:val="auto"/>
              </w:rPr>
              <w:t>RSU</w:t>
            </w:r>
          </w:p>
        </w:tc>
        <w:tc>
          <w:tcPr>
            <w:tcW w:w="1820" w:type="dxa"/>
            <w:vAlign w:val="bottom"/>
            <w:tcBorders>
              <w:bottom w:val="single" w:sz="8" w:color="939598"/>
            </w:tcBorders>
            <w:shd w:val="clear" w:color="auto" w:fill="F3F3F4"/>
          </w:tcPr>
          <w:p>
            <w:pPr>
              <w:ind w:left="380"/>
              <w:spacing w:after="0"/>
              <w:rPr>
                <w:sz w:val="20"/>
                <w:szCs w:val="20"/>
                <w:color w:val="auto"/>
              </w:rPr>
            </w:pPr>
            <w:r>
              <w:rPr>
                <w:rFonts w:ascii="Arial" w:cs="Arial" w:eastAsia="Arial" w:hAnsi="Arial"/>
                <w:sz w:val="12"/>
                <w:szCs w:val="12"/>
                <w:color w:val="auto"/>
              </w:rPr>
              <w:t>11/14/2023</w:t>
            </w:r>
          </w:p>
        </w:tc>
        <w:tc>
          <w:tcPr>
            <w:tcW w:w="220" w:type="dxa"/>
            <w:vAlign w:val="bottom"/>
            <w:tcBorders>
              <w:bottom w:val="single" w:sz="8" w:color="939598"/>
            </w:tcBorders>
            <w:shd w:val="clear" w:color="auto" w:fill="F3F3F4"/>
          </w:tcPr>
          <w:p>
            <w:pPr>
              <w:spacing w:after="0"/>
              <w:rPr>
                <w:sz w:val="19"/>
                <w:szCs w:val="19"/>
                <w:color w:val="auto"/>
              </w:rPr>
            </w:pPr>
          </w:p>
        </w:tc>
        <w:tc>
          <w:tcPr>
            <w:tcW w:w="1360" w:type="dxa"/>
            <w:vAlign w:val="bottom"/>
            <w:tcBorders>
              <w:bottom w:val="single" w:sz="8" w:color="939598"/>
            </w:tcBorders>
            <w:shd w:val="clear" w:color="auto" w:fill="F3F3F4"/>
          </w:tcPr>
          <w:p>
            <w:pPr>
              <w:jc w:val="right"/>
              <w:ind w:right="41"/>
              <w:spacing w:after="0"/>
              <w:rPr>
                <w:sz w:val="20"/>
                <w:szCs w:val="20"/>
                <w:color w:val="auto"/>
              </w:rPr>
            </w:pPr>
            <w:r>
              <w:rPr>
                <w:rFonts w:ascii="Arial" w:cs="Arial" w:eastAsia="Arial" w:hAnsi="Arial"/>
                <w:sz w:val="12"/>
                <w:szCs w:val="12"/>
                <w:color w:val="auto"/>
              </w:rPr>
              <w:t>1,538</w:t>
            </w:r>
          </w:p>
        </w:tc>
        <w:tc>
          <w:tcPr>
            <w:tcW w:w="240" w:type="dxa"/>
            <w:vAlign w:val="bottom"/>
            <w:tcBorders>
              <w:bottom w:val="single" w:sz="8" w:color="939598"/>
            </w:tcBorders>
            <w:shd w:val="clear" w:color="auto" w:fill="F3F3F4"/>
          </w:tcPr>
          <w:p>
            <w:pPr>
              <w:spacing w:after="0"/>
              <w:rPr>
                <w:sz w:val="19"/>
                <w:szCs w:val="19"/>
                <w:color w:val="auto"/>
              </w:rPr>
            </w:pPr>
          </w:p>
        </w:tc>
        <w:tc>
          <w:tcPr>
            <w:tcW w:w="1360" w:type="dxa"/>
            <w:vAlign w:val="bottom"/>
            <w:tcBorders>
              <w:bottom w:val="single" w:sz="8" w:color="939598"/>
            </w:tcBorders>
            <w:shd w:val="clear" w:color="auto" w:fill="F3F3F4"/>
          </w:tcPr>
          <w:p>
            <w:pPr>
              <w:jc w:val="right"/>
              <w:ind w:right="61"/>
              <w:spacing w:after="0"/>
              <w:rPr>
                <w:sz w:val="20"/>
                <w:szCs w:val="20"/>
                <w:color w:val="auto"/>
              </w:rPr>
            </w:pPr>
            <w:r>
              <w:rPr>
                <w:rFonts w:ascii="Arial" w:cs="Arial" w:eastAsia="Arial" w:hAnsi="Arial"/>
                <w:sz w:val="12"/>
                <w:szCs w:val="12"/>
                <w:color w:val="auto"/>
              </w:rPr>
              <w:t>198,371</w:t>
            </w:r>
          </w:p>
        </w:tc>
        <w:tc>
          <w:tcPr>
            <w:tcW w:w="1540" w:type="dxa"/>
            <w:vAlign w:val="bottom"/>
            <w:tcBorders>
              <w:bottom w:val="single" w:sz="8" w:color="939598"/>
            </w:tcBorders>
            <w:shd w:val="clear" w:color="auto" w:fill="F3F3F4"/>
          </w:tcPr>
          <w:p>
            <w:pPr>
              <w:spacing w:after="0"/>
              <w:rPr>
                <w:sz w:val="19"/>
                <w:szCs w:val="19"/>
                <w:color w:val="auto"/>
              </w:rPr>
            </w:pPr>
          </w:p>
        </w:tc>
        <w:tc>
          <w:tcPr>
            <w:tcW w:w="200" w:type="dxa"/>
            <w:vAlign w:val="bottom"/>
            <w:tcBorders>
              <w:bottom w:val="single" w:sz="8" w:color="939598"/>
            </w:tcBorders>
            <w:shd w:val="clear" w:color="auto" w:fill="F3F3F4"/>
          </w:tcPr>
          <w:p>
            <w:pPr>
              <w:spacing w:after="0"/>
              <w:rPr>
                <w:sz w:val="19"/>
                <w:szCs w:val="19"/>
                <w:color w:val="auto"/>
              </w:rPr>
            </w:pPr>
          </w:p>
        </w:tc>
        <w:tc>
          <w:tcPr>
            <w:tcW w:w="1240" w:type="dxa"/>
            <w:vAlign w:val="bottom"/>
            <w:tcBorders>
              <w:bottom w:val="single" w:sz="8" w:color="939598"/>
            </w:tcBorders>
            <w:shd w:val="clear" w:color="auto" w:fill="F3F3F4"/>
          </w:tcPr>
          <w:p>
            <w:pPr>
              <w:jc w:val="right"/>
              <w:spacing w:after="0"/>
              <w:rPr>
                <w:sz w:val="20"/>
                <w:szCs w:val="20"/>
                <w:color w:val="auto"/>
              </w:rPr>
            </w:pPr>
            <w:r>
              <w:rPr>
                <w:rFonts w:ascii="Arial" w:cs="Arial" w:eastAsia="Arial" w:hAnsi="Arial"/>
                <w:sz w:val="12"/>
                <w:szCs w:val="12"/>
                <w:color w:val="auto"/>
              </w:rPr>
              <w:t>369</w:t>
            </w:r>
            <w:r>
              <w:rPr>
                <w:rFonts w:ascii="Arial" w:cs="Arial" w:eastAsia="Arial" w:hAnsi="Arial"/>
                <w:sz w:val="19"/>
                <w:szCs w:val="19"/>
                <w:color w:val="auto"/>
                <w:vertAlign w:val="superscript"/>
              </w:rPr>
              <w:t>4</w:t>
            </w:r>
          </w:p>
        </w:tc>
        <w:tc>
          <w:tcPr>
            <w:tcW w:w="100" w:type="dxa"/>
            <w:vAlign w:val="bottom"/>
            <w:tcBorders>
              <w:bottom w:val="single" w:sz="8" w:color="939598"/>
            </w:tcBorders>
            <w:shd w:val="clear" w:color="auto" w:fill="F3F3F4"/>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220" w:hanging="219"/>
        <w:spacing w:after="0" w:line="231" w:lineRule="auto"/>
        <w:tabs>
          <w:tab w:leader="none" w:pos="2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Each RSU represents the right to receive one share of Company common stock if the recipient remains continuously employed by the Company until the vesting date. RSUs awarded prior to 2023 will vest in their entirety approximately 3½ years after the effective award date, except that Mr. Tucker’s February 3, 2023 RSUs will vest on November 5, 2025. RSUs awarded in 2023 will vest in three equal tranches approximately 18, 30 and 42 months after the effective award date, on the last trading days in November of 2024, 2025 and 2026. RSUs awarded in 2024 will vest in three equal tranches approximately 12, 24 and 36 months after the effective award date, on the last trading days in November of 2024, 2025 and 2026. Vested shares will be issued to the participant (less a number of shares having a value equal to the amount of required tax withholdings) on the following business day.</w:t>
      </w:r>
    </w:p>
    <w:p>
      <w:pPr>
        <w:spacing w:after="0" w:line="114" w:lineRule="exact"/>
        <w:rPr>
          <w:sz w:val="20"/>
          <w:szCs w:val="20"/>
          <w:color w:val="auto"/>
        </w:rPr>
      </w:pPr>
    </w:p>
    <w:p>
      <w:pPr>
        <w:ind w:left="220" w:hanging="219"/>
        <w:spacing w:after="0"/>
        <w:tabs>
          <w:tab w:leader="none" w:pos="2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Based on the NYSE closing price of the Company’s common stock of $128.98 on September 30, 2024, the last NYSE trading day of the Company’s 2024 fiscal year.</w:t>
      </w:r>
    </w:p>
    <w:p>
      <w:pPr>
        <w:spacing w:after="0" w:line="128" w:lineRule="exact"/>
        <w:rPr>
          <w:sz w:val="20"/>
          <w:szCs w:val="20"/>
          <w:color w:val="auto"/>
        </w:rPr>
      </w:pPr>
    </w:p>
    <w:p>
      <w:pPr>
        <w:jc w:val="both"/>
        <w:ind w:left="220" w:right="20" w:hanging="219"/>
        <w:spacing w:after="0" w:line="236" w:lineRule="auto"/>
        <w:tabs>
          <w:tab w:leader="none" w:pos="2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Represents the number and value of the shares issuable if Company performance over the three-year performance period meets or exceeds the threshold required to earn a minimum non-zero payout for each of two performance components. However, because performance below either threshold will result in a zero payout for that component, the minimum payout is actually zero. The actual payout will not be determinable or estimable until after the close of the performance period. For more information, see </w:t>
      </w:r>
      <w:r>
        <w:rPr>
          <w:rFonts w:ascii="Arial" w:cs="Arial" w:eastAsia="Arial" w:hAnsi="Arial"/>
          <w:sz w:val="13"/>
          <w:szCs w:val="13"/>
          <w:b w:val="1"/>
          <w:bCs w:val="1"/>
          <w:i w:val="1"/>
          <w:iCs w:val="1"/>
          <w:color w:val="auto"/>
        </w:rPr>
        <w:t>Principal Elements of Compensation – Long-Term Equity Incentive</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 xml:space="preserve">Compensation </w:t>
      </w:r>
      <w:r>
        <w:rPr>
          <w:rFonts w:ascii="Arial" w:cs="Arial" w:eastAsia="Arial" w:hAnsi="Arial"/>
          <w:sz w:val="13"/>
          <w:szCs w:val="13"/>
          <w:color w:val="auto"/>
        </w:rPr>
        <w:t>in the Compensation Discussion and Analysis section.</w:t>
      </w:r>
    </w:p>
    <w:p>
      <w:pPr>
        <w:spacing w:after="0" w:line="106" w:lineRule="exact"/>
        <w:rPr>
          <w:sz w:val="20"/>
          <w:szCs w:val="20"/>
          <w:color w:val="auto"/>
        </w:rPr>
      </w:pPr>
    </w:p>
    <w:p>
      <w:pPr>
        <w:jc w:val="both"/>
        <w:ind w:left="220" w:right="20" w:hanging="219"/>
        <w:spacing w:after="0" w:line="231" w:lineRule="auto"/>
        <w:tabs>
          <w:tab w:leader="none" w:pos="2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cash dividend equivalents accrued on RSUs awarded beginning in fiscal 2023 and on PSUs beginning in fiscal 2024. On each regular quarterly dividend date occurring from the award date to and including the vesting date, the Company accrues for the benefit of the recipient an amount equal to the cash dividend which would have been paid on a number of shares of Company common stock equal to (a) in the case of RSUs, the number of unconverted (unvested) RSUs, and (b) in the case of PSUs, the number of shares corresponding to the target payout. The amount accrued with respect to each vested portion of the award will be paid out in cash at the time that portion of the award is distributed in shares; but, if or to the extent the award does not vest, or is not earned, or for any other reason is not distributed, a like portion of the accrued amount will be canceled and not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264795</wp:posOffset>
            </wp:positionV>
            <wp:extent cx="7141210"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43" w:name="page44"/>
    <w:bookmarkEnd w:id="43"/>
    <w:p>
      <w:pPr>
        <w:spacing w:after="0"/>
        <w:rPr>
          <w:sz w:val="20"/>
          <w:szCs w:val="20"/>
          <w:color w:val="auto"/>
        </w:rPr>
      </w:pPr>
      <w:r>
        <w:rPr>
          <w:rFonts w:ascii="Arial" w:cs="Arial" w:eastAsia="Arial" w:hAnsi="Arial"/>
          <w:sz w:val="21"/>
          <w:szCs w:val="21"/>
          <w:b w:val="1"/>
          <w:bCs w:val="1"/>
          <w:color w:val="auto"/>
        </w:rPr>
        <w:t>2024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71412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17"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The following table sets forth information for our executive officers regarding their stock-based awards which vested during 2024. We have not awarded stock options to our executive officers since 2006, and no stock options were outstanding or were exercised during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40" w:type="dxa"/>
            <w:vAlign w:val="bottom"/>
          </w:tcPr>
          <w:p>
            <w:pPr>
              <w:spacing w:after="0"/>
              <w:rPr>
                <w:sz w:val="14"/>
                <w:szCs w:val="14"/>
                <w:color w:val="auto"/>
              </w:rPr>
            </w:pPr>
          </w:p>
        </w:tc>
        <w:tc>
          <w:tcPr>
            <w:tcW w:w="3980" w:type="dxa"/>
            <w:vAlign w:val="bottom"/>
            <w:tcBorders>
              <w:bottom w:val="single" w:sz="8" w:color="auto"/>
            </w:tcBorders>
            <w:gridSpan w:val="2"/>
          </w:tcPr>
          <w:p>
            <w:pPr>
              <w:ind w:left="3060"/>
              <w:spacing w:after="0"/>
              <w:rPr>
                <w:sz w:val="20"/>
                <w:szCs w:val="20"/>
                <w:color w:val="auto"/>
              </w:rPr>
            </w:pPr>
            <w:r>
              <w:rPr>
                <w:rFonts w:ascii="Arial" w:cs="Arial" w:eastAsia="Arial" w:hAnsi="Arial"/>
                <w:sz w:val="12"/>
                <w:szCs w:val="12"/>
                <w:b w:val="1"/>
                <w:bCs w:val="1"/>
                <w:color w:val="auto"/>
              </w:rPr>
              <w:t>Stock Awards</w:t>
            </w:r>
          </w:p>
        </w:tc>
        <w:tc>
          <w:tcPr>
            <w:tcW w:w="7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spacing w:after="0"/>
              <w:rPr>
                <w:sz w:val="14"/>
                <w:szCs w:val="14"/>
                <w:color w:val="auto"/>
              </w:rPr>
            </w:pPr>
          </w:p>
        </w:tc>
      </w:tr>
      <w:tr>
        <w:trPr>
          <w:trHeight w:val="248"/>
        </w:trPr>
        <w:tc>
          <w:tcPr>
            <w:tcW w:w="394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Executive Officer</w:t>
            </w:r>
          </w:p>
        </w:tc>
        <w:tc>
          <w:tcPr>
            <w:tcW w:w="3980" w:type="dxa"/>
            <w:vAlign w:val="bottom"/>
            <w:tcBorders>
              <w:bottom w:val="single" w:sz="8" w:color="auto"/>
            </w:tcBorders>
            <w:gridSpan w:val="2"/>
          </w:tcPr>
          <w:p>
            <w:pPr>
              <w:jc w:val="right"/>
              <w:ind w:right="380"/>
              <w:spacing w:after="0" w:line="248" w:lineRule="exact"/>
              <w:rPr>
                <w:sz w:val="20"/>
                <w:szCs w:val="20"/>
                <w:color w:val="auto"/>
              </w:rPr>
            </w:pPr>
            <w:r>
              <w:rPr>
                <w:rFonts w:ascii="Arial" w:cs="Arial" w:eastAsia="Arial" w:hAnsi="Arial"/>
                <w:sz w:val="12"/>
                <w:szCs w:val="12"/>
                <w:b w:val="1"/>
                <w:bCs w:val="1"/>
                <w:color w:val="auto"/>
              </w:rPr>
              <w:t>Number of Shares Acquired on Vesting</w:t>
            </w:r>
            <w:r>
              <w:rPr>
                <w:rFonts w:ascii="Arial" w:cs="Arial" w:eastAsia="Arial" w:hAnsi="Arial"/>
                <w:sz w:val="22"/>
                <w:szCs w:val="22"/>
                <w:b w:val="1"/>
                <w:bCs w:val="1"/>
                <w:color w:val="auto"/>
                <w:vertAlign w:val="superscript"/>
              </w:rPr>
              <w:t>1</w:t>
            </w:r>
          </w:p>
        </w:tc>
        <w:tc>
          <w:tcPr>
            <w:tcW w:w="7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spacing w:after="0" w:line="248" w:lineRule="exact"/>
              <w:rPr>
                <w:sz w:val="20"/>
                <w:szCs w:val="20"/>
                <w:color w:val="auto"/>
              </w:rPr>
            </w:pPr>
            <w:r>
              <w:rPr>
                <w:rFonts w:ascii="Arial" w:cs="Arial" w:eastAsia="Arial" w:hAnsi="Arial"/>
                <w:sz w:val="12"/>
                <w:szCs w:val="12"/>
                <w:b w:val="1"/>
                <w:bCs w:val="1"/>
                <w:color w:val="auto"/>
              </w:rPr>
              <w:t>Value Realized on Vesting</w:t>
            </w:r>
            <w:r>
              <w:rPr>
                <w:rFonts w:ascii="Arial" w:cs="Arial" w:eastAsia="Arial" w:hAnsi="Arial"/>
                <w:sz w:val="22"/>
                <w:szCs w:val="22"/>
                <w:b w:val="1"/>
                <w:bCs w:val="1"/>
                <w:color w:val="auto"/>
                <w:vertAlign w:val="superscript"/>
              </w:rPr>
              <w:t>2</w:t>
            </w:r>
          </w:p>
        </w:tc>
      </w:tr>
      <w:tr>
        <w:trPr>
          <w:trHeight w:val="187"/>
        </w:trPr>
        <w:tc>
          <w:tcPr>
            <w:tcW w:w="3940" w:type="dxa"/>
            <w:vAlign w:val="bottom"/>
            <w:tcBorders>
              <w:bottom w:val="single" w:sz="8" w:color="E9EAEB"/>
            </w:tcBorders>
            <w:shd w:val="clear" w:color="auto" w:fill="E9EAEB"/>
          </w:tcPr>
          <w:p>
            <w:pPr>
              <w:ind w:left="100"/>
              <w:spacing w:after="0" w:line="144" w:lineRule="exact"/>
              <w:rPr>
                <w:sz w:val="20"/>
                <w:szCs w:val="20"/>
                <w:color w:val="auto"/>
              </w:rPr>
            </w:pPr>
            <w:r>
              <w:rPr>
                <w:rFonts w:ascii="Arial" w:cs="Arial" w:eastAsia="Arial" w:hAnsi="Arial"/>
                <w:sz w:val="13"/>
                <w:szCs w:val="13"/>
                <w:b w:val="1"/>
                <w:bCs w:val="1"/>
                <w:color w:val="auto"/>
              </w:rPr>
              <w:t>Bryan H. Sayler</w:t>
            </w:r>
          </w:p>
        </w:tc>
        <w:tc>
          <w:tcPr>
            <w:tcW w:w="3720" w:type="dxa"/>
            <w:vAlign w:val="bottom"/>
            <w:tcBorders>
              <w:bottom w:val="single" w:sz="8" w:color="F3F3F4"/>
            </w:tcBorders>
            <w:shd w:val="clear" w:color="auto" w:fill="F3F3F4"/>
          </w:tcPr>
          <w:p>
            <w:pPr>
              <w:jc w:val="right"/>
              <w:ind w:right="57"/>
              <w:spacing w:after="0" w:line="144" w:lineRule="exact"/>
              <w:rPr>
                <w:sz w:val="20"/>
                <w:szCs w:val="20"/>
                <w:color w:val="auto"/>
              </w:rPr>
            </w:pPr>
            <w:r>
              <w:rPr>
                <w:rFonts w:ascii="Arial" w:cs="Arial" w:eastAsia="Arial" w:hAnsi="Arial"/>
                <w:sz w:val="13"/>
                <w:szCs w:val="13"/>
                <w:color w:val="auto"/>
              </w:rPr>
              <w:t>3,347</w:t>
            </w:r>
          </w:p>
        </w:tc>
        <w:tc>
          <w:tcPr>
            <w:tcW w:w="260" w:type="dxa"/>
            <w:vAlign w:val="bottom"/>
            <w:tcBorders>
              <w:bottom w:val="single" w:sz="8" w:color="E9EAEB"/>
            </w:tcBorders>
            <w:shd w:val="clear" w:color="auto" w:fill="E9EAEB"/>
          </w:tcPr>
          <w:p>
            <w:pPr>
              <w:spacing w:after="0"/>
              <w:rPr>
                <w:sz w:val="15"/>
                <w:szCs w:val="15"/>
                <w:color w:val="auto"/>
              </w:rPr>
            </w:pPr>
          </w:p>
        </w:tc>
        <w:tc>
          <w:tcPr>
            <w:tcW w:w="760" w:type="dxa"/>
            <w:vAlign w:val="bottom"/>
            <w:tcBorders>
              <w:bottom w:val="single" w:sz="8" w:color="E9EAEB"/>
            </w:tcBorders>
            <w:shd w:val="clear" w:color="auto" w:fill="E9EAEB"/>
          </w:tcPr>
          <w:p>
            <w:pPr>
              <w:jc w:val="right"/>
              <w:ind w:right="493"/>
              <w:spacing w:after="0" w:line="144" w:lineRule="exact"/>
              <w:rPr>
                <w:sz w:val="20"/>
                <w:szCs w:val="20"/>
                <w:color w:val="auto"/>
              </w:rPr>
            </w:pPr>
            <w:r>
              <w:rPr>
                <w:rFonts w:ascii="Arial" w:cs="Arial" w:eastAsia="Arial" w:hAnsi="Arial"/>
                <w:sz w:val="13"/>
                <w:szCs w:val="13"/>
                <w:color w:val="auto"/>
              </w:rPr>
              <w:t>$</w:t>
            </w:r>
          </w:p>
        </w:tc>
        <w:tc>
          <w:tcPr>
            <w:tcW w:w="2560" w:type="dxa"/>
            <w:vAlign w:val="bottom"/>
            <w:tcBorders>
              <w:bottom w:val="single" w:sz="8" w:color="E9EAEB"/>
            </w:tcBorders>
            <w:shd w:val="clear" w:color="auto" w:fill="E9EAEB"/>
          </w:tcPr>
          <w:p>
            <w:pPr>
              <w:jc w:val="right"/>
              <w:spacing w:after="0" w:line="144" w:lineRule="exact"/>
              <w:rPr>
                <w:sz w:val="20"/>
                <w:szCs w:val="20"/>
                <w:color w:val="auto"/>
              </w:rPr>
            </w:pPr>
            <w:r>
              <w:rPr>
                <w:rFonts w:ascii="Arial" w:cs="Arial" w:eastAsia="Arial" w:hAnsi="Arial"/>
                <w:sz w:val="13"/>
                <w:szCs w:val="13"/>
                <w:color w:val="auto"/>
              </w:rPr>
              <w:t>325,195</w:t>
            </w:r>
          </w:p>
        </w:tc>
      </w:tr>
      <w:tr>
        <w:trPr>
          <w:trHeight w:val="251"/>
        </w:trPr>
        <w:tc>
          <w:tcPr>
            <w:tcW w:w="3940" w:type="dxa"/>
            <w:vAlign w:val="bottom"/>
            <w:tcBorders>
              <w:top w:val="single" w:sz="8" w:color="808080"/>
              <w:bottom w:val="single" w:sz="8" w:color="808080"/>
            </w:tcBorders>
            <w:shd w:val="clear" w:color="auto" w:fill="E9EAEB"/>
          </w:tcPr>
          <w:p>
            <w:pPr>
              <w:ind w:left="100"/>
              <w:spacing w:after="0"/>
              <w:rPr>
                <w:sz w:val="20"/>
                <w:szCs w:val="20"/>
                <w:color w:val="auto"/>
              </w:rPr>
            </w:pPr>
            <w:r>
              <w:rPr>
                <w:rFonts w:ascii="Arial" w:cs="Arial" w:eastAsia="Arial" w:hAnsi="Arial"/>
                <w:sz w:val="13"/>
                <w:szCs w:val="13"/>
                <w:b w:val="1"/>
                <w:bCs w:val="1"/>
                <w:color w:val="auto"/>
              </w:rPr>
              <w:t>David M. Schatz</w:t>
            </w:r>
          </w:p>
        </w:tc>
        <w:tc>
          <w:tcPr>
            <w:tcW w:w="3720" w:type="dxa"/>
            <w:vAlign w:val="bottom"/>
            <w:tcBorders>
              <w:top w:val="single" w:sz="8" w:color="808080"/>
              <w:bottom w:val="single" w:sz="8" w:color="808080"/>
            </w:tcBorders>
            <w:shd w:val="clear" w:color="auto" w:fill="F3F3F4"/>
          </w:tcPr>
          <w:p>
            <w:pPr>
              <w:jc w:val="right"/>
              <w:ind w:right="57"/>
              <w:spacing w:after="0"/>
              <w:rPr>
                <w:sz w:val="20"/>
                <w:szCs w:val="20"/>
                <w:color w:val="auto"/>
              </w:rPr>
            </w:pPr>
            <w:r>
              <w:rPr>
                <w:rFonts w:ascii="Arial" w:cs="Arial" w:eastAsia="Arial" w:hAnsi="Arial"/>
                <w:sz w:val="13"/>
                <w:szCs w:val="13"/>
                <w:color w:val="auto"/>
              </w:rPr>
              <w:t>2,008</w:t>
            </w:r>
          </w:p>
        </w:tc>
        <w:tc>
          <w:tcPr>
            <w:tcW w:w="260" w:type="dxa"/>
            <w:vAlign w:val="bottom"/>
            <w:tcBorders>
              <w:top w:val="single" w:sz="8" w:color="808080"/>
              <w:bottom w:val="single" w:sz="8" w:color="808080"/>
            </w:tcBorders>
            <w:shd w:val="clear" w:color="auto" w:fill="E9EAEB"/>
          </w:tcPr>
          <w:p>
            <w:pPr>
              <w:spacing w:after="0"/>
              <w:rPr>
                <w:sz w:val="21"/>
                <w:szCs w:val="21"/>
                <w:color w:val="auto"/>
              </w:rPr>
            </w:pPr>
          </w:p>
        </w:tc>
        <w:tc>
          <w:tcPr>
            <w:tcW w:w="760" w:type="dxa"/>
            <w:vAlign w:val="bottom"/>
            <w:tcBorders>
              <w:top w:val="single" w:sz="8" w:color="808080"/>
              <w:bottom w:val="single" w:sz="8" w:color="808080"/>
            </w:tcBorders>
            <w:shd w:val="clear" w:color="auto" w:fill="E9EAEB"/>
          </w:tcPr>
          <w:p>
            <w:pPr>
              <w:spacing w:after="0"/>
              <w:rPr>
                <w:sz w:val="21"/>
                <w:szCs w:val="21"/>
                <w:color w:val="auto"/>
              </w:rPr>
            </w:pPr>
          </w:p>
        </w:tc>
        <w:tc>
          <w:tcPr>
            <w:tcW w:w="2560" w:type="dxa"/>
            <w:vAlign w:val="bottom"/>
            <w:tcBorders>
              <w:top w:val="single" w:sz="8" w:color="808080"/>
              <w:bottom w:val="single" w:sz="8" w:color="808080"/>
            </w:tcBorders>
            <w:shd w:val="clear" w:color="auto" w:fill="E9EAEB"/>
          </w:tcPr>
          <w:p>
            <w:pPr>
              <w:jc w:val="right"/>
              <w:spacing w:after="0"/>
              <w:rPr>
                <w:sz w:val="20"/>
                <w:szCs w:val="20"/>
                <w:color w:val="auto"/>
              </w:rPr>
            </w:pPr>
            <w:r>
              <w:rPr>
                <w:rFonts w:ascii="Arial" w:cs="Arial" w:eastAsia="Arial" w:hAnsi="Arial"/>
                <w:sz w:val="13"/>
                <w:szCs w:val="13"/>
                <w:color w:val="auto"/>
              </w:rPr>
              <w:t>195,097</w:t>
            </w:r>
          </w:p>
        </w:tc>
      </w:tr>
    </w:tbl>
    <w:p>
      <w:pPr>
        <w:spacing w:after="0" w:line="177" w:lineRule="exact"/>
        <w:rPr>
          <w:sz w:val="20"/>
          <w:szCs w:val="20"/>
          <w:color w:val="auto"/>
        </w:rPr>
      </w:pPr>
    </w:p>
    <w:p>
      <w:pPr>
        <w:ind w:left="220" w:right="20" w:hanging="219"/>
        <w:spacing w:after="0" w:line="249" w:lineRule="auto"/>
        <w:tabs>
          <w:tab w:leader="none" w:pos="2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Shares of Common Stock underlying Performance-Accelerated Restricted Share Unit awards granted to Mr. Sayler and Mr. Schatz on May 1, 2020, which vested on November 1, 2023. A number of these shares were withheld in lieu of cash payment of applicable withholding taxes, and the remaining shares were distributed on November 2, 2023.</w:t>
      </w:r>
    </w:p>
    <w:p>
      <w:pPr>
        <w:spacing w:after="0" w:line="106" w:lineRule="exact"/>
        <w:rPr>
          <w:sz w:val="20"/>
          <w:szCs w:val="20"/>
          <w:color w:val="auto"/>
        </w:rPr>
      </w:pPr>
    </w:p>
    <w:p>
      <w:pPr>
        <w:ind w:left="220" w:right="20" w:hanging="219"/>
        <w:spacing w:after="0" w:line="249" w:lineRule="auto"/>
        <w:tabs>
          <w:tab w:leader="none" w:pos="2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Fair market value of the shares of Common Stock underlying the vested awards, based on the NYSE closing price of $97.16 on November 1, 2023, the value used by the Company for tax and accounting purposes.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71412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w:t>
      </w:r>
    </w:p>
    <w:p>
      <w:pPr>
        <w:spacing w:after="0" w:line="238" w:lineRule="exact"/>
        <w:rPr>
          <w:sz w:val="20"/>
          <w:szCs w:val="20"/>
          <w:color w:val="auto"/>
        </w:rPr>
      </w:pPr>
    </w:p>
    <w:p>
      <w:pPr>
        <w:jc w:val="both"/>
        <w:ind w:right="20"/>
        <w:spacing w:after="0" w:line="255" w:lineRule="auto"/>
        <w:rPr>
          <w:sz w:val="20"/>
          <w:szCs w:val="20"/>
          <w:color w:val="auto"/>
        </w:rPr>
      </w:pPr>
      <w:r>
        <w:rPr>
          <w:rFonts w:ascii="Arial" w:cs="Arial" w:eastAsia="Arial" w:hAnsi="Arial"/>
          <w:sz w:val="15"/>
          <w:szCs w:val="15"/>
          <w:color w:val="auto"/>
        </w:rPr>
        <w:t xml:space="preserve">We have not maintained a defined benefit retirement plan since 2020. We offer an Employee Savings Investment Plan (Defined Contribution Plan), an employee benefit plan under section 401(k) of the Code, to substantially all United States employees including our executive officers. The Defined Contribution Plan provides for a Company cash match at a rate of 100% of the contributions by each employee up to 3% of the employee’s eligible compensation, and 50% of any additional contributions by the employee up to 5% of the employee’s eligible compensation, subject to Code contribution limits. The amounts of the Company’s cash match for the accounts of the executive officers in fiscal years 2022, 2023 and 2024 are listed in footnote (3) to the Summary Compensation Table, under the heading </w:t>
      </w:r>
      <w:r>
        <w:rPr>
          <w:rFonts w:ascii="Arial" w:cs="Arial" w:eastAsia="Arial" w:hAnsi="Arial"/>
          <w:sz w:val="15"/>
          <w:szCs w:val="15"/>
          <w:b w:val="1"/>
          <w:bCs w:val="1"/>
          <w:i w:val="1"/>
          <w:iCs w:val="1"/>
          <w:color w:val="auto"/>
        </w:rPr>
        <w:t>Defined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Contribution Savings Plan Company Contributions</w:t>
      </w:r>
      <w:r>
        <w:rPr>
          <w:rFonts w:ascii="Arial" w:cs="Arial" w:eastAsia="Arial" w:hAnsi="Arial"/>
          <w:sz w:val="15"/>
          <w:szCs w:val="15"/>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71412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17" w:lineRule="exact"/>
        <w:rPr>
          <w:sz w:val="20"/>
          <w:szCs w:val="20"/>
          <w:color w:val="auto"/>
        </w:rPr>
      </w:pPr>
    </w:p>
    <w:p>
      <w:pPr>
        <w:jc w:val="both"/>
        <w:ind w:right="20"/>
        <w:spacing w:after="0" w:line="255" w:lineRule="auto"/>
        <w:rPr>
          <w:sz w:val="20"/>
          <w:szCs w:val="20"/>
          <w:color w:val="auto"/>
        </w:rPr>
      </w:pPr>
      <w:r>
        <w:rPr>
          <w:rFonts w:ascii="Arial" w:cs="Arial" w:eastAsia="Arial" w:hAnsi="Arial"/>
          <w:sz w:val="15"/>
          <w:szCs w:val="15"/>
          <w:color w:val="auto"/>
        </w:rPr>
        <w:t>We have written employment and compensation agreements with each of our executive officers. The agreements provide for a base salary, which is subject to annual review by the Compensation Committee but may not be decreased, and an annual cash incentive opportunity in accordance with our cash incentive program. The executive officers are entitled to participate in LTI awards and other compensation programs as determined by the Compensation Committee, as well as in all Company employee benefit programs applicable to senior executives, and the Company agrees to provide certain perquisites, including financial planning and outplacement assistance.</w:t>
      </w:r>
    </w:p>
    <w:p>
      <w:pPr>
        <w:spacing w:after="0" w:line="194"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Mr. Tucker’s and Mr. Schatz’s agreements provided for initial terms of one year and 24 months, respectively, which have now elapsed. Mr. Sayler’s agreement provides for an initial term of 24 months, which will elapse at the end of February 2025. The agreements provide that they will automatically renew for successive one-year periods unless a specified notice of non-renewal is given by the Company or the executive.</w:t>
      </w:r>
    </w:p>
    <w:p>
      <w:pPr>
        <w:spacing w:after="0" w:line="188"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 xml:space="preserve">The agreements give each party certain termination rights, with post-termination compensation and benefits payable to the executive officer, if any, depending on the reasons for the termination, such as whether the termination is with or without Cause, as defined in the agreements. The following section, </w:t>
      </w:r>
      <w:r>
        <w:rPr>
          <w:rFonts w:ascii="Arial" w:cs="Arial" w:eastAsia="Arial" w:hAnsi="Arial"/>
          <w:sz w:val="15"/>
          <w:szCs w:val="15"/>
          <w:b w:val="1"/>
          <w:bCs w:val="1"/>
          <w:i w:val="1"/>
          <w:iCs w:val="1"/>
          <w:color w:val="auto"/>
        </w:rPr>
        <w:t>Potential Payments Upon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Termination or Change in Control</w:t>
      </w:r>
      <w:r>
        <w:rPr>
          <w:rFonts w:ascii="Arial" w:cs="Arial" w:eastAsia="Arial" w:hAnsi="Arial"/>
          <w:sz w:val="15"/>
          <w:szCs w:val="15"/>
          <w:color w:val="auto"/>
        </w:rPr>
        <w:t>, describes the compensation and benefits payable to the current executive officers upon termination of their employment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various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258445</wp:posOffset>
            </wp:positionV>
            <wp:extent cx="714121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44" w:name="page45"/>
    <w:bookmarkEnd w:id="44"/>
    <w:p>
      <w:pPr>
        <w:jc w:val="both"/>
        <w:spacing w:after="0" w:line="264" w:lineRule="auto"/>
        <w:rPr>
          <w:sz w:val="20"/>
          <w:szCs w:val="20"/>
          <w:color w:val="auto"/>
        </w:rPr>
      </w:pPr>
      <w:r>
        <w:rPr>
          <w:rFonts w:ascii="Arial" w:cs="Arial" w:eastAsia="Arial" w:hAnsi="Arial"/>
          <w:sz w:val="15"/>
          <w:szCs w:val="15"/>
          <w:color w:val="auto"/>
        </w:rPr>
        <w:t>The employment agreements prohibit the executives from disclosing confidential information or trade secrets concerning the Company, and for a period of two years from soliciting employees of the Company and from soliciting customers or distributors of the Company. The agreements also require the executive officers to provide limited consulting services on an as-requested basis following termination.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69850</wp:posOffset>
            </wp:positionV>
            <wp:extent cx="71412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Payments/Benefits Upon Change in Control</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 Plan</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 xml:space="preserve">We have established a Severance Plan covering the executive officers. Under the Plan, following an occurrence of a Change of Control as defined in the Severance Plan (see </w:t>
      </w:r>
      <w:r>
        <w:rPr>
          <w:rFonts w:ascii="Arial" w:cs="Arial" w:eastAsia="Arial" w:hAnsi="Arial"/>
          <w:sz w:val="15"/>
          <w:szCs w:val="15"/>
          <w:b w:val="1"/>
          <w:bCs w:val="1"/>
          <w:i w:val="1"/>
          <w:iCs w:val="1"/>
          <w:color w:val="auto"/>
        </w:rPr>
        <w:t>Other Compensation Elements – Severance Plan</w:t>
      </w:r>
      <w:r>
        <w:rPr>
          <w:rFonts w:ascii="Arial" w:cs="Arial" w:eastAsia="Arial" w:hAnsi="Arial"/>
          <w:sz w:val="15"/>
          <w:szCs w:val="15"/>
          <w:color w:val="auto"/>
        </w:rPr>
        <w:t xml:space="preserve"> in the Compensation Discussion and Analysis section), each of the executive officers will be entitled to be employed by the Company for a period of three years following the Change of Control, unless terminated earlier in accordance with the Severance Plan. During this employment period the executive officer will: (i) be paid a minimum base salary equal to his or her base salary prior to the Change of Control, (ii) be paid a minimum annual bonus equal to the latest target cash incentive opportunity approved by the Compensation Committee prior to the effective date of the Change of Control (the “Current Cash Incentive Target”), (iii) continue to receive the employee benefits to which he or she was entitled prior to the Change of Control, and (iv) receive annually the value (determined as described under </w:t>
      </w:r>
      <w:r>
        <w:rPr>
          <w:rFonts w:ascii="Arial" w:cs="Arial" w:eastAsia="Arial" w:hAnsi="Arial"/>
          <w:sz w:val="15"/>
          <w:szCs w:val="15"/>
          <w:b w:val="1"/>
          <w:bCs w:val="1"/>
          <w:i w:val="1"/>
          <w:iCs w:val="1"/>
          <w:color w:val="auto"/>
        </w:rPr>
        <w:t>Incentive Plan Awards</w:t>
      </w:r>
      <w:r>
        <w:rPr>
          <w:rFonts w:ascii="Arial" w:cs="Arial" w:eastAsia="Arial" w:hAnsi="Arial"/>
          <w:sz w:val="15"/>
          <w:szCs w:val="15"/>
          <w:color w:val="auto"/>
        </w:rPr>
        <w:t xml:space="preserve"> below) of the last LTI awards issued to him or her prior to the Change of Control, which value may be paid either in cash or in publicly traded stock of the entity which acquired the Company in the Change of Control.</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If we terminate the executive officer’s employment during this three-year employment period other than for death, disability or Cause as defined in the Severance Plan, or if the executive officer terminates his or her employment during the employment period following certain specified actions by us (Good Reason), such as materially failing to comply with the provisions of the Severance Plan, a material diminution in his or her authority, duties or responsibilities or base salary, or requiring him or her to relocate, he or she will be entitled to receive, among other things, a cash lump sum equal to the aggregate of (i) any unpaid current base salary, (ii) a bonus equal to the Current Cash Incentive Target, prorated for a partial year, and (iii) an amount calculated by multiplying two times the sum of the current annual base salary and the Current Cash Incentive Target. In addition, he or she will receive the continuation of his or her employee benefits for two years.</w:t>
      </w:r>
    </w:p>
    <w:p>
      <w:pPr>
        <w:spacing w:after="0" w:line="196"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may amend the Severance Plan, but no amendment adverse to the rights of an executive officer will be effective unless we have given the executive officer notice of the amendment at least one year before a Change of Control occurs.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Plan Awards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The terms of our RSU and PSU awards in effect at September 30, 2024 provide that upon a Change of Control (defined in the awards substantially the same as in the Severance Plan) the awards will be assumed by the acquirer or successor entity and converted to an equivalent agreement. If for any reason the awards will not or cannot be assumed, they will be paid out in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Payments/Benefits Upon Death or Disability</w:t>
      </w:r>
    </w:p>
    <w:p>
      <w:pPr>
        <w:spacing w:after="0" w:line="23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If the executive officer’s employment were to be terminated because of death or disability, under the executive officer’s employment agreement with the Company the executive officer (or his or her beneficiaries) would receive benefits under the Company’s disability plan or the Company’s life insurance plans, as applicable.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With respect to RSU and PSU awards in effect at September 30, 2024, the Committee may, in its sole discretion, make full, pro-rata, or no share distributions, as it may determine, to an executive officer in the event of disability, or to the executive officer’s surviving spouse or beneficiary in the event of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7141210"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Payments/Benefits Upon Termination by the Employee With Good Reason or by the Company Without Cause</w:t>
      </w:r>
    </w:p>
    <w:p>
      <w:pPr>
        <w:spacing w:after="0" w:line="238" w:lineRule="exact"/>
        <w:rPr>
          <w:sz w:val="20"/>
          <w:szCs w:val="20"/>
          <w:color w:val="auto"/>
        </w:rPr>
      </w:pPr>
    </w:p>
    <w:p>
      <w:pPr>
        <w:jc w:val="both"/>
        <w:ind w:right="20"/>
        <w:spacing w:after="0" w:line="250" w:lineRule="auto"/>
        <w:rPr>
          <w:sz w:val="20"/>
          <w:szCs w:val="20"/>
          <w:color w:val="auto"/>
        </w:rPr>
      </w:pPr>
      <w:r>
        <w:rPr>
          <w:rFonts w:ascii="Arial" w:cs="Arial" w:eastAsia="Arial" w:hAnsi="Arial"/>
          <w:sz w:val="15"/>
          <w:szCs w:val="15"/>
          <w:color w:val="auto"/>
        </w:rPr>
        <w:t>The executive officers’ employment agreements provide that if we were to terminate the executive officer’s employment prior to a Change of Control other than for cause, death or disability or if the executive officer were to resign following certain actions by us defined in the agreements as “Good Reason,” including our materially failing to comply with the agreement, materially reducing the executive’s responsibilities or requiring the executive to relocate, we would be required to continue to pay the executive officer’s base salary and cash incentive for two years following termination; however, the executive officer could elect to receive each of these payments in a lump sum on or about March 15 of the calendar year following the calendar year in which the termination occurs. In addition, certain employee benefits would continue after the termination, the executive officer’s accelerated but unvested RSU and PSU awards would become fully vested and the underlying shares would be distributed, subject to and in accordance with the terms of the Omnibus Plan. These payments and benefits would be conditioned upon the executive officer not soliciting our employees, customers or distributors for a period of two years after termination. In addition, the executive officer would be required to execute our standard severance agreement and release.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Payments/Benefits Upon Termination by the Employee Without Good Reason</w:t>
      </w:r>
    </w:p>
    <w:p>
      <w:pPr>
        <w:spacing w:after="0" w:line="23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If the executive officer were to resign without Good Reason, the executive officer would not be entitled to payment of continued compensation or benefits, and all outstanding RSU and PSU awards would be forfeited.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Payments/Benefits Upon Termination by the Company for Cause</w:t>
      </w:r>
    </w:p>
    <w:p>
      <w:pPr>
        <w:spacing w:after="0" w:line="23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If we were to terminate the executive officer’s employment for Cause, under the employment agreement the executive officer would not be entitled to payment of continued compensation or benefits, and all outstanding RSU and PSU awards would be forfeited.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Incremental Compensation in the Event of Termination as a Result of Certain Events</w:t>
      </w:r>
    </w:p>
    <w:p>
      <w:pPr>
        <w:spacing w:after="0" w:line="238"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following tables reflect the additional compensation and benefits to be provided to the executive officers in the event of a termination of employment at, following, or in connection with a Change of Control or for the other listed reasons. The amounts shown assume that the termination was effective as of the close of business on September 30, 2024, the end of our 2024 fiscal year. No PSU awards were earned or vested as of September 30, 2024. The actual amounts to be paid would be determinable only at the time of the actual termination of employment.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Bryan H. Sayler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1412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Termination by</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Employee for</w:t>
            </w: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Termination</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7"/>
              </w:rPr>
              <w:t>Good Reason or by</w:t>
            </w: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by Employee</w:t>
            </w:r>
          </w:p>
        </w:tc>
        <w:tc>
          <w:tcPr>
            <w:tcW w:w="160" w:type="dxa"/>
            <w:vAlign w:val="bottom"/>
          </w:tcPr>
          <w:p>
            <w:pPr>
              <w:spacing w:after="0"/>
              <w:rPr>
                <w:sz w:val="13"/>
                <w:szCs w:val="13"/>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Termination</w:t>
            </w:r>
          </w:p>
        </w:tc>
      </w:tr>
      <w:tr>
        <w:trPr>
          <w:trHeight w:val="15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Employer Without</w:t>
            </w:r>
          </w:p>
        </w:tc>
        <w:tc>
          <w:tcPr>
            <w:tcW w:w="2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Without Good</w:t>
            </w:r>
          </w:p>
        </w:tc>
        <w:tc>
          <w:tcPr>
            <w:tcW w:w="160" w:type="dxa"/>
            <w:vAlign w:val="bottom"/>
          </w:tcPr>
          <w:p>
            <w:pPr>
              <w:spacing w:after="0"/>
              <w:rPr>
                <w:sz w:val="13"/>
                <w:szCs w:val="13"/>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by Employer</w:t>
            </w:r>
          </w:p>
        </w:tc>
      </w:tr>
      <w:tr>
        <w:trPr>
          <w:trHeight w:val="163"/>
        </w:trPr>
        <w:tc>
          <w:tcPr>
            <w:tcW w:w="2920" w:type="dxa"/>
            <w:vAlign w:val="bottom"/>
          </w:tcPr>
          <w:p>
            <w:pPr>
              <w:ind w:left="100"/>
              <w:spacing w:after="0"/>
              <w:rPr>
                <w:sz w:val="20"/>
                <w:szCs w:val="20"/>
                <w:color w:val="auto"/>
              </w:rPr>
            </w:pPr>
            <w:r>
              <w:rPr>
                <w:rFonts w:ascii="Arial" w:cs="Arial" w:eastAsia="Arial" w:hAnsi="Arial"/>
                <w:sz w:val="12"/>
                <w:szCs w:val="12"/>
                <w:b w:val="1"/>
                <w:bCs w:val="1"/>
                <w:color w:val="auto"/>
              </w:rPr>
              <w:t>Pay Element</w:t>
            </w:r>
          </w:p>
        </w:tc>
        <w:tc>
          <w:tcPr>
            <w:tcW w:w="1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2"/>
                <w:szCs w:val="12"/>
                <w:b w:val="1"/>
                <w:bCs w:val="1"/>
                <w:color w:val="auto"/>
              </w:rPr>
              <w:t>Change in Control</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Death</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ind w:left="340"/>
              <w:spacing w:after="0"/>
              <w:rPr>
                <w:sz w:val="20"/>
                <w:szCs w:val="20"/>
                <w:color w:val="auto"/>
              </w:rPr>
            </w:pPr>
            <w:r>
              <w:rPr>
                <w:rFonts w:ascii="Arial" w:cs="Arial" w:eastAsia="Arial" w:hAnsi="Arial"/>
                <w:sz w:val="12"/>
                <w:szCs w:val="12"/>
                <w:b w:val="1"/>
                <w:bCs w:val="1"/>
                <w:color w:val="auto"/>
              </w:rPr>
              <w:t>Disability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Cause</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Reason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7"/>
              </w:rPr>
              <w:t>for Cause</w:t>
            </w:r>
          </w:p>
        </w:tc>
      </w:tr>
      <w:tr>
        <w:trPr>
          <w:trHeight w:val="57"/>
        </w:trPr>
        <w:tc>
          <w:tcPr>
            <w:tcW w:w="2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45"/>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b w:val="1"/>
                <w:bCs w:val="1"/>
                <w:color w:val="auto"/>
              </w:rPr>
              <w:t>Cash Compensation:</w:t>
            </w:r>
          </w:p>
        </w:tc>
        <w:tc>
          <w:tcPr>
            <w:tcW w:w="120" w:type="dxa"/>
            <w:vAlign w:val="bottom"/>
            <w:shd w:val="clear" w:color="auto" w:fill="F3F3F4"/>
          </w:tcPr>
          <w:p>
            <w:pPr>
              <w:spacing w:after="0"/>
              <w:rPr>
                <w:sz w:val="21"/>
                <w:szCs w:val="21"/>
                <w:color w:val="auto"/>
              </w:rPr>
            </w:pPr>
          </w:p>
        </w:tc>
        <w:tc>
          <w:tcPr>
            <w:tcW w:w="1140" w:type="dxa"/>
            <w:vAlign w:val="bottom"/>
            <w:shd w:val="clear" w:color="auto" w:fill="F3F3F4"/>
          </w:tcPr>
          <w:p>
            <w:pPr>
              <w:spacing w:after="0"/>
              <w:rPr>
                <w:sz w:val="21"/>
                <w:szCs w:val="21"/>
                <w:color w:val="auto"/>
              </w:rPr>
            </w:pPr>
          </w:p>
        </w:tc>
        <w:tc>
          <w:tcPr>
            <w:tcW w:w="120" w:type="dxa"/>
            <w:vAlign w:val="bottom"/>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300" w:type="dxa"/>
            <w:vAlign w:val="bottom"/>
            <w:shd w:val="clear" w:color="auto" w:fill="F3F3F4"/>
          </w:tcPr>
          <w:p>
            <w:pPr>
              <w:spacing w:after="0"/>
              <w:rPr>
                <w:sz w:val="21"/>
                <w:szCs w:val="21"/>
                <w:color w:val="auto"/>
              </w:rPr>
            </w:pPr>
          </w:p>
        </w:tc>
        <w:tc>
          <w:tcPr>
            <w:tcW w:w="500" w:type="dxa"/>
            <w:vAlign w:val="bottom"/>
            <w:shd w:val="clear" w:color="auto" w:fill="F3F3F4"/>
          </w:tcPr>
          <w:p>
            <w:pPr>
              <w:spacing w:after="0"/>
              <w:rPr>
                <w:sz w:val="21"/>
                <w:szCs w:val="21"/>
                <w:color w:val="auto"/>
              </w:rPr>
            </w:pPr>
          </w:p>
        </w:tc>
        <w:tc>
          <w:tcPr>
            <w:tcW w:w="120" w:type="dxa"/>
            <w:vAlign w:val="bottom"/>
            <w:shd w:val="clear" w:color="auto" w:fill="F3F3F4"/>
          </w:tcPr>
          <w:p>
            <w:pPr>
              <w:spacing w:after="0"/>
              <w:rPr>
                <w:sz w:val="21"/>
                <w:szCs w:val="21"/>
                <w:color w:val="auto"/>
              </w:rPr>
            </w:pPr>
          </w:p>
        </w:tc>
        <w:tc>
          <w:tcPr>
            <w:tcW w:w="220" w:type="dxa"/>
            <w:vAlign w:val="bottom"/>
            <w:shd w:val="clear" w:color="auto" w:fill="F3F3F4"/>
          </w:tcPr>
          <w:p>
            <w:pPr>
              <w:spacing w:after="0"/>
              <w:rPr>
                <w:sz w:val="21"/>
                <w:szCs w:val="21"/>
                <w:color w:val="auto"/>
              </w:rPr>
            </w:pPr>
          </w:p>
        </w:tc>
        <w:tc>
          <w:tcPr>
            <w:tcW w:w="380" w:type="dxa"/>
            <w:vAlign w:val="bottom"/>
            <w:shd w:val="clear" w:color="auto" w:fill="F3F3F4"/>
          </w:tcPr>
          <w:p>
            <w:pPr>
              <w:spacing w:after="0"/>
              <w:rPr>
                <w:sz w:val="21"/>
                <w:szCs w:val="21"/>
                <w:color w:val="auto"/>
              </w:rPr>
            </w:pPr>
          </w:p>
        </w:tc>
        <w:tc>
          <w:tcPr>
            <w:tcW w:w="880" w:type="dxa"/>
            <w:vAlign w:val="bottom"/>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120" w:type="dxa"/>
            <w:vAlign w:val="bottom"/>
            <w:shd w:val="clear" w:color="auto" w:fill="F3F3F4"/>
          </w:tcPr>
          <w:p>
            <w:pPr>
              <w:spacing w:after="0"/>
              <w:rPr>
                <w:sz w:val="21"/>
                <w:szCs w:val="21"/>
                <w:color w:val="auto"/>
              </w:rPr>
            </w:pPr>
          </w:p>
        </w:tc>
        <w:tc>
          <w:tcPr>
            <w:tcW w:w="140" w:type="dxa"/>
            <w:vAlign w:val="bottom"/>
            <w:shd w:val="clear" w:color="auto" w:fill="F3F3F4"/>
          </w:tcPr>
          <w:p>
            <w:pPr>
              <w:spacing w:after="0"/>
              <w:rPr>
                <w:sz w:val="21"/>
                <w:szCs w:val="21"/>
                <w:color w:val="auto"/>
              </w:rPr>
            </w:pPr>
          </w:p>
        </w:tc>
        <w:tc>
          <w:tcPr>
            <w:tcW w:w="1100" w:type="dxa"/>
            <w:vAlign w:val="bottom"/>
            <w:shd w:val="clear" w:color="auto" w:fill="F3F3F4"/>
          </w:tcPr>
          <w:p>
            <w:pPr>
              <w:spacing w:after="0"/>
              <w:rPr>
                <w:sz w:val="21"/>
                <w:szCs w:val="21"/>
                <w:color w:val="auto"/>
              </w:rPr>
            </w:pPr>
          </w:p>
        </w:tc>
        <w:tc>
          <w:tcPr>
            <w:tcW w:w="240" w:type="dxa"/>
            <w:vAlign w:val="bottom"/>
            <w:shd w:val="clear" w:color="auto" w:fill="F3F3F4"/>
          </w:tcPr>
          <w:p>
            <w:pPr>
              <w:spacing w:after="0"/>
              <w:rPr>
                <w:sz w:val="21"/>
                <w:szCs w:val="21"/>
                <w:color w:val="auto"/>
              </w:rPr>
            </w:pPr>
          </w:p>
        </w:tc>
        <w:tc>
          <w:tcPr>
            <w:tcW w:w="260" w:type="dxa"/>
            <w:vAlign w:val="bottom"/>
            <w:shd w:val="clear" w:color="auto" w:fill="F3F3F4"/>
          </w:tcPr>
          <w:p>
            <w:pPr>
              <w:spacing w:after="0"/>
              <w:rPr>
                <w:sz w:val="21"/>
                <w:szCs w:val="21"/>
                <w:color w:val="auto"/>
              </w:rPr>
            </w:pPr>
          </w:p>
        </w:tc>
        <w:tc>
          <w:tcPr>
            <w:tcW w:w="1000" w:type="dxa"/>
            <w:vAlign w:val="bottom"/>
            <w:tcBorders>
              <w:right w:val="single" w:sz="8" w:color="F3F3F4"/>
            </w:tcBorders>
            <w:shd w:val="clear" w:color="auto" w:fill="F3F3F4"/>
          </w:tcPr>
          <w:p>
            <w:pPr>
              <w:spacing w:after="0"/>
              <w:rPr>
                <w:sz w:val="21"/>
                <w:szCs w:val="21"/>
                <w:color w:val="auto"/>
              </w:rPr>
            </w:pPr>
          </w:p>
        </w:tc>
        <w:tc>
          <w:tcPr>
            <w:tcW w:w="160" w:type="dxa"/>
            <w:vAlign w:val="bottom"/>
            <w:shd w:val="clear" w:color="auto" w:fill="F3F3F4"/>
          </w:tcPr>
          <w:p>
            <w:pPr>
              <w:spacing w:after="0"/>
              <w:rPr>
                <w:sz w:val="21"/>
                <w:szCs w:val="21"/>
                <w:color w:val="auto"/>
              </w:rPr>
            </w:pPr>
          </w:p>
        </w:tc>
        <w:tc>
          <w:tcPr>
            <w:tcW w:w="660" w:type="dxa"/>
            <w:vAlign w:val="bottom"/>
            <w:shd w:val="clear" w:color="auto" w:fill="F3F3F4"/>
          </w:tcPr>
          <w:p>
            <w:pPr>
              <w:spacing w:after="0"/>
              <w:rPr>
                <w:sz w:val="21"/>
                <w:szCs w:val="21"/>
                <w:color w:val="auto"/>
              </w:rPr>
            </w:pPr>
          </w:p>
        </w:tc>
        <w:tc>
          <w:tcPr>
            <w:tcW w:w="560" w:type="dxa"/>
            <w:vAlign w:val="bottom"/>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r>
      <w:tr>
        <w:trPr>
          <w:trHeight w:val="194"/>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Base salary</w:t>
            </w:r>
          </w:p>
        </w:tc>
        <w:tc>
          <w:tcPr>
            <w:tcW w:w="120" w:type="dxa"/>
            <w:vAlign w:val="bottom"/>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F3F3F4"/>
          </w:tcPr>
          <w:p>
            <w:pPr>
              <w:jc w:val="right"/>
              <w:ind w:right="120"/>
              <w:spacing w:after="0"/>
              <w:rPr>
                <w:sz w:val="20"/>
                <w:szCs w:val="20"/>
                <w:color w:val="auto"/>
              </w:rPr>
            </w:pPr>
            <w:r>
              <w:rPr>
                <w:rFonts w:ascii="Arial" w:cs="Arial" w:eastAsia="Arial" w:hAnsi="Arial"/>
                <w:sz w:val="13"/>
                <w:szCs w:val="13"/>
                <w:color w:val="auto"/>
              </w:rPr>
              <w:t>0</w:t>
            </w:r>
          </w:p>
        </w:tc>
        <w:tc>
          <w:tcPr>
            <w:tcW w:w="400" w:type="dxa"/>
            <w:vAlign w:val="bottom"/>
            <w:gridSpan w:val="2"/>
            <w:shd w:val="clear" w:color="auto" w:fill="F3F3F4"/>
          </w:tcPr>
          <w:p>
            <w:pPr>
              <w:jc w:val="right"/>
              <w:ind w:right="113"/>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F3F3F4"/>
          </w:tcPr>
          <w:p>
            <w:pPr>
              <w:jc w:val="right"/>
              <w:ind w:right="120"/>
              <w:spacing w:after="0"/>
              <w:rPr>
                <w:sz w:val="20"/>
                <w:szCs w:val="20"/>
                <w:color w:val="auto"/>
              </w:rPr>
            </w:pPr>
            <w:r>
              <w:rPr>
                <w:rFonts w:ascii="Arial" w:cs="Arial" w:eastAsia="Arial" w:hAnsi="Arial"/>
                <w:sz w:val="13"/>
                <w:szCs w:val="13"/>
                <w:color w:val="auto"/>
              </w:rPr>
              <w:t>0</w:t>
            </w:r>
          </w:p>
        </w:tc>
        <w:tc>
          <w:tcPr>
            <w:tcW w:w="220" w:type="dxa"/>
            <w:vAlign w:val="bottom"/>
            <w:shd w:val="clear" w:color="auto" w:fill="F3F3F4"/>
          </w:tcPr>
          <w:p>
            <w:pPr>
              <w:spacing w:after="0"/>
              <w:rPr>
                <w:sz w:val="16"/>
                <w:szCs w:val="16"/>
                <w:color w:val="auto"/>
              </w:rPr>
            </w:pPr>
          </w:p>
        </w:tc>
        <w:tc>
          <w:tcPr>
            <w:tcW w:w="380" w:type="dxa"/>
            <w:vAlign w:val="bottom"/>
            <w:shd w:val="clear" w:color="auto" w:fill="F3F3F4"/>
          </w:tcPr>
          <w:p>
            <w:pPr>
              <w:spacing w:after="0"/>
              <w:rPr>
                <w:sz w:val="16"/>
                <w:szCs w:val="16"/>
                <w:color w:val="auto"/>
              </w:rPr>
            </w:pPr>
          </w:p>
        </w:tc>
        <w:tc>
          <w:tcPr>
            <w:tcW w:w="980" w:type="dxa"/>
            <w:vAlign w:val="bottom"/>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$188,750</w:t>
            </w:r>
            <w:r>
              <w:rPr>
                <w:rFonts w:ascii="Arial" w:cs="Arial" w:eastAsia="Arial" w:hAnsi="Arial"/>
                <w:sz w:val="7"/>
                <w:szCs w:val="7"/>
                <w:color w:val="auto"/>
              </w:rPr>
              <w:t>1</w:t>
            </w:r>
          </w:p>
        </w:tc>
        <w:tc>
          <w:tcPr>
            <w:tcW w:w="260" w:type="dxa"/>
            <w:vAlign w:val="bottom"/>
            <w:gridSpan w:val="2"/>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F3F3F4"/>
          </w:tcPr>
          <w:p>
            <w:pPr>
              <w:jc w:val="right"/>
              <w:ind w:right="240"/>
              <w:spacing w:after="0"/>
              <w:rPr>
                <w:sz w:val="20"/>
                <w:szCs w:val="20"/>
                <w:color w:val="auto"/>
              </w:rPr>
            </w:pPr>
            <w:r>
              <w:rPr>
                <w:rFonts w:ascii="Arial" w:cs="Arial" w:eastAsia="Arial" w:hAnsi="Arial"/>
                <w:sz w:val="13"/>
                <w:szCs w:val="13"/>
                <w:color w:val="auto"/>
              </w:rPr>
              <w:t>1,510,000</w:t>
            </w:r>
            <w:r>
              <w:rPr>
                <w:rFonts w:ascii="Arial" w:cs="Arial" w:eastAsia="Arial" w:hAnsi="Arial"/>
                <w:sz w:val="7"/>
                <w:szCs w:val="7"/>
                <w:color w:val="auto"/>
              </w:rPr>
              <w:t>2</w:t>
            </w:r>
          </w:p>
        </w:tc>
        <w:tc>
          <w:tcPr>
            <w:tcW w:w="260" w:type="dxa"/>
            <w:vAlign w:val="bottom"/>
            <w:shd w:val="clear" w:color="auto" w:fill="F3F3F4"/>
          </w:tcPr>
          <w:p>
            <w:pPr>
              <w:jc w:val="right"/>
              <w:ind w:right="93"/>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F3F3F4"/>
          </w:tcPr>
          <w:p>
            <w:pPr>
              <w:jc w:val="right"/>
              <w:ind w:right="501"/>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r>
      <w:tr>
        <w:trPr>
          <w:trHeight w:val="202"/>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Cash incentive</w:t>
            </w:r>
          </w:p>
        </w:tc>
        <w:tc>
          <w:tcPr>
            <w:tcW w:w="120" w:type="dxa"/>
            <w:vAlign w:val="bottom"/>
            <w:shd w:val="clear" w:color="auto" w:fill="F3F3F4"/>
          </w:tcPr>
          <w:p>
            <w:pPr>
              <w:spacing w:after="0"/>
              <w:rPr>
                <w:sz w:val="17"/>
                <w:szCs w:val="17"/>
                <w:color w:val="auto"/>
              </w:rPr>
            </w:pPr>
          </w:p>
        </w:tc>
        <w:tc>
          <w:tcPr>
            <w:tcW w:w="11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755,000</w:t>
            </w:r>
            <w:r>
              <w:rPr>
                <w:rFonts w:ascii="Arial" w:cs="Arial" w:eastAsia="Arial" w:hAnsi="Arial"/>
                <w:sz w:val="7"/>
                <w:szCs w:val="7"/>
                <w:color w:val="auto"/>
              </w:rPr>
              <w:t>3</w:t>
            </w:r>
          </w:p>
        </w:tc>
        <w:tc>
          <w:tcPr>
            <w:tcW w:w="120" w:type="dxa"/>
            <w:vAlign w:val="bottom"/>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300" w:type="dxa"/>
            <w:vAlign w:val="bottom"/>
            <w:shd w:val="clear" w:color="auto" w:fill="F3F3F4"/>
          </w:tcPr>
          <w:p>
            <w:pPr>
              <w:spacing w:after="0"/>
              <w:rPr>
                <w:sz w:val="17"/>
                <w:szCs w:val="17"/>
                <w:color w:val="auto"/>
              </w:rPr>
            </w:pPr>
          </w:p>
        </w:tc>
        <w:tc>
          <w:tcPr>
            <w:tcW w:w="620" w:type="dxa"/>
            <w:vAlign w:val="bottom"/>
            <w:gridSpan w:val="2"/>
            <w:shd w:val="clear" w:color="auto" w:fill="F3F3F4"/>
          </w:tcPr>
          <w:p>
            <w:pPr>
              <w:jc w:val="right"/>
              <w:ind w:right="120"/>
              <w:spacing w:after="0"/>
              <w:rPr>
                <w:sz w:val="20"/>
                <w:szCs w:val="20"/>
                <w:color w:val="auto"/>
              </w:rPr>
            </w:pPr>
            <w:r>
              <w:rPr>
                <w:rFonts w:ascii="Arial" w:cs="Arial" w:eastAsia="Arial" w:hAnsi="Arial"/>
                <w:sz w:val="13"/>
                <w:szCs w:val="13"/>
                <w:color w:val="auto"/>
              </w:rPr>
              <w:t>0</w:t>
            </w:r>
          </w:p>
        </w:tc>
        <w:tc>
          <w:tcPr>
            <w:tcW w:w="220" w:type="dxa"/>
            <w:vAlign w:val="bottom"/>
            <w:shd w:val="clear" w:color="auto" w:fill="F3F3F4"/>
          </w:tcPr>
          <w:p>
            <w:pPr>
              <w:spacing w:after="0"/>
              <w:rPr>
                <w:sz w:val="17"/>
                <w:szCs w:val="17"/>
                <w:color w:val="auto"/>
              </w:rPr>
            </w:pPr>
          </w:p>
        </w:tc>
        <w:tc>
          <w:tcPr>
            <w:tcW w:w="380" w:type="dxa"/>
            <w:vAlign w:val="bottom"/>
            <w:shd w:val="clear" w:color="auto" w:fill="F3F3F4"/>
          </w:tcPr>
          <w:p>
            <w:pPr>
              <w:spacing w:after="0"/>
              <w:rPr>
                <w:sz w:val="17"/>
                <w:szCs w:val="17"/>
                <w:color w:val="auto"/>
              </w:rPr>
            </w:pPr>
          </w:p>
        </w:tc>
        <w:tc>
          <w:tcPr>
            <w:tcW w:w="980" w:type="dxa"/>
            <w:vAlign w:val="bottom"/>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c>
          <w:tcPr>
            <w:tcW w:w="120" w:type="dxa"/>
            <w:vAlign w:val="bottom"/>
            <w:shd w:val="clear" w:color="auto" w:fill="F3F3F4"/>
          </w:tcPr>
          <w:p>
            <w:pPr>
              <w:spacing w:after="0"/>
              <w:rPr>
                <w:sz w:val="17"/>
                <w:szCs w:val="17"/>
                <w:color w:val="auto"/>
              </w:rPr>
            </w:pPr>
          </w:p>
        </w:tc>
        <w:tc>
          <w:tcPr>
            <w:tcW w:w="140" w:type="dxa"/>
            <w:vAlign w:val="bottom"/>
            <w:shd w:val="clear" w:color="auto" w:fill="F3F3F4"/>
          </w:tcPr>
          <w:p>
            <w:pPr>
              <w:spacing w:after="0"/>
              <w:rPr>
                <w:sz w:val="17"/>
                <w:szCs w:val="17"/>
                <w:color w:val="auto"/>
              </w:rPr>
            </w:pPr>
          </w:p>
        </w:tc>
        <w:tc>
          <w:tcPr>
            <w:tcW w:w="1340" w:type="dxa"/>
            <w:vAlign w:val="bottom"/>
            <w:gridSpan w:val="2"/>
            <w:shd w:val="clear" w:color="auto" w:fill="F3F3F4"/>
          </w:tcPr>
          <w:p>
            <w:pPr>
              <w:jc w:val="right"/>
              <w:ind w:right="240"/>
              <w:spacing w:after="0"/>
              <w:rPr>
                <w:sz w:val="20"/>
                <w:szCs w:val="20"/>
                <w:color w:val="auto"/>
              </w:rPr>
            </w:pPr>
            <w:r>
              <w:rPr>
                <w:rFonts w:ascii="Arial" w:cs="Arial" w:eastAsia="Arial" w:hAnsi="Arial"/>
                <w:sz w:val="13"/>
                <w:szCs w:val="13"/>
                <w:color w:val="auto"/>
              </w:rPr>
              <w:t>2,265,000</w:t>
            </w:r>
            <w:r>
              <w:rPr>
                <w:rFonts w:ascii="Arial" w:cs="Arial" w:eastAsia="Arial" w:hAnsi="Arial"/>
                <w:sz w:val="7"/>
                <w:szCs w:val="7"/>
                <w:color w:val="auto"/>
              </w:rPr>
              <w:t>4</w:t>
            </w:r>
          </w:p>
        </w:tc>
        <w:tc>
          <w:tcPr>
            <w:tcW w:w="260" w:type="dxa"/>
            <w:vAlign w:val="bottom"/>
            <w:shd w:val="clear" w:color="auto" w:fill="F3F3F4"/>
          </w:tcPr>
          <w:p>
            <w:pPr>
              <w:spacing w:after="0"/>
              <w:rPr>
                <w:sz w:val="17"/>
                <w:szCs w:val="17"/>
                <w:color w:val="auto"/>
              </w:rPr>
            </w:pPr>
          </w:p>
        </w:tc>
        <w:tc>
          <w:tcPr>
            <w:tcW w:w="10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F3F3F4"/>
          </w:tcPr>
          <w:p>
            <w:pPr>
              <w:spacing w:after="0"/>
              <w:rPr>
                <w:sz w:val="17"/>
                <w:szCs w:val="17"/>
                <w:color w:val="auto"/>
              </w:rPr>
            </w:pPr>
          </w:p>
        </w:tc>
        <w:tc>
          <w:tcPr>
            <w:tcW w:w="660" w:type="dxa"/>
            <w:vAlign w:val="bottom"/>
            <w:shd w:val="clear" w:color="auto" w:fill="F3F3F4"/>
          </w:tcPr>
          <w:p>
            <w:pPr>
              <w:spacing w:after="0"/>
              <w:rPr>
                <w:sz w:val="17"/>
                <w:szCs w:val="17"/>
                <w:color w:val="auto"/>
              </w:rPr>
            </w:pPr>
          </w:p>
        </w:tc>
        <w:tc>
          <w:tcPr>
            <w:tcW w:w="660" w:type="dxa"/>
            <w:vAlign w:val="bottom"/>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r>
      <w:tr>
        <w:trPr>
          <w:trHeight w:val="206"/>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Severance payment</w:t>
            </w:r>
          </w:p>
        </w:tc>
        <w:tc>
          <w:tcPr>
            <w:tcW w:w="120" w:type="dxa"/>
            <w:vAlign w:val="bottom"/>
            <w:shd w:val="clear" w:color="auto" w:fill="F3F3F4"/>
          </w:tcPr>
          <w:p>
            <w:pPr>
              <w:spacing w:after="0"/>
              <w:rPr>
                <w:sz w:val="17"/>
                <w:szCs w:val="17"/>
                <w:color w:val="auto"/>
              </w:rPr>
            </w:pPr>
          </w:p>
        </w:tc>
        <w:tc>
          <w:tcPr>
            <w:tcW w:w="11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3,020,000</w:t>
            </w:r>
            <w:r>
              <w:rPr>
                <w:rFonts w:ascii="Arial" w:cs="Arial" w:eastAsia="Arial" w:hAnsi="Arial"/>
                <w:sz w:val="7"/>
                <w:szCs w:val="7"/>
                <w:color w:val="auto"/>
              </w:rPr>
              <w:t>5</w:t>
            </w:r>
          </w:p>
        </w:tc>
        <w:tc>
          <w:tcPr>
            <w:tcW w:w="120" w:type="dxa"/>
            <w:vAlign w:val="bottom"/>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300" w:type="dxa"/>
            <w:vAlign w:val="bottom"/>
            <w:shd w:val="clear" w:color="auto" w:fill="F3F3F4"/>
          </w:tcPr>
          <w:p>
            <w:pPr>
              <w:spacing w:after="0"/>
              <w:rPr>
                <w:sz w:val="17"/>
                <w:szCs w:val="17"/>
                <w:color w:val="auto"/>
              </w:rPr>
            </w:pPr>
          </w:p>
        </w:tc>
        <w:tc>
          <w:tcPr>
            <w:tcW w:w="620" w:type="dxa"/>
            <w:vAlign w:val="bottom"/>
            <w:gridSpan w:val="2"/>
            <w:shd w:val="clear" w:color="auto" w:fill="F3F3F4"/>
          </w:tcPr>
          <w:p>
            <w:pPr>
              <w:jc w:val="right"/>
              <w:ind w:right="120"/>
              <w:spacing w:after="0"/>
              <w:rPr>
                <w:sz w:val="20"/>
                <w:szCs w:val="20"/>
                <w:color w:val="auto"/>
              </w:rPr>
            </w:pPr>
            <w:r>
              <w:rPr>
                <w:rFonts w:ascii="Arial" w:cs="Arial" w:eastAsia="Arial" w:hAnsi="Arial"/>
                <w:sz w:val="13"/>
                <w:szCs w:val="13"/>
                <w:color w:val="auto"/>
              </w:rPr>
              <w:t>0</w:t>
            </w:r>
          </w:p>
        </w:tc>
        <w:tc>
          <w:tcPr>
            <w:tcW w:w="220" w:type="dxa"/>
            <w:vAlign w:val="bottom"/>
            <w:shd w:val="clear" w:color="auto" w:fill="F3F3F4"/>
          </w:tcPr>
          <w:p>
            <w:pPr>
              <w:spacing w:after="0"/>
              <w:rPr>
                <w:sz w:val="17"/>
                <w:szCs w:val="17"/>
                <w:color w:val="auto"/>
              </w:rPr>
            </w:pPr>
          </w:p>
        </w:tc>
        <w:tc>
          <w:tcPr>
            <w:tcW w:w="380" w:type="dxa"/>
            <w:vAlign w:val="bottom"/>
            <w:shd w:val="clear" w:color="auto" w:fill="F3F3F4"/>
          </w:tcPr>
          <w:p>
            <w:pPr>
              <w:spacing w:after="0"/>
              <w:rPr>
                <w:sz w:val="17"/>
                <w:szCs w:val="17"/>
                <w:color w:val="auto"/>
              </w:rPr>
            </w:pPr>
          </w:p>
        </w:tc>
        <w:tc>
          <w:tcPr>
            <w:tcW w:w="980" w:type="dxa"/>
            <w:vAlign w:val="bottom"/>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c>
          <w:tcPr>
            <w:tcW w:w="120" w:type="dxa"/>
            <w:vAlign w:val="bottom"/>
            <w:shd w:val="clear" w:color="auto" w:fill="F3F3F4"/>
          </w:tcPr>
          <w:p>
            <w:pPr>
              <w:spacing w:after="0"/>
              <w:rPr>
                <w:sz w:val="17"/>
                <w:szCs w:val="17"/>
                <w:color w:val="auto"/>
              </w:rPr>
            </w:pPr>
          </w:p>
        </w:tc>
        <w:tc>
          <w:tcPr>
            <w:tcW w:w="140" w:type="dxa"/>
            <w:vAlign w:val="bottom"/>
            <w:shd w:val="clear" w:color="auto" w:fill="F3F3F4"/>
          </w:tcPr>
          <w:p>
            <w:pPr>
              <w:spacing w:after="0"/>
              <w:rPr>
                <w:sz w:val="17"/>
                <w:szCs w:val="17"/>
                <w:color w:val="auto"/>
              </w:rPr>
            </w:pPr>
          </w:p>
        </w:tc>
        <w:tc>
          <w:tcPr>
            <w:tcW w:w="1340" w:type="dxa"/>
            <w:vAlign w:val="bottom"/>
            <w:gridSpan w:val="2"/>
            <w:shd w:val="clear" w:color="auto" w:fill="F3F3F4"/>
          </w:tcPr>
          <w:p>
            <w:pPr>
              <w:jc w:val="right"/>
              <w:ind w:right="240"/>
              <w:spacing w:after="0"/>
              <w:rPr>
                <w:sz w:val="20"/>
                <w:szCs w:val="20"/>
                <w:color w:val="auto"/>
              </w:rPr>
            </w:pPr>
            <w:r>
              <w:rPr>
                <w:rFonts w:ascii="Arial" w:cs="Arial" w:eastAsia="Arial" w:hAnsi="Arial"/>
                <w:sz w:val="13"/>
                <w:szCs w:val="13"/>
                <w:color w:val="auto"/>
              </w:rPr>
              <w:t>0</w:t>
            </w:r>
          </w:p>
        </w:tc>
        <w:tc>
          <w:tcPr>
            <w:tcW w:w="260" w:type="dxa"/>
            <w:vAlign w:val="bottom"/>
            <w:shd w:val="clear" w:color="auto" w:fill="F3F3F4"/>
          </w:tcPr>
          <w:p>
            <w:pPr>
              <w:spacing w:after="0"/>
              <w:rPr>
                <w:sz w:val="17"/>
                <w:szCs w:val="17"/>
                <w:color w:val="auto"/>
              </w:rPr>
            </w:pPr>
          </w:p>
        </w:tc>
        <w:tc>
          <w:tcPr>
            <w:tcW w:w="10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F3F3F4"/>
          </w:tcPr>
          <w:p>
            <w:pPr>
              <w:spacing w:after="0"/>
              <w:rPr>
                <w:sz w:val="17"/>
                <w:szCs w:val="17"/>
                <w:color w:val="auto"/>
              </w:rPr>
            </w:pPr>
          </w:p>
        </w:tc>
        <w:tc>
          <w:tcPr>
            <w:tcW w:w="660" w:type="dxa"/>
            <w:vAlign w:val="bottom"/>
            <w:shd w:val="clear" w:color="auto" w:fill="F3F3F4"/>
          </w:tcPr>
          <w:p>
            <w:pPr>
              <w:spacing w:after="0"/>
              <w:rPr>
                <w:sz w:val="17"/>
                <w:szCs w:val="17"/>
                <w:color w:val="auto"/>
              </w:rPr>
            </w:pPr>
          </w:p>
        </w:tc>
        <w:tc>
          <w:tcPr>
            <w:tcW w:w="660" w:type="dxa"/>
            <w:vAlign w:val="bottom"/>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r>
      <w:tr>
        <w:trPr>
          <w:trHeight w:val="20"/>
        </w:trPr>
        <w:tc>
          <w:tcPr>
            <w:tcW w:w="2920" w:type="dxa"/>
            <w:vAlign w:val="bottom"/>
            <w:shd w:val="clear" w:color="auto" w:fill="F3F3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F3F3F4"/>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F3F3F4"/>
          </w:tcPr>
          <w:p>
            <w:pPr>
              <w:spacing w:after="0" w:line="20" w:lineRule="exact"/>
              <w:rPr>
                <w:sz w:val="1"/>
                <w:szCs w:val="1"/>
                <w:color w:val="auto"/>
              </w:rPr>
            </w:pPr>
          </w:p>
        </w:tc>
        <w:tc>
          <w:tcPr>
            <w:tcW w:w="220" w:type="dxa"/>
            <w:vAlign w:val="bottom"/>
            <w:shd w:val="clear" w:color="auto" w:fill="F3F3F4"/>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120" w:type="dxa"/>
            <w:vAlign w:val="bottom"/>
            <w:shd w:val="clear" w:color="auto" w:fill="F3F3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F3F3F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F3F3F4"/>
            </w:tcBorders>
            <w:shd w:val="clear" w:color="auto" w:fill="000000"/>
          </w:tcPr>
          <w:p>
            <w:pPr>
              <w:spacing w:after="0" w:line="20" w:lineRule="exact"/>
              <w:rPr>
                <w:sz w:val="1"/>
                <w:szCs w:val="1"/>
                <w:color w:val="auto"/>
              </w:rPr>
            </w:pPr>
          </w:p>
        </w:tc>
        <w:tc>
          <w:tcPr>
            <w:tcW w:w="160" w:type="dxa"/>
            <w:vAlign w:val="bottom"/>
            <w:shd w:val="clear" w:color="auto" w:fill="F3F3F4"/>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r>
      <w:tr>
        <w:trPr>
          <w:trHeight w:val="254"/>
        </w:trPr>
        <w:tc>
          <w:tcPr>
            <w:tcW w:w="29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Total Cash Compensation</w:t>
            </w:r>
          </w:p>
        </w:tc>
        <w:tc>
          <w:tcPr>
            <w:tcW w:w="12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3,775,000</w:t>
            </w:r>
          </w:p>
        </w:tc>
        <w:tc>
          <w:tcPr>
            <w:tcW w:w="120" w:type="dxa"/>
            <w:vAlign w:val="bottom"/>
            <w:tcBorders>
              <w:bottom w:val="single" w:sz="8" w:color="F3F3F4"/>
            </w:tcBorders>
            <w:shd w:val="clear" w:color="auto" w:fill="F3F3F4"/>
          </w:tcPr>
          <w:p>
            <w:pPr>
              <w:spacing w:after="0"/>
              <w:rPr>
                <w:sz w:val="21"/>
                <w:szCs w:val="21"/>
                <w:color w:val="auto"/>
              </w:rPr>
            </w:pPr>
          </w:p>
        </w:tc>
        <w:tc>
          <w:tcPr>
            <w:tcW w:w="100" w:type="dxa"/>
            <w:vAlign w:val="bottom"/>
            <w:tcBorders>
              <w:bottom w:val="single" w:sz="8" w:color="F3F3F4"/>
            </w:tcBorders>
            <w:shd w:val="clear" w:color="auto" w:fill="F3F3F4"/>
          </w:tcPr>
          <w:p>
            <w:pPr>
              <w:spacing w:after="0"/>
              <w:rPr>
                <w:sz w:val="21"/>
                <w:szCs w:val="21"/>
                <w:color w:val="auto"/>
              </w:rPr>
            </w:pPr>
          </w:p>
        </w:tc>
        <w:tc>
          <w:tcPr>
            <w:tcW w:w="300" w:type="dxa"/>
            <w:vAlign w:val="bottom"/>
            <w:tcBorders>
              <w:bottom w:val="single" w:sz="8" w:color="F3F3F4"/>
            </w:tcBorders>
            <w:shd w:val="clear" w:color="auto" w:fill="F3F3F4"/>
          </w:tcPr>
          <w:p>
            <w:pPr>
              <w:jc w:val="right"/>
              <w:ind w:right="113"/>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F3F3F4"/>
            </w:tcBorders>
            <w:gridSpan w:val="2"/>
            <w:shd w:val="clear" w:color="auto" w:fill="F3F3F4"/>
          </w:tcPr>
          <w:p>
            <w:pPr>
              <w:jc w:val="right"/>
              <w:ind w:right="120"/>
              <w:spacing w:after="0"/>
              <w:rPr>
                <w:sz w:val="20"/>
                <w:szCs w:val="20"/>
                <w:color w:val="auto"/>
              </w:rPr>
            </w:pPr>
            <w:r>
              <w:rPr>
                <w:rFonts w:ascii="Arial" w:cs="Arial" w:eastAsia="Arial" w:hAnsi="Arial"/>
                <w:sz w:val="13"/>
                <w:szCs w:val="13"/>
                <w:color w:val="auto"/>
              </w:rPr>
              <w:t>0</w:t>
            </w:r>
          </w:p>
        </w:tc>
        <w:tc>
          <w:tcPr>
            <w:tcW w:w="600" w:type="dxa"/>
            <w:vAlign w:val="bottom"/>
            <w:tcBorders>
              <w:bottom w:val="single" w:sz="8" w:color="F3F3F4"/>
            </w:tcBorders>
            <w:gridSpan w:val="2"/>
            <w:shd w:val="clear" w:color="auto" w:fill="F3F3F4"/>
          </w:tcPr>
          <w:p>
            <w:pPr>
              <w:jc w:val="right"/>
              <w:ind w:right="19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3F3F4"/>
            </w:tcBorders>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188,750</w:t>
            </w:r>
          </w:p>
        </w:tc>
        <w:tc>
          <w:tcPr>
            <w:tcW w:w="260" w:type="dxa"/>
            <w:vAlign w:val="bottom"/>
            <w:tcBorders>
              <w:bottom w:val="single" w:sz="8" w:color="F3F3F4"/>
            </w:tcBorders>
            <w:gridSpan w:val="2"/>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3,775,000</w:t>
            </w:r>
          </w:p>
        </w:tc>
        <w:tc>
          <w:tcPr>
            <w:tcW w:w="240" w:type="dxa"/>
            <w:vAlign w:val="bottom"/>
            <w:tcBorders>
              <w:bottom w:val="single" w:sz="8" w:color="F3F3F4"/>
            </w:tcBorders>
            <w:shd w:val="clear" w:color="auto" w:fill="F3F3F4"/>
          </w:tcPr>
          <w:p>
            <w:pPr>
              <w:spacing w:after="0"/>
              <w:rPr>
                <w:sz w:val="21"/>
                <w:szCs w:val="21"/>
                <w:color w:val="auto"/>
              </w:rPr>
            </w:pPr>
          </w:p>
        </w:tc>
        <w:tc>
          <w:tcPr>
            <w:tcW w:w="260" w:type="dxa"/>
            <w:vAlign w:val="bottom"/>
            <w:tcBorders>
              <w:bottom w:val="single" w:sz="8" w:color="F3F3F4"/>
            </w:tcBorders>
            <w:shd w:val="clear" w:color="auto" w:fill="F3F3F4"/>
          </w:tcPr>
          <w:p>
            <w:pPr>
              <w:jc w:val="right"/>
              <w:ind w:right="9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820" w:type="dxa"/>
            <w:vAlign w:val="bottom"/>
            <w:tcBorders>
              <w:bottom w:val="single" w:sz="8" w:color="F3F3F4"/>
            </w:tcBorders>
            <w:gridSpan w:val="2"/>
            <w:shd w:val="clear" w:color="auto" w:fill="F3F3F4"/>
          </w:tcPr>
          <w:p>
            <w:pPr>
              <w:jc w:val="right"/>
              <w:ind w:right="501"/>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3F3F4"/>
            </w:tcBorders>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r>
      <w:tr>
        <w:trPr>
          <w:trHeight w:val="245"/>
        </w:trPr>
        <w:tc>
          <w:tcPr>
            <w:tcW w:w="292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Long-Term Equity Incentive Awards:</w:t>
            </w:r>
          </w:p>
        </w:tc>
        <w:tc>
          <w:tcPr>
            <w:tcW w:w="120" w:type="dxa"/>
            <w:vAlign w:val="bottom"/>
            <w:tcBorders>
              <w:top w:val="single" w:sz="8" w:color="939598"/>
            </w:tcBorders>
            <w:shd w:val="clear" w:color="auto" w:fill="F3F3F4"/>
          </w:tcPr>
          <w:p>
            <w:pPr>
              <w:spacing w:after="0"/>
              <w:rPr>
                <w:sz w:val="21"/>
                <w:szCs w:val="21"/>
                <w:color w:val="auto"/>
              </w:rPr>
            </w:pPr>
          </w:p>
        </w:tc>
        <w:tc>
          <w:tcPr>
            <w:tcW w:w="1140" w:type="dxa"/>
            <w:vAlign w:val="bottom"/>
            <w:tcBorders>
              <w:top w:val="single" w:sz="8" w:color="939598"/>
            </w:tcBorders>
            <w:shd w:val="clear" w:color="auto" w:fill="F3F3F4"/>
          </w:tcPr>
          <w:p>
            <w:pPr>
              <w:spacing w:after="0"/>
              <w:rPr>
                <w:sz w:val="21"/>
                <w:szCs w:val="21"/>
                <w:color w:val="auto"/>
              </w:rPr>
            </w:pPr>
          </w:p>
        </w:tc>
        <w:tc>
          <w:tcPr>
            <w:tcW w:w="120" w:type="dxa"/>
            <w:vAlign w:val="bottom"/>
            <w:tcBorders>
              <w:top w:val="single" w:sz="8" w:color="939598"/>
            </w:tcBorders>
            <w:shd w:val="clear" w:color="auto" w:fill="F3F3F4"/>
          </w:tcPr>
          <w:p>
            <w:pPr>
              <w:spacing w:after="0"/>
              <w:rPr>
                <w:sz w:val="21"/>
                <w:szCs w:val="21"/>
                <w:color w:val="auto"/>
              </w:rPr>
            </w:pPr>
          </w:p>
        </w:tc>
        <w:tc>
          <w:tcPr>
            <w:tcW w:w="100" w:type="dxa"/>
            <w:vAlign w:val="bottom"/>
            <w:tcBorders>
              <w:top w:val="single" w:sz="8" w:color="939598"/>
            </w:tcBorders>
            <w:shd w:val="clear" w:color="auto" w:fill="F3F3F4"/>
          </w:tcPr>
          <w:p>
            <w:pPr>
              <w:spacing w:after="0"/>
              <w:rPr>
                <w:sz w:val="21"/>
                <w:szCs w:val="21"/>
                <w:color w:val="auto"/>
              </w:rPr>
            </w:pPr>
          </w:p>
        </w:tc>
        <w:tc>
          <w:tcPr>
            <w:tcW w:w="300" w:type="dxa"/>
            <w:vAlign w:val="bottom"/>
            <w:tcBorders>
              <w:top w:val="single" w:sz="8" w:color="939598"/>
            </w:tcBorders>
            <w:shd w:val="clear" w:color="auto" w:fill="F3F3F4"/>
          </w:tcPr>
          <w:p>
            <w:pPr>
              <w:spacing w:after="0"/>
              <w:rPr>
                <w:sz w:val="21"/>
                <w:szCs w:val="21"/>
                <w:color w:val="auto"/>
              </w:rPr>
            </w:pPr>
          </w:p>
        </w:tc>
        <w:tc>
          <w:tcPr>
            <w:tcW w:w="500" w:type="dxa"/>
            <w:vAlign w:val="bottom"/>
            <w:tcBorders>
              <w:top w:val="single" w:sz="8" w:color="939598"/>
            </w:tcBorders>
            <w:shd w:val="clear" w:color="auto" w:fill="F3F3F4"/>
          </w:tcPr>
          <w:p>
            <w:pPr>
              <w:spacing w:after="0"/>
              <w:rPr>
                <w:sz w:val="21"/>
                <w:szCs w:val="21"/>
                <w:color w:val="auto"/>
              </w:rPr>
            </w:pPr>
          </w:p>
        </w:tc>
        <w:tc>
          <w:tcPr>
            <w:tcW w:w="120" w:type="dxa"/>
            <w:vAlign w:val="bottom"/>
            <w:tcBorders>
              <w:top w:val="single" w:sz="8" w:color="939598"/>
            </w:tcBorders>
            <w:shd w:val="clear" w:color="auto" w:fill="F3F3F4"/>
          </w:tcPr>
          <w:p>
            <w:pPr>
              <w:spacing w:after="0"/>
              <w:rPr>
                <w:sz w:val="21"/>
                <w:szCs w:val="21"/>
                <w:color w:val="auto"/>
              </w:rPr>
            </w:pPr>
          </w:p>
        </w:tc>
        <w:tc>
          <w:tcPr>
            <w:tcW w:w="220" w:type="dxa"/>
            <w:vAlign w:val="bottom"/>
            <w:tcBorders>
              <w:top w:val="single" w:sz="8" w:color="939598"/>
            </w:tcBorders>
            <w:shd w:val="clear" w:color="auto" w:fill="F3F3F4"/>
          </w:tcPr>
          <w:p>
            <w:pPr>
              <w:spacing w:after="0"/>
              <w:rPr>
                <w:sz w:val="21"/>
                <w:szCs w:val="21"/>
                <w:color w:val="auto"/>
              </w:rPr>
            </w:pPr>
          </w:p>
        </w:tc>
        <w:tc>
          <w:tcPr>
            <w:tcW w:w="380" w:type="dxa"/>
            <w:vAlign w:val="bottom"/>
            <w:tcBorders>
              <w:top w:val="single" w:sz="8" w:color="939598"/>
            </w:tcBorders>
            <w:shd w:val="clear" w:color="auto" w:fill="F3F3F4"/>
          </w:tcPr>
          <w:p>
            <w:pPr>
              <w:spacing w:after="0"/>
              <w:rPr>
                <w:sz w:val="21"/>
                <w:szCs w:val="21"/>
                <w:color w:val="auto"/>
              </w:rPr>
            </w:pPr>
          </w:p>
        </w:tc>
        <w:tc>
          <w:tcPr>
            <w:tcW w:w="880" w:type="dxa"/>
            <w:vAlign w:val="bottom"/>
            <w:tcBorders>
              <w:top w:val="single" w:sz="8" w:color="939598"/>
            </w:tcBorders>
            <w:shd w:val="clear" w:color="auto" w:fill="F3F3F4"/>
          </w:tcPr>
          <w:p>
            <w:pPr>
              <w:spacing w:after="0"/>
              <w:rPr>
                <w:sz w:val="21"/>
                <w:szCs w:val="21"/>
                <w:color w:val="auto"/>
              </w:rPr>
            </w:pPr>
          </w:p>
        </w:tc>
        <w:tc>
          <w:tcPr>
            <w:tcW w:w="100" w:type="dxa"/>
            <w:vAlign w:val="bottom"/>
            <w:tcBorders>
              <w:top w:val="single" w:sz="8" w:color="939598"/>
            </w:tcBorders>
            <w:shd w:val="clear" w:color="auto" w:fill="F3F3F4"/>
          </w:tcPr>
          <w:p>
            <w:pPr>
              <w:spacing w:after="0"/>
              <w:rPr>
                <w:sz w:val="21"/>
                <w:szCs w:val="21"/>
                <w:color w:val="auto"/>
              </w:rPr>
            </w:pPr>
          </w:p>
        </w:tc>
        <w:tc>
          <w:tcPr>
            <w:tcW w:w="120" w:type="dxa"/>
            <w:vAlign w:val="bottom"/>
            <w:tcBorders>
              <w:top w:val="single" w:sz="8" w:color="939598"/>
            </w:tcBorders>
            <w:shd w:val="clear" w:color="auto" w:fill="F3F3F4"/>
          </w:tcPr>
          <w:p>
            <w:pPr>
              <w:spacing w:after="0"/>
              <w:rPr>
                <w:sz w:val="21"/>
                <w:szCs w:val="21"/>
                <w:color w:val="auto"/>
              </w:rPr>
            </w:pPr>
          </w:p>
        </w:tc>
        <w:tc>
          <w:tcPr>
            <w:tcW w:w="140" w:type="dxa"/>
            <w:vAlign w:val="bottom"/>
            <w:tcBorders>
              <w:top w:val="single" w:sz="8" w:color="939598"/>
            </w:tcBorders>
            <w:shd w:val="clear" w:color="auto" w:fill="F3F3F4"/>
          </w:tcPr>
          <w:p>
            <w:pPr>
              <w:spacing w:after="0"/>
              <w:rPr>
                <w:sz w:val="21"/>
                <w:szCs w:val="21"/>
                <w:color w:val="auto"/>
              </w:rPr>
            </w:pPr>
          </w:p>
        </w:tc>
        <w:tc>
          <w:tcPr>
            <w:tcW w:w="1100" w:type="dxa"/>
            <w:vAlign w:val="bottom"/>
            <w:tcBorders>
              <w:top w:val="single" w:sz="8" w:color="939598"/>
            </w:tcBorders>
            <w:shd w:val="clear" w:color="auto" w:fill="F3F3F4"/>
          </w:tcPr>
          <w:p>
            <w:pPr>
              <w:spacing w:after="0"/>
              <w:rPr>
                <w:sz w:val="21"/>
                <w:szCs w:val="21"/>
                <w:color w:val="auto"/>
              </w:rPr>
            </w:pPr>
          </w:p>
        </w:tc>
        <w:tc>
          <w:tcPr>
            <w:tcW w:w="240" w:type="dxa"/>
            <w:vAlign w:val="bottom"/>
            <w:tcBorders>
              <w:top w:val="single" w:sz="8" w:color="939598"/>
            </w:tcBorders>
            <w:shd w:val="clear" w:color="auto" w:fill="F3F3F4"/>
          </w:tcPr>
          <w:p>
            <w:pPr>
              <w:spacing w:after="0"/>
              <w:rPr>
                <w:sz w:val="21"/>
                <w:szCs w:val="21"/>
                <w:color w:val="auto"/>
              </w:rPr>
            </w:pPr>
          </w:p>
        </w:tc>
        <w:tc>
          <w:tcPr>
            <w:tcW w:w="260" w:type="dxa"/>
            <w:vAlign w:val="bottom"/>
            <w:tcBorders>
              <w:top w:val="single" w:sz="8" w:color="939598"/>
            </w:tcBorders>
            <w:shd w:val="clear" w:color="auto" w:fill="F3F3F4"/>
          </w:tcPr>
          <w:p>
            <w:pPr>
              <w:spacing w:after="0"/>
              <w:rPr>
                <w:sz w:val="21"/>
                <w:szCs w:val="21"/>
                <w:color w:val="auto"/>
              </w:rPr>
            </w:pPr>
          </w:p>
        </w:tc>
        <w:tc>
          <w:tcPr>
            <w:tcW w:w="1000" w:type="dxa"/>
            <w:vAlign w:val="bottom"/>
            <w:tcBorders>
              <w:top w:val="single" w:sz="8" w:color="939598"/>
              <w:right w:val="single" w:sz="8" w:color="F3F3F4"/>
            </w:tcBorders>
            <w:shd w:val="clear" w:color="auto" w:fill="F3F3F4"/>
          </w:tcPr>
          <w:p>
            <w:pPr>
              <w:spacing w:after="0"/>
              <w:rPr>
                <w:sz w:val="21"/>
                <w:szCs w:val="21"/>
                <w:color w:val="auto"/>
              </w:rPr>
            </w:pPr>
          </w:p>
        </w:tc>
        <w:tc>
          <w:tcPr>
            <w:tcW w:w="160" w:type="dxa"/>
            <w:vAlign w:val="bottom"/>
            <w:tcBorders>
              <w:top w:val="single" w:sz="8" w:color="939598"/>
            </w:tcBorders>
            <w:shd w:val="clear" w:color="auto" w:fill="F3F3F4"/>
          </w:tcPr>
          <w:p>
            <w:pPr>
              <w:spacing w:after="0"/>
              <w:rPr>
                <w:sz w:val="21"/>
                <w:szCs w:val="21"/>
                <w:color w:val="auto"/>
              </w:rPr>
            </w:pPr>
          </w:p>
        </w:tc>
        <w:tc>
          <w:tcPr>
            <w:tcW w:w="660" w:type="dxa"/>
            <w:vAlign w:val="bottom"/>
            <w:tcBorders>
              <w:top w:val="single" w:sz="8" w:color="939598"/>
            </w:tcBorders>
            <w:shd w:val="clear" w:color="auto" w:fill="F3F3F4"/>
          </w:tcPr>
          <w:p>
            <w:pPr>
              <w:spacing w:after="0"/>
              <w:rPr>
                <w:sz w:val="21"/>
                <w:szCs w:val="21"/>
                <w:color w:val="auto"/>
              </w:rPr>
            </w:pPr>
          </w:p>
        </w:tc>
        <w:tc>
          <w:tcPr>
            <w:tcW w:w="560" w:type="dxa"/>
            <w:vAlign w:val="bottom"/>
            <w:tcBorders>
              <w:top w:val="single" w:sz="8" w:color="939598"/>
            </w:tcBorders>
            <w:shd w:val="clear" w:color="auto" w:fill="F3F3F4"/>
          </w:tcPr>
          <w:p>
            <w:pPr>
              <w:spacing w:after="0"/>
              <w:rPr>
                <w:sz w:val="21"/>
                <w:szCs w:val="21"/>
                <w:color w:val="auto"/>
              </w:rPr>
            </w:pPr>
          </w:p>
        </w:tc>
        <w:tc>
          <w:tcPr>
            <w:tcW w:w="100" w:type="dxa"/>
            <w:vAlign w:val="bottom"/>
            <w:tcBorders>
              <w:top w:val="single" w:sz="8" w:color="939598"/>
            </w:tcBorders>
            <w:shd w:val="clear" w:color="auto" w:fill="F3F3F4"/>
          </w:tcPr>
          <w:p>
            <w:pPr>
              <w:spacing w:after="0"/>
              <w:rPr>
                <w:sz w:val="21"/>
                <w:szCs w:val="21"/>
                <w:color w:val="auto"/>
              </w:rPr>
            </w:pPr>
          </w:p>
        </w:tc>
      </w:tr>
      <w:tr>
        <w:trPr>
          <w:trHeight w:val="198"/>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RSUs and PSUs</w:t>
            </w:r>
          </w:p>
        </w:tc>
        <w:tc>
          <w:tcPr>
            <w:tcW w:w="120" w:type="dxa"/>
            <w:vAlign w:val="bottom"/>
            <w:shd w:val="clear" w:color="auto" w:fill="F3F3F4"/>
          </w:tcPr>
          <w:p>
            <w:pPr>
              <w:spacing w:after="0"/>
              <w:rPr>
                <w:sz w:val="17"/>
                <w:szCs w:val="17"/>
                <w:color w:val="auto"/>
              </w:rPr>
            </w:pPr>
          </w:p>
        </w:tc>
        <w:tc>
          <w:tcPr>
            <w:tcW w:w="11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4,714,800</w:t>
            </w:r>
            <w:r>
              <w:rPr>
                <w:rFonts w:ascii="Arial" w:cs="Arial" w:eastAsia="Arial" w:hAnsi="Arial"/>
                <w:sz w:val="7"/>
                <w:szCs w:val="7"/>
                <w:color w:val="auto"/>
              </w:rPr>
              <w:t>6</w:t>
            </w:r>
          </w:p>
        </w:tc>
        <w:tc>
          <w:tcPr>
            <w:tcW w:w="120" w:type="dxa"/>
            <w:vAlign w:val="bottom"/>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300" w:type="dxa"/>
            <w:vAlign w:val="bottom"/>
            <w:shd w:val="clear" w:color="auto" w:fill="F3F3F4"/>
          </w:tcPr>
          <w:p>
            <w:pPr>
              <w:spacing w:after="0"/>
              <w:rPr>
                <w:sz w:val="17"/>
                <w:szCs w:val="17"/>
                <w:color w:val="auto"/>
              </w:rPr>
            </w:pPr>
          </w:p>
        </w:tc>
        <w:tc>
          <w:tcPr>
            <w:tcW w:w="50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F3F3F4"/>
          </w:tcPr>
          <w:p>
            <w:pPr>
              <w:spacing w:after="0"/>
              <w:rPr>
                <w:sz w:val="17"/>
                <w:szCs w:val="17"/>
                <w:color w:val="auto"/>
              </w:rPr>
            </w:pPr>
          </w:p>
        </w:tc>
        <w:tc>
          <w:tcPr>
            <w:tcW w:w="220" w:type="dxa"/>
            <w:vAlign w:val="bottom"/>
            <w:shd w:val="clear" w:color="auto" w:fill="F3F3F4"/>
          </w:tcPr>
          <w:p>
            <w:pPr>
              <w:spacing w:after="0"/>
              <w:rPr>
                <w:sz w:val="17"/>
                <w:szCs w:val="17"/>
                <w:color w:val="auto"/>
              </w:rPr>
            </w:pPr>
          </w:p>
        </w:tc>
        <w:tc>
          <w:tcPr>
            <w:tcW w:w="380" w:type="dxa"/>
            <w:vAlign w:val="bottom"/>
            <w:shd w:val="clear" w:color="auto" w:fill="F3F3F4"/>
          </w:tcPr>
          <w:p>
            <w:pPr>
              <w:spacing w:after="0"/>
              <w:rPr>
                <w:sz w:val="17"/>
                <w:szCs w:val="17"/>
                <w:color w:val="auto"/>
              </w:rPr>
            </w:pPr>
          </w:p>
        </w:tc>
        <w:tc>
          <w:tcPr>
            <w:tcW w:w="88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7"/>
                <w:szCs w:val="17"/>
                <w:color w:val="auto"/>
              </w:rPr>
            </w:pPr>
          </w:p>
        </w:tc>
        <w:tc>
          <w:tcPr>
            <w:tcW w:w="120" w:type="dxa"/>
            <w:vAlign w:val="bottom"/>
            <w:shd w:val="clear" w:color="auto" w:fill="F3F3F4"/>
          </w:tcPr>
          <w:p>
            <w:pPr>
              <w:spacing w:after="0"/>
              <w:rPr>
                <w:sz w:val="17"/>
                <w:szCs w:val="17"/>
                <w:color w:val="auto"/>
              </w:rPr>
            </w:pPr>
          </w:p>
        </w:tc>
        <w:tc>
          <w:tcPr>
            <w:tcW w:w="140" w:type="dxa"/>
            <w:vAlign w:val="bottom"/>
            <w:shd w:val="clear" w:color="auto" w:fill="F3F3F4"/>
          </w:tcPr>
          <w:p>
            <w:pPr>
              <w:spacing w:after="0"/>
              <w:rPr>
                <w:sz w:val="17"/>
                <w:szCs w:val="17"/>
                <w:color w:val="auto"/>
              </w:rPr>
            </w:pPr>
          </w:p>
        </w:tc>
        <w:tc>
          <w:tcPr>
            <w:tcW w:w="1340" w:type="dxa"/>
            <w:vAlign w:val="bottom"/>
            <w:gridSpan w:val="2"/>
            <w:shd w:val="clear" w:color="auto" w:fill="F3F3F4"/>
          </w:tcPr>
          <w:p>
            <w:pPr>
              <w:jc w:val="right"/>
              <w:ind w:right="240"/>
              <w:spacing w:after="0"/>
              <w:rPr>
                <w:sz w:val="20"/>
                <w:szCs w:val="20"/>
                <w:color w:val="auto"/>
              </w:rPr>
            </w:pPr>
            <w:r>
              <w:rPr>
                <w:rFonts w:ascii="Arial" w:cs="Arial" w:eastAsia="Arial" w:hAnsi="Arial"/>
                <w:sz w:val="13"/>
                <w:szCs w:val="13"/>
                <w:color w:val="auto"/>
              </w:rPr>
              <w:t>0</w:t>
            </w:r>
          </w:p>
        </w:tc>
        <w:tc>
          <w:tcPr>
            <w:tcW w:w="260" w:type="dxa"/>
            <w:vAlign w:val="bottom"/>
            <w:shd w:val="clear" w:color="auto" w:fill="F3F3F4"/>
          </w:tcPr>
          <w:p>
            <w:pPr>
              <w:spacing w:after="0"/>
              <w:rPr>
                <w:sz w:val="17"/>
                <w:szCs w:val="17"/>
                <w:color w:val="auto"/>
              </w:rPr>
            </w:pPr>
          </w:p>
        </w:tc>
        <w:tc>
          <w:tcPr>
            <w:tcW w:w="10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F3F3F4"/>
          </w:tcPr>
          <w:p>
            <w:pPr>
              <w:spacing w:after="0"/>
              <w:rPr>
                <w:sz w:val="17"/>
                <w:szCs w:val="17"/>
                <w:color w:val="auto"/>
              </w:rPr>
            </w:pPr>
          </w:p>
        </w:tc>
        <w:tc>
          <w:tcPr>
            <w:tcW w:w="660" w:type="dxa"/>
            <w:vAlign w:val="bottom"/>
            <w:shd w:val="clear" w:color="auto" w:fill="F3F3F4"/>
          </w:tcPr>
          <w:p>
            <w:pPr>
              <w:spacing w:after="0"/>
              <w:rPr>
                <w:sz w:val="17"/>
                <w:szCs w:val="17"/>
                <w:color w:val="auto"/>
              </w:rPr>
            </w:pPr>
          </w:p>
        </w:tc>
        <w:tc>
          <w:tcPr>
            <w:tcW w:w="660" w:type="dxa"/>
            <w:vAlign w:val="bottom"/>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r>
      <w:tr>
        <w:trPr>
          <w:trHeight w:val="20"/>
        </w:trPr>
        <w:tc>
          <w:tcPr>
            <w:tcW w:w="2920" w:type="dxa"/>
            <w:vAlign w:val="bottom"/>
            <w:shd w:val="clear" w:color="auto" w:fill="F3F3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F3F3F4"/>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F3F3F4"/>
          </w:tcPr>
          <w:p>
            <w:pPr>
              <w:spacing w:after="0" w:line="20" w:lineRule="exact"/>
              <w:rPr>
                <w:sz w:val="1"/>
                <w:szCs w:val="1"/>
                <w:color w:val="auto"/>
              </w:rPr>
            </w:pPr>
          </w:p>
        </w:tc>
        <w:tc>
          <w:tcPr>
            <w:tcW w:w="220" w:type="dxa"/>
            <w:vAlign w:val="bottom"/>
            <w:shd w:val="clear" w:color="auto" w:fill="F3F3F4"/>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120" w:type="dxa"/>
            <w:vAlign w:val="bottom"/>
            <w:shd w:val="clear" w:color="auto" w:fill="F3F3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F3F3F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F3F3F4"/>
            </w:tcBorders>
            <w:shd w:val="clear" w:color="auto" w:fill="000000"/>
          </w:tcPr>
          <w:p>
            <w:pPr>
              <w:spacing w:after="0" w:line="20" w:lineRule="exact"/>
              <w:rPr>
                <w:sz w:val="1"/>
                <w:szCs w:val="1"/>
                <w:color w:val="auto"/>
              </w:rPr>
            </w:pPr>
          </w:p>
        </w:tc>
        <w:tc>
          <w:tcPr>
            <w:tcW w:w="160" w:type="dxa"/>
            <w:vAlign w:val="bottom"/>
            <w:shd w:val="clear" w:color="auto" w:fill="F3F3F4"/>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r>
      <w:tr>
        <w:trPr>
          <w:trHeight w:val="254"/>
        </w:trPr>
        <w:tc>
          <w:tcPr>
            <w:tcW w:w="29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Total Awards</w:t>
            </w:r>
          </w:p>
        </w:tc>
        <w:tc>
          <w:tcPr>
            <w:tcW w:w="12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4,714,800</w:t>
            </w:r>
          </w:p>
        </w:tc>
        <w:tc>
          <w:tcPr>
            <w:tcW w:w="120" w:type="dxa"/>
            <w:vAlign w:val="bottom"/>
            <w:tcBorders>
              <w:bottom w:val="single" w:sz="8" w:color="F3F3F4"/>
            </w:tcBorders>
            <w:shd w:val="clear" w:color="auto" w:fill="F3F3F4"/>
          </w:tcPr>
          <w:p>
            <w:pPr>
              <w:spacing w:after="0"/>
              <w:rPr>
                <w:sz w:val="21"/>
                <w:szCs w:val="21"/>
                <w:color w:val="auto"/>
              </w:rPr>
            </w:pPr>
          </w:p>
        </w:tc>
        <w:tc>
          <w:tcPr>
            <w:tcW w:w="100" w:type="dxa"/>
            <w:vAlign w:val="bottom"/>
            <w:tcBorders>
              <w:bottom w:val="single" w:sz="8" w:color="F3F3F4"/>
            </w:tcBorders>
            <w:shd w:val="clear" w:color="auto" w:fill="F3F3F4"/>
          </w:tcPr>
          <w:p>
            <w:pPr>
              <w:spacing w:after="0"/>
              <w:rPr>
                <w:sz w:val="21"/>
                <w:szCs w:val="21"/>
                <w:color w:val="auto"/>
              </w:rPr>
            </w:pPr>
          </w:p>
        </w:tc>
        <w:tc>
          <w:tcPr>
            <w:tcW w:w="300" w:type="dxa"/>
            <w:vAlign w:val="bottom"/>
            <w:tcBorders>
              <w:bottom w:val="single" w:sz="8" w:color="F3F3F4"/>
            </w:tcBorders>
            <w:shd w:val="clear" w:color="auto" w:fill="F3F3F4"/>
          </w:tcPr>
          <w:p>
            <w:pPr>
              <w:jc w:val="right"/>
              <w:ind w:right="113"/>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20" w:type="dxa"/>
            <w:vAlign w:val="bottom"/>
            <w:tcBorders>
              <w:bottom w:val="single" w:sz="8" w:color="F3F3F4"/>
            </w:tcBorders>
            <w:shd w:val="clear" w:color="auto" w:fill="F3F3F4"/>
          </w:tcPr>
          <w:p>
            <w:pPr>
              <w:spacing w:after="0"/>
              <w:rPr>
                <w:sz w:val="21"/>
                <w:szCs w:val="21"/>
                <w:color w:val="auto"/>
              </w:rPr>
            </w:pPr>
          </w:p>
        </w:tc>
        <w:tc>
          <w:tcPr>
            <w:tcW w:w="220" w:type="dxa"/>
            <w:vAlign w:val="bottom"/>
            <w:tcBorders>
              <w:bottom w:val="single" w:sz="8" w:color="F3F3F4"/>
            </w:tcBorders>
            <w:shd w:val="clear" w:color="auto" w:fill="F3F3F4"/>
          </w:tcPr>
          <w:p>
            <w:pPr>
              <w:spacing w:after="0"/>
              <w:rPr>
                <w:sz w:val="21"/>
                <w:szCs w:val="21"/>
                <w:color w:val="auto"/>
              </w:rPr>
            </w:pPr>
          </w:p>
        </w:tc>
        <w:tc>
          <w:tcPr>
            <w:tcW w:w="380" w:type="dxa"/>
            <w:vAlign w:val="bottom"/>
            <w:tcBorders>
              <w:bottom w:val="single" w:sz="8" w:color="F3F3F4"/>
            </w:tcBorders>
            <w:shd w:val="clear" w:color="auto" w:fill="F3F3F4"/>
          </w:tcPr>
          <w:p>
            <w:pPr>
              <w:jc w:val="right"/>
              <w:ind w:right="19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F3F3F4"/>
            </w:tcBorders>
            <w:shd w:val="clear" w:color="auto" w:fill="F3F3F4"/>
          </w:tcPr>
          <w:p>
            <w:pPr>
              <w:spacing w:after="0"/>
              <w:rPr>
                <w:sz w:val="21"/>
                <w:szCs w:val="21"/>
                <w:color w:val="auto"/>
              </w:rPr>
            </w:pPr>
          </w:p>
        </w:tc>
        <w:tc>
          <w:tcPr>
            <w:tcW w:w="120" w:type="dxa"/>
            <w:vAlign w:val="bottom"/>
            <w:tcBorders>
              <w:bottom w:val="single" w:sz="8" w:color="F3F3F4"/>
            </w:tcBorders>
            <w:shd w:val="clear" w:color="auto" w:fill="F3F3F4"/>
          </w:tcPr>
          <w:p>
            <w:pPr>
              <w:spacing w:after="0"/>
              <w:rPr>
                <w:sz w:val="21"/>
                <w:szCs w:val="21"/>
                <w:color w:val="auto"/>
              </w:rPr>
            </w:pPr>
          </w:p>
        </w:tc>
        <w:tc>
          <w:tcPr>
            <w:tcW w:w="1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F3F3F4"/>
            </w:tcBorders>
            <w:gridSpan w:val="2"/>
            <w:shd w:val="clear" w:color="auto" w:fill="F3F3F4"/>
          </w:tcPr>
          <w:p>
            <w:pPr>
              <w:jc w:val="right"/>
              <w:ind w:right="240"/>
              <w:spacing w:after="0"/>
              <w:rPr>
                <w:sz w:val="20"/>
                <w:szCs w:val="20"/>
                <w:color w:val="auto"/>
              </w:rPr>
            </w:pPr>
            <w:r>
              <w:rPr>
                <w:rFonts w:ascii="Arial" w:cs="Arial" w:eastAsia="Arial" w:hAnsi="Arial"/>
                <w:sz w:val="13"/>
                <w:szCs w:val="13"/>
                <w:color w:val="auto"/>
              </w:rPr>
              <w:t>0</w:t>
            </w:r>
          </w:p>
        </w:tc>
        <w:tc>
          <w:tcPr>
            <w:tcW w:w="260" w:type="dxa"/>
            <w:vAlign w:val="bottom"/>
            <w:tcBorders>
              <w:bottom w:val="single" w:sz="8" w:color="F3F3F4"/>
            </w:tcBorders>
            <w:shd w:val="clear" w:color="auto" w:fill="F3F3F4"/>
          </w:tcPr>
          <w:p>
            <w:pPr>
              <w:jc w:val="right"/>
              <w:ind w:right="9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820" w:type="dxa"/>
            <w:vAlign w:val="bottom"/>
            <w:tcBorders>
              <w:bottom w:val="single" w:sz="8" w:color="F3F3F4"/>
            </w:tcBorders>
            <w:gridSpan w:val="2"/>
            <w:shd w:val="clear" w:color="auto" w:fill="F3F3F4"/>
          </w:tcPr>
          <w:p>
            <w:pPr>
              <w:jc w:val="right"/>
              <w:ind w:right="501"/>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3F3F4"/>
            </w:tcBorders>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r>
      <w:tr>
        <w:trPr>
          <w:trHeight w:val="301"/>
        </w:trPr>
        <w:tc>
          <w:tcPr>
            <w:tcW w:w="29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Total Direct Compensation</w:t>
            </w:r>
          </w:p>
        </w:tc>
        <w:tc>
          <w:tcPr>
            <w:tcW w:w="12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8,489,800</w:t>
            </w:r>
          </w:p>
        </w:tc>
        <w:tc>
          <w:tcPr>
            <w:tcW w:w="120" w:type="dxa"/>
            <w:vAlign w:val="bottom"/>
            <w:tcBorders>
              <w:top w:val="single" w:sz="8" w:color="939598"/>
              <w:bottom w:val="single" w:sz="8" w:color="F3F3F4"/>
            </w:tcBorders>
            <w:shd w:val="clear" w:color="auto" w:fill="F3F3F4"/>
          </w:tcPr>
          <w:p>
            <w:pPr>
              <w:spacing w:after="0"/>
              <w:rPr>
                <w:sz w:val="24"/>
                <w:szCs w:val="24"/>
                <w:color w:val="auto"/>
              </w:rPr>
            </w:pPr>
          </w:p>
        </w:tc>
        <w:tc>
          <w:tcPr>
            <w:tcW w:w="100" w:type="dxa"/>
            <w:vAlign w:val="bottom"/>
            <w:tcBorders>
              <w:top w:val="single" w:sz="8" w:color="939598"/>
              <w:bottom w:val="single" w:sz="8" w:color="F3F3F4"/>
            </w:tcBorders>
            <w:shd w:val="clear" w:color="auto" w:fill="F3F3F4"/>
          </w:tcPr>
          <w:p>
            <w:pPr>
              <w:spacing w:after="0"/>
              <w:rPr>
                <w:sz w:val="24"/>
                <w:szCs w:val="24"/>
                <w:color w:val="auto"/>
              </w:rPr>
            </w:pPr>
          </w:p>
        </w:tc>
        <w:tc>
          <w:tcPr>
            <w:tcW w:w="300" w:type="dxa"/>
            <w:vAlign w:val="bottom"/>
            <w:tcBorders>
              <w:top w:val="single" w:sz="8" w:color="939598"/>
              <w:bottom w:val="single" w:sz="8" w:color="F3F3F4"/>
            </w:tcBorders>
            <w:shd w:val="clear" w:color="auto" w:fill="F3F3F4"/>
          </w:tcPr>
          <w:p>
            <w:pPr>
              <w:jc w:val="right"/>
              <w:ind w:right="113"/>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20" w:type="dxa"/>
            <w:vAlign w:val="bottom"/>
            <w:tcBorders>
              <w:top w:val="single" w:sz="8" w:color="939598"/>
              <w:bottom w:val="single" w:sz="8" w:color="F3F3F4"/>
            </w:tcBorders>
            <w:shd w:val="clear" w:color="auto" w:fill="F3F3F4"/>
          </w:tcPr>
          <w:p>
            <w:pPr>
              <w:spacing w:after="0"/>
              <w:rPr>
                <w:sz w:val="24"/>
                <w:szCs w:val="24"/>
                <w:color w:val="auto"/>
              </w:rPr>
            </w:pPr>
          </w:p>
        </w:tc>
        <w:tc>
          <w:tcPr>
            <w:tcW w:w="600" w:type="dxa"/>
            <w:vAlign w:val="bottom"/>
            <w:tcBorders>
              <w:top w:val="single" w:sz="8" w:color="939598"/>
              <w:bottom w:val="single" w:sz="8" w:color="F3F3F4"/>
            </w:tcBorders>
            <w:gridSpan w:val="2"/>
            <w:shd w:val="clear" w:color="auto" w:fill="F3F3F4"/>
          </w:tcPr>
          <w:p>
            <w:pPr>
              <w:jc w:val="right"/>
              <w:ind w:right="193"/>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939598"/>
              <w:bottom w:val="single" w:sz="8" w:color="F3F3F4"/>
            </w:tcBorders>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188,750</w:t>
            </w:r>
          </w:p>
        </w:tc>
        <w:tc>
          <w:tcPr>
            <w:tcW w:w="260" w:type="dxa"/>
            <w:vAlign w:val="bottom"/>
            <w:tcBorders>
              <w:top w:val="single" w:sz="8" w:color="939598"/>
              <w:bottom w:val="single" w:sz="8" w:color="F3F3F4"/>
            </w:tcBorders>
            <w:gridSpan w:val="2"/>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3,775,000</w:t>
            </w:r>
          </w:p>
        </w:tc>
        <w:tc>
          <w:tcPr>
            <w:tcW w:w="240" w:type="dxa"/>
            <w:vAlign w:val="bottom"/>
            <w:tcBorders>
              <w:top w:val="single" w:sz="8" w:color="939598"/>
              <w:bottom w:val="single" w:sz="8" w:color="F3F3F4"/>
            </w:tcBorders>
            <w:shd w:val="clear" w:color="auto" w:fill="F3F3F4"/>
          </w:tcPr>
          <w:p>
            <w:pPr>
              <w:spacing w:after="0"/>
              <w:rPr>
                <w:sz w:val="24"/>
                <w:szCs w:val="24"/>
                <w:color w:val="auto"/>
              </w:rPr>
            </w:pPr>
          </w:p>
        </w:tc>
        <w:tc>
          <w:tcPr>
            <w:tcW w:w="260" w:type="dxa"/>
            <w:vAlign w:val="bottom"/>
            <w:tcBorders>
              <w:top w:val="single" w:sz="8" w:color="939598"/>
              <w:bottom w:val="single" w:sz="8" w:color="F3F3F4"/>
            </w:tcBorders>
            <w:shd w:val="clear" w:color="auto" w:fill="F3F3F4"/>
          </w:tcPr>
          <w:p>
            <w:pPr>
              <w:jc w:val="right"/>
              <w:ind w:right="93"/>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939598"/>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820" w:type="dxa"/>
            <w:vAlign w:val="bottom"/>
            <w:tcBorders>
              <w:top w:val="single" w:sz="8" w:color="939598"/>
              <w:bottom w:val="single" w:sz="8" w:color="F3F3F4"/>
            </w:tcBorders>
            <w:gridSpan w:val="2"/>
            <w:shd w:val="clear" w:color="auto" w:fill="F3F3F4"/>
          </w:tcPr>
          <w:p>
            <w:pPr>
              <w:jc w:val="right"/>
              <w:ind w:right="501"/>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939598"/>
              <w:bottom w:val="single" w:sz="8" w:color="F3F3F4"/>
            </w:tcBorders>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r>
      <w:tr>
        <w:trPr>
          <w:trHeight w:val="245"/>
        </w:trPr>
        <w:tc>
          <w:tcPr>
            <w:tcW w:w="292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Benefits:</w:t>
            </w:r>
            <w:r>
              <w:rPr>
                <w:rFonts w:ascii="Arial" w:cs="Arial" w:eastAsia="Arial" w:hAnsi="Arial"/>
                <w:sz w:val="7"/>
                <w:szCs w:val="7"/>
                <w:b w:val="1"/>
                <w:bCs w:val="1"/>
                <w:color w:val="auto"/>
              </w:rPr>
              <w:t>7</w:t>
            </w:r>
          </w:p>
        </w:tc>
        <w:tc>
          <w:tcPr>
            <w:tcW w:w="120" w:type="dxa"/>
            <w:vAlign w:val="bottom"/>
            <w:tcBorders>
              <w:top w:val="single" w:sz="8" w:color="939598"/>
            </w:tcBorders>
            <w:shd w:val="clear" w:color="auto" w:fill="F3F3F4"/>
          </w:tcPr>
          <w:p>
            <w:pPr>
              <w:spacing w:after="0"/>
              <w:rPr>
                <w:sz w:val="21"/>
                <w:szCs w:val="21"/>
                <w:color w:val="auto"/>
              </w:rPr>
            </w:pPr>
          </w:p>
        </w:tc>
        <w:tc>
          <w:tcPr>
            <w:tcW w:w="1140" w:type="dxa"/>
            <w:vAlign w:val="bottom"/>
            <w:tcBorders>
              <w:top w:val="single" w:sz="8" w:color="939598"/>
            </w:tcBorders>
            <w:shd w:val="clear" w:color="auto" w:fill="F3F3F4"/>
          </w:tcPr>
          <w:p>
            <w:pPr>
              <w:spacing w:after="0"/>
              <w:rPr>
                <w:sz w:val="21"/>
                <w:szCs w:val="21"/>
                <w:color w:val="auto"/>
              </w:rPr>
            </w:pPr>
          </w:p>
        </w:tc>
        <w:tc>
          <w:tcPr>
            <w:tcW w:w="120" w:type="dxa"/>
            <w:vAlign w:val="bottom"/>
            <w:tcBorders>
              <w:top w:val="single" w:sz="8" w:color="939598"/>
            </w:tcBorders>
            <w:shd w:val="clear" w:color="auto" w:fill="F3F3F4"/>
          </w:tcPr>
          <w:p>
            <w:pPr>
              <w:spacing w:after="0"/>
              <w:rPr>
                <w:sz w:val="21"/>
                <w:szCs w:val="21"/>
                <w:color w:val="auto"/>
              </w:rPr>
            </w:pPr>
          </w:p>
        </w:tc>
        <w:tc>
          <w:tcPr>
            <w:tcW w:w="100" w:type="dxa"/>
            <w:vAlign w:val="bottom"/>
            <w:tcBorders>
              <w:top w:val="single" w:sz="8" w:color="939598"/>
            </w:tcBorders>
            <w:shd w:val="clear" w:color="auto" w:fill="F3F3F4"/>
          </w:tcPr>
          <w:p>
            <w:pPr>
              <w:spacing w:after="0"/>
              <w:rPr>
                <w:sz w:val="21"/>
                <w:szCs w:val="21"/>
                <w:color w:val="auto"/>
              </w:rPr>
            </w:pPr>
          </w:p>
        </w:tc>
        <w:tc>
          <w:tcPr>
            <w:tcW w:w="300" w:type="dxa"/>
            <w:vAlign w:val="bottom"/>
            <w:tcBorders>
              <w:top w:val="single" w:sz="8" w:color="939598"/>
            </w:tcBorders>
            <w:shd w:val="clear" w:color="auto" w:fill="F3F3F4"/>
          </w:tcPr>
          <w:p>
            <w:pPr>
              <w:spacing w:after="0"/>
              <w:rPr>
                <w:sz w:val="21"/>
                <w:szCs w:val="21"/>
                <w:color w:val="auto"/>
              </w:rPr>
            </w:pPr>
          </w:p>
        </w:tc>
        <w:tc>
          <w:tcPr>
            <w:tcW w:w="500" w:type="dxa"/>
            <w:vAlign w:val="bottom"/>
            <w:tcBorders>
              <w:top w:val="single" w:sz="8" w:color="939598"/>
            </w:tcBorders>
            <w:shd w:val="clear" w:color="auto" w:fill="F3F3F4"/>
          </w:tcPr>
          <w:p>
            <w:pPr>
              <w:spacing w:after="0"/>
              <w:rPr>
                <w:sz w:val="21"/>
                <w:szCs w:val="21"/>
                <w:color w:val="auto"/>
              </w:rPr>
            </w:pPr>
          </w:p>
        </w:tc>
        <w:tc>
          <w:tcPr>
            <w:tcW w:w="120" w:type="dxa"/>
            <w:vAlign w:val="bottom"/>
            <w:tcBorders>
              <w:top w:val="single" w:sz="8" w:color="939598"/>
            </w:tcBorders>
            <w:shd w:val="clear" w:color="auto" w:fill="F3F3F4"/>
          </w:tcPr>
          <w:p>
            <w:pPr>
              <w:spacing w:after="0"/>
              <w:rPr>
                <w:sz w:val="21"/>
                <w:szCs w:val="21"/>
                <w:color w:val="auto"/>
              </w:rPr>
            </w:pPr>
          </w:p>
        </w:tc>
        <w:tc>
          <w:tcPr>
            <w:tcW w:w="220" w:type="dxa"/>
            <w:vAlign w:val="bottom"/>
            <w:tcBorders>
              <w:top w:val="single" w:sz="8" w:color="939598"/>
            </w:tcBorders>
            <w:shd w:val="clear" w:color="auto" w:fill="F3F3F4"/>
          </w:tcPr>
          <w:p>
            <w:pPr>
              <w:spacing w:after="0"/>
              <w:rPr>
                <w:sz w:val="21"/>
                <w:szCs w:val="21"/>
                <w:color w:val="auto"/>
              </w:rPr>
            </w:pPr>
          </w:p>
        </w:tc>
        <w:tc>
          <w:tcPr>
            <w:tcW w:w="380" w:type="dxa"/>
            <w:vAlign w:val="bottom"/>
            <w:tcBorders>
              <w:top w:val="single" w:sz="8" w:color="939598"/>
            </w:tcBorders>
            <w:shd w:val="clear" w:color="auto" w:fill="F3F3F4"/>
          </w:tcPr>
          <w:p>
            <w:pPr>
              <w:spacing w:after="0"/>
              <w:rPr>
                <w:sz w:val="21"/>
                <w:szCs w:val="21"/>
                <w:color w:val="auto"/>
              </w:rPr>
            </w:pPr>
          </w:p>
        </w:tc>
        <w:tc>
          <w:tcPr>
            <w:tcW w:w="880" w:type="dxa"/>
            <w:vAlign w:val="bottom"/>
            <w:tcBorders>
              <w:top w:val="single" w:sz="8" w:color="939598"/>
            </w:tcBorders>
            <w:shd w:val="clear" w:color="auto" w:fill="F3F3F4"/>
          </w:tcPr>
          <w:p>
            <w:pPr>
              <w:spacing w:after="0"/>
              <w:rPr>
                <w:sz w:val="21"/>
                <w:szCs w:val="21"/>
                <w:color w:val="auto"/>
              </w:rPr>
            </w:pPr>
          </w:p>
        </w:tc>
        <w:tc>
          <w:tcPr>
            <w:tcW w:w="100" w:type="dxa"/>
            <w:vAlign w:val="bottom"/>
            <w:tcBorders>
              <w:top w:val="single" w:sz="8" w:color="939598"/>
            </w:tcBorders>
            <w:shd w:val="clear" w:color="auto" w:fill="F3F3F4"/>
          </w:tcPr>
          <w:p>
            <w:pPr>
              <w:spacing w:after="0"/>
              <w:rPr>
                <w:sz w:val="21"/>
                <w:szCs w:val="21"/>
                <w:color w:val="auto"/>
              </w:rPr>
            </w:pPr>
          </w:p>
        </w:tc>
        <w:tc>
          <w:tcPr>
            <w:tcW w:w="120" w:type="dxa"/>
            <w:vAlign w:val="bottom"/>
            <w:tcBorders>
              <w:top w:val="single" w:sz="8" w:color="939598"/>
            </w:tcBorders>
            <w:shd w:val="clear" w:color="auto" w:fill="F3F3F4"/>
          </w:tcPr>
          <w:p>
            <w:pPr>
              <w:spacing w:after="0"/>
              <w:rPr>
                <w:sz w:val="21"/>
                <w:szCs w:val="21"/>
                <w:color w:val="auto"/>
              </w:rPr>
            </w:pPr>
          </w:p>
        </w:tc>
        <w:tc>
          <w:tcPr>
            <w:tcW w:w="140" w:type="dxa"/>
            <w:vAlign w:val="bottom"/>
            <w:tcBorders>
              <w:top w:val="single" w:sz="8" w:color="939598"/>
            </w:tcBorders>
            <w:shd w:val="clear" w:color="auto" w:fill="F3F3F4"/>
          </w:tcPr>
          <w:p>
            <w:pPr>
              <w:spacing w:after="0"/>
              <w:rPr>
                <w:sz w:val="21"/>
                <w:szCs w:val="21"/>
                <w:color w:val="auto"/>
              </w:rPr>
            </w:pPr>
          </w:p>
        </w:tc>
        <w:tc>
          <w:tcPr>
            <w:tcW w:w="1100" w:type="dxa"/>
            <w:vAlign w:val="bottom"/>
            <w:tcBorders>
              <w:top w:val="single" w:sz="8" w:color="939598"/>
            </w:tcBorders>
            <w:shd w:val="clear" w:color="auto" w:fill="F3F3F4"/>
          </w:tcPr>
          <w:p>
            <w:pPr>
              <w:spacing w:after="0"/>
              <w:rPr>
                <w:sz w:val="21"/>
                <w:szCs w:val="21"/>
                <w:color w:val="auto"/>
              </w:rPr>
            </w:pPr>
          </w:p>
        </w:tc>
        <w:tc>
          <w:tcPr>
            <w:tcW w:w="240" w:type="dxa"/>
            <w:vAlign w:val="bottom"/>
            <w:tcBorders>
              <w:top w:val="single" w:sz="8" w:color="939598"/>
            </w:tcBorders>
            <w:shd w:val="clear" w:color="auto" w:fill="F3F3F4"/>
          </w:tcPr>
          <w:p>
            <w:pPr>
              <w:spacing w:after="0"/>
              <w:rPr>
                <w:sz w:val="21"/>
                <w:szCs w:val="21"/>
                <w:color w:val="auto"/>
              </w:rPr>
            </w:pPr>
          </w:p>
        </w:tc>
        <w:tc>
          <w:tcPr>
            <w:tcW w:w="260" w:type="dxa"/>
            <w:vAlign w:val="bottom"/>
            <w:tcBorders>
              <w:top w:val="single" w:sz="8" w:color="939598"/>
            </w:tcBorders>
            <w:shd w:val="clear" w:color="auto" w:fill="F3F3F4"/>
          </w:tcPr>
          <w:p>
            <w:pPr>
              <w:spacing w:after="0"/>
              <w:rPr>
                <w:sz w:val="21"/>
                <w:szCs w:val="21"/>
                <w:color w:val="auto"/>
              </w:rPr>
            </w:pPr>
          </w:p>
        </w:tc>
        <w:tc>
          <w:tcPr>
            <w:tcW w:w="1000" w:type="dxa"/>
            <w:vAlign w:val="bottom"/>
            <w:tcBorders>
              <w:top w:val="single" w:sz="8" w:color="939598"/>
              <w:right w:val="single" w:sz="8" w:color="F3F3F4"/>
            </w:tcBorders>
            <w:shd w:val="clear" w:color="auto" w:fill="F3F3F4"/>
          </w:tcPr>
          <w:p>
            <w:pPr>
              <w:spacing w:after="0"/>
              <w:rPr>
                <w:sz w:val="21"/>
                <w:szCs w:val="21"/>
                <w:color w:val="auto"/>
              </w:rPr>
            </w:pPr>
          </w:p>
        </w:tc>
        <w:tc>
          <w:tcPr>
            <w:tcW w:w="160" w:type="dxa"/>
            <w:vAlign w:val="bottom"/>
            <w:tcBorders>
              <w:top w:val="single" w:sz="8" w:color="939598"/>
            </w:tcBorders>
            <w:shd w:val="clear" w:color="auto" w:fill="F3F3F4"/>
          </w:tcPr>
          <w:p>
            <w:pPr>
              <w:spacing w:after="0"/>
              <w:rPr>
                <w:sz w:val="21"/>
                <w:szCs w:val="21"/>
                <w:color w:val="auto"/>
              </w:rPr>
            </w:pPr>
          </w:p>
        </w:tc>
        <w:tc>
          <w:tcPr>
            <w:tcW w:w="660" w:type="dxa"/>
            <w:vAlign w:val="bottom"/>
            <w:tcBorders>
              <w:top w:val="single" w:sz="8" w:color="939598"/>
            </w:tcBorders>
            <w:shd w:val="clear" w:color="auto" w:fill="F3F3F4"/>
          </w:tcPr>
          <w:p>
            <w:pPr>
              <w:spacing w:after="0"/>
              <w:rPr>
                <w:sz w:val="21"/>
                <w:szCs w:val="21"/>
                <w:color w:val="auto"/>
              </w:rPr>
            </w:pPr>
          </w:p>
        </w:tc>
        <w:tc>
          <w:tcPr>
            <w:tcW w:w="560" w:type="dxa"/>
            <w:vAlign w:val="bottom"/>
            <w:tcBorders>
              <w:top w:val="single" w:sz="8" w:color="939598"/>
            </w:tcBorders>
            <w:shd w:val="clear" w:color="auto" w:fill="F3F3F4"/>
          </w:tcPr>
          <w:p>
            <w:pPr>
              <w:spacing w:after="0"/>
              <w:rPr>
                <w:sz w:val="21"/>
                <w:szCs w:val="21"/>
                <w:color w:val="auto"/>
              </w:rPr>
            </w:pPr>
          </w:p>
        </w:tc>
        <w:tc>
          <w:tcPr>
            <w:tcW w:w="100" w:type="dxa"/>
            <w:vAlign w:val="bottom"/>
            <w:tcBorders>
              <w:top w:val="single" w:sz="8" w:color="939598"/>
            </w:tcBorders>
            <w:shd w:val="clear" w:color="auto" w:fill="F3F3F4"/>
          </w:tcPr>
          <w:p>
            <w:pPr>
              <w:spacing w:after="0"/>
              <w:rPr>
                <w:sz w:val="21"/>
                <w:szCs w:val="21"/>
                <w:color w:val="auto"/>
              </w:rPr>
            </w:pPr>
          </w:p>
        </w:tc>
      </w:tr>
      <w:tr>
        <w:trPr>
          <w:trHeight w:val="194"/>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Broad-based benefits</w:t>
            </w:r>
          </w:p>
        </w:tc>
        <w:tc>
          <w:tcPr>
            <w:tcW w:w="120" w:type="dxa"/>
            <w:vAlign w:val="bottom"/>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64,770</w:t>
            </w:r>
          </w:p>
        </w:tc>
        <w:tc>
          <w:tcPr>
            <w:tcW w:w="120" w:type="dxa"/>
            <w:vAlign w:val="bottom"/>
            <w:shd w:val="clear" w:color="auto" w:fill="F3F3F4"/>
          </w:tcPr>
          <w:p>
            <w:pPr>
              <w:spacing w:after="0"/>
              <w:rPr>
                <w:sz w:val="16"/>
                <w:szCs w:val="16"/>
                <w:color w:val="auto"/>
              </w:rPr>
            </w:pPr>
          </w:p>
        </w:tc>
        <w:tc>
          <w:tcPr>
            <w:tcW w:w="100" w:type="dxa"/>
            <w:vAlign w:val="bottom"/>
            <w:shd w:val="clear" w:color="auto" w:fill="F3F3F4"/>
          </w:tcPr>
          <w:p>
            <w:pPr>
              <w:spacing w:after="0"/>
              <w:rPr>
                <w:sz w:val="16"/>
                <w:szCs w:val="16"/>
                <w:color w:val="auto"/>
              </w:rPr>
            </w:pPr>
          </w:p>
        </w:tc>
        <w:tc>
          <w:tcPr>
            <w:tcW w:w="300" w:type="dxa"/>
            <w:vAlign w:val="bottom"/>
            <w:shd w:val="clear" w:color="auto" w:fill="F3F3F4"/>
          </w:tcPr>
          <w:p>
            <w:pPr>
              <w:jc w:val="right"/>
              <w:ind w:right="113"/>
              <w:spacing w:after="0"/>
              <w:rPr>
                <w:sz w:val="20"/>
                <w:szCs w:val="20"/>
                <w:color w:val="auto"/>
              </w:rPr>
            </w:pPr>
            <w:r>
              <w:rPr>
                <w:rFonts w:ascii="Arial" w:cs="Arial" w:eastAsia="Arial" w:hAnsi="Arial"/>
                <w:sz w:val="13"/>
                <w:szCs w:val="13"/>
                <w:color w:val="auto"/>
              </w:rPr>
              <w:t>$</w:t>
            </w:r>
          </w:p>
        </w:tc>
        <w:tc>
          <w:tcPr>
            <w:tcW w:w="50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F3F3F4"/>
          </w:tcPr>
          <w:p>
            <w:pPr>
              <w:spacing w:after="0"/>
              <w:rPr>
                <w:sz w:val="16"/>
                <w:szCs w:val="16"/>
                <w:color w:val="auto"/>
              </w:rPr>
            </w:pPr>
          </w:p>
        </w:tc>
        <w:tc>
          <w:tcPr>
            <w:tcW w:w="220" w:type="dxa"/>
            <w:vAlign w:val="bottom"/>
            <w:shd w:val="clear" w:color="auto" w:fill="F3F3F4"/>
          </w:tcPr>
          <w:p>
            <w:pPr>
              <w:spacing w:after="0"/>
              <w:rPr>
                <w:sz w:val="16"/>
                <w:szCs w:val="16"/>
                <w:color w:val="auto"/>
              </w:rPr>
            </w:pPr>
          </w:p>
        </w:tc>
        <w:tc>
          <w:tcPr>
            <w:tcW w:w="380" w:type="dxa"/>
            <w:vAlign w:val="bottom"/>
            <w:shd w:val="clear" w:color="auto" w:fill="F3F3F4"/>
          </w:tcPr>
          <w:p>
            <w:pPr>
              <w:jc w:val="right"/>
              <w:ind w:right="193"/>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c>
          <w:tcPr>
            <w:tcW w:w="260" w:type="dxa"/>
            <w:vAlign w:val="bottom"/>
            <w:gridSpan w:val="2"/>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shd w:val="clear" w:color="auto" w:fill="F3F3F4"/>
          </w:tcPr>
          <w:p>
            <w:pPr>
              <w:jc w:val="right"/>
              <w:ind w:right="240"/>
              <w:spacing w:after="0"/>
              <w:rPr>
                <w:sz w:val="20"/>
                <w:szCs w:val="20"/>
                <w:color w:val="auto"/>
              </w:rPr>
            </w:pPr>
            <w:r>
              <w:rPr>
                <w:rFonts w:ascii="Arial" w:cs="Arial" w:eastAsia="Arial" w:hAnsi="Arial"/>
                <w:sz w:val="13"/>
                <w:szCs w:val="13"/>
                <w:color w:val="auto"/>
              </w:rPr>
              <w:t>7,269</w:t>
            </w:r>
          </w:p>
        </w:tc>
        <w:tc>
          <w:tcPr>
            <w:tcW w:w="260" w:type="dxa"/>
            <w:vAlign w:val="bottom"/>
            <w:shd w:val="clear" w:color="auto" w:fill="F3F3F4"/>
          </w:tcPr>
          <w:p>
            <w:pPr>
              <w:jc w:val="right"/>
              <w:ind w:right="93"/>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820" w:type="dxa"/>
            <w:vAlign w:val="bottom"/>
            <w:gridSpan w:val="2"/>
            <w:shd w:val="clear" w:color="auto" w:fill="F3F3F4"/>
          </w:tcPr>
          <w:p>
            <w:pPr>
              <w:jc w:val="right"/>
              <w:ind w:right="501"/>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r>
      <w:tr>
        <w:trPr>
          <w:trHeight w:val="202"/>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Pension benefits</w:t>
            </w:r>
          </w:p>
        </w:tc>
        <w:tc>
          <w:tcPr>
            <w:tcW w:w="120" w:type="dxa"/>
            <w:vAlign w:val="bottom"/>
            <w:shd w:val="clear" w:color="auto" w:fill="F3F3F4"/>
          </w:tcPr>
          <w:p>
            <w:pPr>
              <w:spacing w:after="0"/>
              <w:rPr>
                <w:sz w:val="17"/>
                <w:szCs w:val="17"/>
                <w:color w:val="auto"/>
              </w:rPr>
            </w:pPr>
          </w:p>
        </w:tc>
        <w:tc>
          <w:tcPr>
            <w:tcW w:w="11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300" w:type="dxa"/>
            <w:vAlign w:val="bottom"/>
            <w:shd w:val="clear" w:color="auto" w:fill="F3F3F4"/>
          </w:tcPr>
          <w:p>
            <w:pPr>
              <w:spacing w:after="0"/>
              <w:rPr>
                <w:sz w:val="17"/>
                <w:szCs w:val="17"/>
                <w:color w:val="auto"/>
              </w:rPr>
            </w:pPr>
          </w:p>
        </w:tc>
        <w:tc>
          <w:tcPr>
            <w:tcW w:w="50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F3F3F4"/>
          </w:tcPr>
          <w:p>
            <w:pPr>
              <w:spacing w:after="0"/>
              <w:rPr>
                <w:sz w:val="17"/>
                <w:szCs w:val="17"/>
                <w:color w:val="auto"/>
              </w:rPr>
            </w:pPr>
          </w:p>
        </w:tc>
        <w:tc>
          <w:tcPr>
            <w:tcW w:w="220" w:type="dxa"/>
            <w:vAlign w:val="bottom"/>
            <w:shd w:val="clear" w:color="auto" w:fill="F3F3F4"/>
          </w:tcPr>
          <w:p>
            <w:pPr>
              <w:spacing w:after="0"/>
              <w:rPr>
                <w:sz w:val="17"/>
                <w:szCs w:val="17"/>
                <w:color w:val="auto"/>
              </w:rPr>
            </w:pPr>
          </w:p>
        </w:tc>
        <w:tc>
          <w:tcPr>
            <w:tcW w:w="380" w:type="dxa"/>
            <w:vAlign w:val="bottom"/>
            <w:shd w:val="clear" w:color="auto" w:fill="F3F3F4"/>
          </w:tcPr>
          <w:p>
            <w:pPr>
              <w:spacing w:after="0"/>
              <w:rPr>
                <w:sz w:val="17"/>
                <w:szCs w:val="17"/>
                <w:color w:val="auto"/>
              </w:rPr>
            </w:pPr>
          </w:p>
        </w:tc>
        <w:tc>
          <w:tcPr>
            <w:tcW w:w="88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7"/>
                <w:szCs w:val="17"/>
                <w:color w:val="auto"/>
              </w:rPr>
            </w:pPr>
          </w:p>
        </w:tc>
        <w:tc>
          <w:tcPr>
            <w:tcW w:w="120" w:type="dxa"/>
            <w:vAlign w:val="bottom"/>
            <w:shd w:val="clear" w:color="auto" w:fill="F3F3F4"/>
          </w:tcPr>
          <w:p>
            <w:pPr>
              <w:spacing w:after="0"/>
              <w:rPr>
                <w:sz w:val="17"/>
                <w:szCs w:val="17"/>
                <w:color w:val="auto"/>
              </w:rPr>
            </w:pPr>
          </w:p>
        </w:tc>
        <w:tc>
          <w:tcPr>
            <w:tcW w:w="140" w:type="dxa"/>
            <w:vAlign w:val="bottom"/>
            <w:shd w:val="clear" w:color="auto" w:fill="F3F3F4"/>
          </w:tcPr>
          <w:p>
            <w:pPr>
              <w:spacing w:after="0"/>
              <w:rPr>
                <w:sz w:val="17"/>
                <w:szCs w:val="17"/>
                <w:color w:val="auto"/>
              </w:rPr>
            </w:pPr>
          </w:p>
        </w:tc>
        <w:tc>
          <w:tcPr>
            <w:tcW w:w="1340" w:type="dxa"/>
            <w:vAlign w:val="bottom"/>
            <w:gridSpan w:val="2"/>
            <w:shd w:val="clear" w:color="auto" w:fill="F3F3F4"/>
          </w:tcPr>
          <w:p>
            <w:pPr>
              <w:jc w:val="right"/>
              <w:ind w:right="240"/>
              <w:spacing w:after="0"/>
              <w:rPr>
                <w:sz w:val="20"/>
                <w:szCs w:val="20"/>
                <w:color w:val="auto"/>
              </w:rPr>
            </w:pPr>
            <w:r>
              <w:rPr>
                <w:rFonts w:ascii="Arial" w:cs="Arial" w:eastAsia="Arial" w:hAnsi="Arial"/>
                <w:sz w:val="13"/>
                <w:szCs w:val="13"/>
                <w:color w:val="auto"/>
              </w:rPr>
              <w:t>0</w:t>
            </w:r>
          </w:p>
        </w:tc>
        <w:tc>
          <w:tcPr>
            <w:tcW w:w="260" w:type="dxa"/>
            <w:vAlign w:val="bottom"/>
            <w:shd w:val="clear" w:color="auto" w:fill="F3F3F4"/>
          </w:tcPr>
          <w:p>
            <w:pPr>
              <w:spacing w:after="0"/>
              <w:rPr>
                <w:sz w:val="17"/>
                <w:szCs w:val="17"/>
                <w:color w:val="auto"/>
              </w:rPr>
            </w:pPr>
          </w:p>
        </w:tc>
        <w:tc>
          <w:tcPr>
            <w:tcW w:w="10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F3F3F4"/>
          </w:tcPr>
          <w:p>
            <w:pPr>
              <w:spacing w:after="0"/>
              <w:rPr>
                <w:sz w:val="17"/>
                <w:szCs w:val="17"/>
                <w:color w:val="auto"/>
              </w:rPr>
            </w:pPr>
          </w:p>
        </w:tc>
        <w:tc>
          <w:tcPr>
            <w:tcW w:w="660" w:type="dxa"/>
            <w:vAlign w:val="bottom"/>
            <w:shd w:val="clear" w:color="auto" w:fill="F3F3F4"/>
          </w:tcPr>
          <w:p>
            <w:pPr>
              <w:spacing w:after="0"/>
              <w:rPr>
                <w:sz w:val="17"/>
                <w:szCs w:val="17"/>
                <w:color w:val="auto"/>
              </w:rPr>
            </w:pPr>
          </w:p>
        </w:tc>
        <w:tc>
          <w:tcPr>
            <w:tcW w:w="660" w:type="dxa"/>
            <w:vAlign w:val="bottom"/>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r>
      <w:tr>
        <w:trPr>
          <w:trHeight w:val="206"/>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Other executive benefits/perquisites</w:t>
            </w:r>
          </w:p>
        </w:tc>
        <w:tc>
          <w:tcPr>
            <w:tcW w:w="120" w:type="dxa"/>
            <w:vAlign w:val="bottom"/>
            <w:shd w:val="clear" w:color="auto" w:fill="F3F3F4"/>
          </w:tcPr>
          <w:p>
            <w:pPr>
              <w:spacing w:after="0"/>
              <w:rPr>
                <w:sz w:val="17"/>
                <w:szCs w:val="17"/>
                <w:color w:val="auto"/>
              </w:rPr>
            </w:pPr>
          </w:p>
        </w:tc>
        <w:tc>
          <w:tcPr>
            <w:tcW w:w="11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16,000</w:t>
            </w:r>
          </w:p>
        </w:tc>
        <w:tc>
          <w:tcPr>
            <w:tcW w:w="120" w:type="dxa"/>
            <w:vAlign w:val="bottom"/>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300" w:type="dxa"/>
            <w:vAlign w:val="bottom"/>
            <w:shd w:val="clear" w:color="auto" w:fill="F3F3F4"/>
          </w:tcPr>
          <w:p>
            <w:pPr>
              <w:spacing w:after="0"/>
              <w:rPr>
                <w:sz w:val="17"/>
                <w:szCs w:val="17"/>
                <w:color w:val="auto"/>
              </w:rPr>
            </w:pPr>
          </w:p>
        </w:tc>
        <w:tc>
          <w:tcPr>
            <w:tcW w:w="50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20" w:type="dxa"/>
            <w:vAlign w:val="bottom"/>
            <w:shd w:val="clear" w:color="auto" w:fill="F3F3F4"/>
          </w:tcPr>
          <w:p>
            <w:pPr>
              <w:spacing w:after="0"/>
              <w:rPr>
                <w:sz w:val="17"/>
                <w:szCs w:val="17"/>
                <w:color w:val="auto"/>
              </w:rPr>
            </w:pPr>
          </w:p>
        </w:tc>
        <w:tc>
          <w:tcPr>
            <w:tcW w:w="220" w:type="dxa"/>
            <w:vAlign w:val="bottom"/>
            <w:shd w:val="clear" w:color="auto" w:fill="F3F3F4"/>
          </w:tcPr>
          <w:p>
            <w:pPr>
              <w:spacing w:after="0"/>
              <w:rPr>
                <w:sz w:val="17"/>
                <w:szCs w:val="17"/>
                <w:color w:val="auto"/>
              </w:rPr>
            </w:pPr>
          </w:p>
        </w:tc>
        <w:tc>
          <w:tcPr>
            <w:tcW w:w="380" w:type="dxa"/>
            <w:vAlign w:val="bottom"/>
            <w:shd w:val="clear" w:color="auto" w:fill="F3F3F4"/>
          </w:tcPr>
          <w:p>
            <w:pPr>
              <w:spacing w:after="0"/>
              <w:rPr>
                <w:sz w:val="17"/>
                <w:szCs w:val="17"/>
                <w:color w:val="auto"/>
              </w:rPr>
            </w:pPr>
          </w:p>
        </w:tc>
        <w:tc>
          <w:tcPr>
            <w:tcW w:w="88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7"/>
                <w:szCs w:val="17"/>
                <w:color w:val="auto"/>
              </w:rPr>
            </w:pPr>
          </w:p>
        </w:tc>
        <w:tc>
          <w:tcPr>
            <w:tcW w:w="120" w:type="dxa"/>
            <w:vAlign w:val="bottom"/>
            <w:shd w:val="clear" w:color="auto" w:fill="F3F3F4"/>
          </w:tcPr>
          <w:p>
            <w:pPr>
              <w:spacing w:after="0"/>
              <w:rPr>
                <w:sz w:val="17"/>
                <w:szCs w:val="17"/>
                <w:color w:val="auto"/>
              </w:rPr>
            </w:pPr>
          </w:p>
        </w:tc>
        <w:tc>
          <w:tcPr>
            <w:tcW w:w="140" w:type="dxa"/>
            <w:vAlign w:val="bottom"/>
            <w:shd w:val="clear" w:color="auto" w:fill="F3F3F4"/>
          </w:tcPr>
          <w:p>
            <w:pPr>
              <w:spacing w:after="0"/>
              <w:rPr>
                <w:sz w:val="17"/>
                <w:szCs w:val="17"/>
                <w:color w:val="auto"/>
              </w:rPr>
            </w:pPr>
          </w:p>
        </w:tc>
        <w:tc>
          <w:tcPr>
            <w:tcW w:w="1340" w:type="dxa"/>
            <w:vAlign w:val="bottom"/>
            <w:gridSpan w:val="2"/>
            <w:shd w:val="clear" w:color="auto" w:fill="F3F3F4"/>
          </w:tcPr>
          <w:p>
            <w:pPr>
              <w:jc w:val="right"/>
              <w:ind w:right="240"/>
              <w:spacing w:after="0"/>
              <w:rPr>
                <w:sz w:val="20"/>
                <w:szCs w:val="20"/>
                <w:color w:val="auto"/>
              </w:rPr>
            </w:pPr>
            <w:r>
              <w:rPr>
                <w:rFonts w:ascii="Arial" w:cs="Arial" w:eastAsia="Arial" w:hAnsi="Arial"/>
                <w:sz w:val="13"/>
                <w:szCs w:val="13"/>
                <w:color w:val="auto"/>
              </w:rPr>
              <w:t>28,000</w:t>
            </w:r>
          </w:p>
        </w:tc>
        <w:tc>
          <w:tcPr>
            <w:tcW w:w="260" w:type="dxa"/>
            <w:vAlign w:val="bottom"/>
            <w:shd w:val="clear" w:color="auto" w:fill="F3F3F4"/>
          </w:tcPr>
          <w:p>
            <w:pPr>
              <w:spacing w:after="0"/>
              <w:rPr>
                <w:sz w:val="17"/>
                <w:szCs w:val="17"/>
                <w:color w:val="auto"/>
              </w:rPr>
            </w:pPr>
          </w:p>
        </w:tc>
        <w:tc>
          <w:tcPr>
            <w:tcW w:w="10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60" w:type="dxa"/>
            <w:vAlign w:val="bottom"/>
            <w:shd w:val="clear" w:color="auto" w:fill="F3F3F4"/>
          </w:tcPr>
          <w:p>
            <w:pPr>
              <w:spacing w:after="0"/>
              <w:rPr>
                <w:sz w:val="17"/>
                <w:szCs w:val="17"/>
                <w:color w:val="auto"/>
              </w:rPr>
            </w:pPr>
          </w:p>
        </w:tc>
        <w:tc>
          <w:tcPr>
            <w:tcW w:w="660" w:type="dxa"/>
            <w:vAlign w:val="bottom"/>
            <w:shd w:val="clear" w:color="auto" w:fill="F3F3F4"/>
          </w:tcPr>
          <w:p>
            <w:pPr>
              <w:spacing w:after="0"/>
              <w:rPr>
                <w:sz w:val="17"/>
                <w:szCs w:val="17"/>
                <w:color w:val="auto"/>
              </w:rPr>
            </w:pPr>
          </w:p>
        </w:tc>
        <w:tc>
          <w:tcPr>
            <w:tcW w:w="660" w:type="dxa"/>
            <w:vAlign w:val="bottom"/>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r>
      <w:tr>
        <w:trPr>
          <w:trHeight w:val="20"/>
        </w:trPr>
        <w:tc>
          <w:tcPr>
            <w:tcW w:w="2920" w:type="dxa"/>
            <w:vAlign w:val="bottom"/>
            <w:shd w:val="clear" w:color="auto" w:fill="F3F3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F3F3F4"/>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F3F3F4"/>
          </w:tcPr>
          <w:p>
            <w:pPr>
              <w:spacing w:after="0" w:line="20" w:lineRule="exact"/>
              <w:rPr>
                <w:sz w:val="1"/>
                <w:szCs w:val="1"/>
                <w:color w:val="auto"/>
              </w:rPr>
            </w:pPr>
          </w:p>
        </w:tc>
        <w:tc>
          <w:tcPr>
            <w:tcW w:w="220" w:type="dxa"/>
            <w:vAlign w:val="bottom"/>
            <w:shd w:val="clear" w:color="auto" w:fill="F3F3F4"/>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120" w:type="dxa"/>
            <w:vAlign w:val="bottom"/>
            <w:shd w:val="clear" w:color="auto" w:fill="F3F3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F3F3F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Borders>
              <w:right w:val="single" w:sz="8" w:color="F3F3F4"/>
            </w:tcBorders>
            <w:shd w:val="clear" w:color="auto" w:fill="000000"/>
          </w:tcPr>
          <w:p>
            <w:pPr>
              <w:spacing w:after="0" w:line="20" w:lineRule="exact"/>
              <w:rPr>
                <w:sz w:val="1"/>
                <w:szCs w:val="1"/>
                <w:color w:val="auto"/>
              </w:rPr>
            </w:pPr>
          </w:p>
        </w:tc>
        <w:tc>
          <w:tcPr>
            <w:tcW w:w="160" w:type="dxa"/>
            <w:vAlign w:val="bottom"/>
            <w:shd w:val="clear" w:color="auto" w:fill="F3F3F4"/>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r>
      <w:tr>
        <w:trPr>
          <w:trHeight w:val="254"/>
        </w:trPr>
        <w:tc>
          <w:tcPr>
            <w:tcW w:w="29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Total Benefits</w:t>
            </w:r>
          </w:p>
        </w:tc>
        <w:tc>
          <w:tcPr>
            <w:tcW w:w="12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80,770</w:t>
            </w:r>
          </w:p>
        </w:tc>
        <w:tc>
          <w:tcPr>
            <w:tcW w:w="120" w:type="dxa"/>
            <w:vAlign w:val="bottom"/>
            <w:tcBorders>
              <w:bottom w:val="single" w:sz="8" w:color="F3F3F4"/>
            </w:tcBorders>
            <w:shd w:val="clear" w:color="auto" w:fill="F3F3F4"/>
          </w:tcPr>
          <w:p>
            <w:pPr>
              <w:spacing w:after="0"/>
              <w:rPr>
                <w:sz w:val="21"/>
                <w:szCs w:val="21"/>
                <w:color w:val="auto"/>
              </w:rPr>
            </w:pPr>
          </w:p>
        </w:tc>
        <w:tc>
          <w:tcPr>
            <w:tcW w:w="100" w:type="dxa"/>
            <w:vAlign w:val="bottom"/>
            <w:tcBorders>
              <w:bottom w:val="single" w:sz="8" w:color="F3F3F4"/>
            </w:tcBorders>
            <w:shd w:val="clear" w:color="auto" w:fill="F3F3F4"/>
          </w:tcPr>
          <w:p>
            <w:pPr>
              <w:spacing w:after="0"/>
              <w:rPr>
                <w:sz w:val="21"/>
                <w:szCs w:val="21"/>
                <w:color w:val="auto"/>
              </w:rPr>
            </w:pPr>
          </w:p>
        </w:tc>
        <w:tc>
          <w:tcPr>
            <w:tcW w:w="300" w:type="dxa"/>
            <w:vAlign w:val="bottom"/>
            <w:tcBorders>
              <w:bottom w:val="single" w:sz="8" w:color="F3F3F4"/>
            </w:tcBorders>
            <w:shd w:val="clear" w:color="auto" w:fill="F3F3F4"/>
          </w:tcPr>
          <w:p>
            <w:pPr>
              <w:jc w:val="right"/>
              <w:ind w:right="113"/>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20" w:type="dxa"/>
            <w:vAlign w:val="bottom"/>
            <w:tcBorders>
              <w:bottom w:val="single" w:sz="8" w:color="F3F3F4"/>
            </w:tcBorders>
            <w:shd w:val="clear" w:color="auto" w:fill="F3F3F4"/>
          </w:tcPr>
          <w:p>
            <w:pPr>
              <w:spacing w:after="0"/>
              <w:rPr>
                <w:sz w:val="21"/>
                <w:szCs w:val="21"/>
                <w:color w:val="auto"/>
              </w:rPr>
            </w:pPr>
          </w:p>
        </w:tc>
        <w:tc>
          <w:tcPr>
            <w:tcW w:w="220" w:type="dxa"/>
            <w:vAlign w:val="bottom"/>
            <w:tcBorders>
              <w:bottom w:val="single" w:sz="8" w:color="F3F3F4"/>
            </w:tcBorders>
            <w:shd w:val="clear" w:color="auto" w:fill="F3F3F4"/>
          </w:tcPr>
          <w:p>
            <w:pPr>
              <w:spacing w:after="0"/>
              <w:rPr>
                <w:sz w:val="21"/>
                <w:szCs w:val="21"/>
                <w:color w:val="auto"/>
              </w:rPr>
            </w:pPr>
          </w:p>
        </w:tc>
        <w:tc>
          <w:tcPr>
            <w:tcW w:w="380" w:type="dxa"/>
            <w:vAlign w:val="bottom"/>
            <w:tcBorders>
              <w:bottom w:val="single" w:sz="8" w:color="F3F3F4"/>
            </w:tcBorders>
            <w:shd w:val="clear" w:color="auto" w:fill="F3F3F4"/>
          </w:tcPr>
          <w:p>
            <w:pPr>
              <w:jc w:val="right"/>
              <w:ind w:right="19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F3F3F4"/>
            </w:tcBorders>
            <w:shd w:val="clear" w:color="auto" w:fill="F3F3F4"/>
          </w:tcPr>
          <w:p>
            <w:pPr>
              <w:spacing w:after="0"/>
              <w:rPr>
                <w:sz w:val="21"/>
                <w:szCs w:val="21"/>
                <w:color w:val="auto"/>
              </w:rPr>
            </w:pPr>
          </w:p>
        </w:tc>
        <w:tc>
          <w:tcPr>
            <w:tcW w:w="120" w:type="dxa"/>
            <w:vAlign w:val="bottom"/>
            <w:tcBorders>
              <w:bottom w:val="single" w:sz="8" w:color="F3F3F4"/>
            </w:tcBorders>
            <w:shd w:val="clear" w:color="auto" w:fill="F3F3F4"/>
          </w:tcPr>
          <w:p>
            <w:pPr>
              <w:spacing w:after="0"/>
              <w:rPr>
                <w:sz w:val="21"/>
                <w:szCs w:val="21"/>
                <w:color w:val="auto"/>
              </w:rPr>
            </w:pPr>
          </w:p>
        </w:tc>
        <w:tc>
          <w:tcPr>
            <w:tcW w:w="1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F3F3F4"/>
            </w:tcBorders>
            <w:gridSpan w:val="2"/>
            <w:shd w:val="clear" w:color="auto" w:fill="F3F3F4"/>
          </w:tcPr>
          <w:p>
            <w:pPr>
              <w:jc w:val="right"/>
              <w:ind w:right="240"/>
              <w:spacing w:after="0"/>
              <w:rPr>
                <w:sz w:val="20"/>
                <w:szCs w:val="20"/>
                <w:color w:val="auto"/>
              </w:rPr>
            </w:pPr>
            <w:r>
              <w:rPr>
                <w:rFonts w:ascii="Arial" w:cs="Arial" w:eastAsia="Arial" w:hAnsi="Arial"/>
                <w:sz w:val="13"/>
                <w:szCs w:val="13"/>
                <w:color w:val="auto"/>
              </w:rPr>
              <w:t>35,269</w:t>
            </w:r>
          </w:p>
        </w:tc>
        <w:tc>
          <w:tcPr>
            <w:tcW w:w="260" w:type="dxa"/>
            <w:vAlign w:val="bottom"/>
            <w:tcBorders>
              <w:bottom w:val="single" w:sz="8" w:color="F3F3F4"/>
            </w:tcBorders>
            <w:shd w:val="clear" w:color="auto" w:fill="F3F3F4"/>
          </w:tcPr>
          <w:p>
            <w:pPr>
              <w:jc w:val="right"/>
              <w:ind w:right="9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820" w:type="dxa"/>
            <w:vAlign w:val="bottom"/>
            <w:tcBorders>
              <w:bottom w:val="single" w:sz="8" w:color="F3F3F4"/>
            </w:tcBorders>
            <w:gridSpan w:val="2"/>
            <w:shd w:val="clear" w:color="auto" w:fill="F3F3F4"/>
          </w:tcPr>
          <w:p>
            <w:pPr>
              <w:jc w:val="right"/>
              <w:ind w:right="501"/>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F3F3F4"/>
            </w:tcBorders>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r>
      <w:tr>
        <w:trPr>
          <w:trHeight w:val="301"/>
        </w:trPr>
        <w:tc>
          <w:tcPr>
            <w:tcW w:w="29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Total Incremental Compensation</w:t>
            </w:r>
          </w:p>
        </w:tc>
        <w:tc>
          <w:tcPr>
            <w:tcW w:w="12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8,570,570</w:t>
            </w:r>
          </w:p>
        </w:tc>
        <w:tc>
          <w:tcPr>
            <w:tcW w:w="120" w:type="dxa"/>
            <w:vAlign w:val="bottom"/>
            <w:tcBorders>
              <w:top w:val="single" w:sz="8" w:color="939598"/>
              <w:bottom w:val="single" w:sz="8" w:color="F3F3F4"/>
            </w:tcBorders>
            <w:shd w:val="clear" w:color="auto" w:fill="F3F3F4"/>
          </w:tcPr>
          <w:p>
            <w:pPr>
              <w:spacing w:after="0"/>
              <w:rPr>
                <w:sz w:val="24"/>
                <w:szCs w:val="24"/>
                <w:color w:val="auto"/>
              </w:rPr>
            </w:pPr>
          </w:p>
        </w:tc>
        <w:tc>
          <w:tcPr>
            <w:tcW w:w="100" w:type="dxa"/>
            <w:vAlign w:val="bottom"/>
            <w:tcBorders>
              <w:top w:val="single" w:sz="8" w:color="939598"/>
              <w:bottom w:val="single" w:sz="8" w:color="F3F3F4"/>
            </w:tcBorders>
            <w:shd w:val="clear" w:color="auto" w:fill="F3F3F4"/>
          </w:tcPr>
          <w:p>
            <w:pPr>
              <w:spacing w:after="0"/>
              <w:rPr>
                <w:sz w:val="24"/>
                <w:szCs w:val="24"/>
                <w:color w:val="auto"/>
              </w:rPr>
            </w:pPr>
          </w:p>
        </w:tc>
        <w:tc>
          <w:tcPr>
            <w:tcW w:w="300" w:type="dxa"/>
            <w:vAlign w:val="bottom"/>
            <w:tcBorders>
              <w:top w:val="single" w:sz="8" w:color="939598"/>
              <w:bottom w:val="single" w:sz="8" w:color="F3F3F4"/>
            </w:tcBorders>
            <w:shd w:val="clear" w:color="auto" w:fill="F3F3F4"/>
          </w:tcPr>
          <w:p>
            <w:pPr>
              <w:jc w:val="right"/>
              <w:ind w:right="113"/>
              <w:spacing w:after="0"/>
              <w:rPr>
                <w:sz w:val="20"/>
                <w:szCs w:val="20"/>
                <w:color w:val="auto"/>
              </w:rPr>
            </w:pPr>
            <w:r>
              <w:rPr>
                <w:rFonts w:ascii="Arial" w:cs="Arial" w:eastAsia="Arial" w:hAnsi="Arial"/>
                <w:sz w:val="13"/>
                <w:szCs w:val="13"/>
                <w:color w:val="auto"/>
              </w:rPr>
              <w:t>$</w:t>
            </w:r>
          </w:p>
        </w:tc>
        <w:tc>
          <w:tcPr>
            <w:tcW w:w="50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20" w:type="dxa"/>
            <w:vAlign w:val="bottom"/>
            <w:tcBorders>
              <w:top w:val="single" w:sz="8" w:color="939598"/>
              <w:bottom w:val="single" w:sz="8" w:color="F3F3F4"/>
            </w:tcBorders>
            <w:shd w:val="clear" w:color="auto" w:fill="F3F3F4"/>
          </w:tcPr>
          <w:p>
            <w:pPr>
              <w:spacing w:after="0"/>
              <w:rPr>
                <w:sz w:val="24"/>
                <w:szCs w:val="24"/>
                <w:color w:val="auto"/>
              </w:rPr>
            </w:pPr>
          </w:p>
        </w:tc>
        <w:tc>
          <w:tcPr>
            <w:tcW w:w="220" w:type="dxa"/>
            <w:vAlign w:val="bottom"/>
            <w:tcBorders>
              <w:top w:val="single" w:sz="8" w:color="939598"/>
              <w:bottom w:val="single" w:sz="8" w:color="F3F3F4"/>
            </w:tcBorders>
            <w:shd w:val="clear" w:color="auto" w:fill="F3F3F4"/>
          </w:tcPr>
          <w:p>
            <w:pPr>
              <w:spacing w:after="0"/>
              <w:rPr>
                <w:sz w:val="24"/>
                <w:szCs w:val="24"/>
                <w:color w:val="auto"/>
              </w:rPr>
            </w:pPr>
          </w:p>
        </w:tc>
        <w:tc>
          <w:tcPr>
            <w:tcW w:w="380" w:type="dxa"/>
            <w:vAlign w:val="bottom"/>
            <w:tcBorders>
              <w:top w:val="single" w:sz="8" w:color="939598"/>
              <w:bottom w:val="single" w:sz="8" w:color="F3F3F4"/>
            </w:tcBorders>
            <w:shd w:val="clear" w:color="auto" w:fill="F3F3F4"/>
          </w:tcPr>
          <w:p>
            <w:pPr>
              <w:jc w:val="right"/>
              <w:ind w:right="193"/>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188,750</w:t>
            </w:r>
          </w:p>
        </w:tc>
        <w:tc>
          <w:tcPr>
            <w:tcW w:w="100" w:type="dxa"/>
            <w:vAlign w:val="bottom"/>
            <w:tcBorders>
              <w:top w:val="single" w:sz="8" w:color="939598"/>
              <w:bottom w:val="single" w:sz="8" w:color="F3F3F4"/>
            </w:tcBorders>
            <w:shd w:val="clear" w:color="auto" w:fill="F3F3F4"/>
          </w:tcPr>
          <w:p>
            <w:pPr>
              <w:spacing w:after="0"/>
              <w:rPr>
                <w:sz w:val="24"/>
                <w:szCs w:val="24"/>
                <w:color w:val="auto"/>
              </w:rPr>
            </w:pPr>
          </w:p>
        </w:tc>
        <w:tc>
          <w:tcPr>
            <w:tcW w:w="120" w:type="dxa"/>
            <w:vAlign w:val="bottom"/>
            <w:tcBorders>
              <w:top w:val="single" w:sz="8" w:color="939598"/>
              <w:bottom w:val="single" w:sz="8" w:color="F3F3F4"/>
            </w:tcBorders>
            <w:shd w:val="clear" w:color="auto" w:fill="F3F3F4"/>
          </w:tcPr>
          <w:p>
            <w:pPr>
              <w:spacing w:after="0"/>
              <w:rPr>
                <w:sz w:val="24"/>
                <w:szCs w:val="24"/>
                <w:color w:val="auto"/>
              </w:rPr>
            </w:pPr>
          </w:p>
        </w:tc>
        <w:tc>
          <w:tcPr>
            <w:tcW w:w="14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3,810,269</w:t>
            </w:r>
          </w:p>
        </w:tc>
        <w:tc>
          <w:tcPr>
            <w:tcW w:w="240" w:type="dxa"/>
            <w:vAlign w:val="bottom"/>
            <w:tcBorders>
              <w:top w:val="single" w:sz="8" w:color="939598"/>
              <w:bottom w:val="single" w:sz="8" w:color="F3F3F4"/>
            </w:tcBorders>
            <w:shd w:val="clear" w:color="auto" w:fill="F3F3F4"/>
          </w:tcPr>
          <w:p>
            <w:pPr>
              <w:spacing w:after="0"/>
              <w:rPr>
                <w:sz w:val="24"/>
                <w:szCs w:val="24"/>
                <w:color w:val="auto"/>
              </w:rPr>
            </w:pPr>
          </w:p>
        </w:tc>
        <w:tc>
          <w:tcPr>
            <w:tcW w:w="260" w:type="dxa"/>
            <w:vAlign w:val="bottom"/>
            <w:tcBorders>
              <w:top w:val="single" w:sz="8" w:color="939598"/>
              <w:bottom w:val="single" w:sz="8" w:color="F3F3F4"/>
            </w:tcBorders>
            <w:shd w:val="clear" w:color="auto" w:fill="F3F3F4"/>
          </w:tcPr>
          <w:p>
            <w:pPr>
              <w:jc w:val="right"/>
              <w:ind w:right="93"/>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939598"/>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820" w:type="dxa"/>
            <w:vAlign w:val="bottom"/>
            <w:tcBorders>
              <w:top w:val="single" w:sz="8" w:color="939598"/>
              <w:bottom w:val="single" w:sz="8" w:color="F3F3F4"/>
            </w:tcBorders>
            <w:gridSpan w:val="2"/>
            <w:shd w:val="clear" w:color="auto" w:fill="F3F3F4"/>
          </w:tcPr>
          <w:p>
            <w:pPr>
              <w:jc w:val="right"/>
              <w:ind w:right="501"/>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939598"/>
              <w:bottom w:val="single" w:sz="8" w:color="F3F3F4"/>
            </w:tcBorders>
            <w:gridSpan w:val="2"/>
            <w:shd w:val="clear" w:color="auto" w:fill="F3F3F4"/>
          </w:tcPr>
          <w:p>
            <w:pPr>
              <w:jc w:val="right"/>
              <w:ind w:right="100"/>
              <w:spacing w:after="0"/>
              <w:rPr>
                <w:sz w:val="20"/>
                <w:szCs w:val="20"/>
                <w:color w:val="auto"/>
              </w:rPr>
            </w:pPr>
            <w:r>
              <w:rPr>
                <w:rFonts w:ascii="Arial" w:cs="Arial" w:eastAsia="Arial" w:hAnsi="Arial"/>
                <w:sz w:val="13"/>
                <w:szCs w:val="13"/>
                <w:color w:val="auto"/>
              </w:rPr>
              <w:t>0</w:t>
            </w:r>
          </w:p>
        </w:tc>
      </w:tr>
      <w:tr>
        <w:trPr>
          <w:trHeight w:val="427"/>
        </w:trPr>
        <w:tc>
          <w:tcPr>
            <w:tcW w:w="5320" w:type="dxa"/>
            <w:vAlign w:val="bottom"/>
            <w:tcBorders>
              <w:top w:val="single" w:sz="8" w:color="939598"/>
              <w:bottom w:val="single" w:sz="8" w:color="D1D2D4"/>
            </w:tcBorders>
            <w:gridSpan w:val="8"/>
          </w:tcPr>
          <w:p>
            <w:pPr>
              <w:spacing w:after="0"/>
              <w:rPr>
                <w:sz w:val="24"/>
                <w:szCs w:val="24"/>
                <w:color w:val="auto"/>
              </w:rPr>
            </w:pPr>
          </w:p>
        </w:tc>
        <w:tc>
          <w:tcPr>
            <w:tcW w:w="220" w:type="dxa"/>
            <w:vAlign w:val="bottom"/>
            <w:tcBorders>
              <w:top w:val="single" w:sz="8" w:color="939598"/>
              <w:bottom w:val="single" w:sz="8" w:color="D1D2D4"/>
            </w:tcBorders>
          </w:tcPr>
          <w:p>
            <w:pPr>
              <w:spacing w:after="0"/>
              <w:rPr>
                <w:sz w:val="24"/>
                <w:szCs w:val="24"/>
                <w:color w:val="auto"/>
              </w:rPr>
            </w:pPr>
          </w:p>
        </w:tc>
        <w:tc>
          <w:tcPr>
            <w:tcW w:w="380" w:type="dxa"/>
            <w:vAlign w:val="bottom"/>
            <w:tcBorders>
              <w:top w:val="single" w:sz="8" w:color="939598"/>
              <w:bottom w:val="single" w:sz="8" w:color="D1D2D4"/>
            </w:tcBorders>
          </w:tcPr>
          <w:p>
            <w:pPr>
              <w:spacing w:after="0"/>
              <w:rPr>
                <w:sz w:val="24"/>
                <w:szCs w:val="24"/>
                <w:color w:val="auto"/>
              </w:rPr>
            </w:pPr>
          </w:p>
        </w:tc>
        <w:tc>
          <w:tcPr>
            <w:tcW w:w="880" w:type="dxa"/>
            <w:vAlign w:val="bottom"/>
            <w:tcBorders>
              <w:top w:val="single" w:sz="8" w:color="939598"/>
              <w:bottom w:val="single" w:sz="8" w:color="D1D2D4"/>
            </w:tcBorders>
          </w:tcPr>
          <w:p>
            <w:pPr>
              <w:spacing w:after="0"/>
              <w:rPr>
                <w:sz w:val="24"/>
                <w:szCs w:val="24"/>
                <w:color w:val="auto"/>
              </w:rPr>
            </w:pPr>
          </w:p>
        </w:tc>
        <w:tc>
          <w:tcPr>
            <w:tcW w:w="100" w:type="dxa"/>
            <w:vAlign w:val="bottom"/>
            <w:tcBorders>
              <w:top w:val="single" w:sz="8" w:color="939598"/>
              <w:bottom w:val="single" w:sz="8" w:color="D1D2D4"/>
            </w:tcBorders>
          </w:tcPr>
          <w:p>
            <w:pPr>
              <w:spacing w:after="0"/>
              <w:rPr>
                <w:sz w:val="24"/>
                <w:szCs w:val="24"/>
                <w:color w:val="auto"/>
              </w:rPr>
            </w:pPr>
          </w:p>
        </w:tc>
        <w:tc>
          <w:tcPr>
            <w:tcW w:w="120" w:type="dxa"/>
            <w:vAlign w:val="bottom"/>
            <w:tcBorders>
              <w:top w:val="single" w:sz="8" w:color="939598"/>
              <w:bottom w:val="single" w:sz="8" w:color="D1D2D4"/>
            </w:tcBorders>
          </w:tcPr>
          <w:p>
            <w:pPr>
              <w:spacing w:after="0"/>
              <w:rPr>
                <w:sz w:val="24"/>
                <w:szCs w:val="24"/>
                <w:color w:val="auto"/>
              </w:rPr>
            </w:pPr>
          </w:p>
        </w:tc>
        <w:tc>
          <w:tcPr>
            <w:tcW w:w="140" w:type="dxa"/>
            <w:vAlign w:val="bottom"/>
            <w:tcBorders>
              <w:top w:val="single" w:sz="8" w:color="939598"/>
              <w:bottom w:val="single" w:sz="8" w:color="D1D2D4"/>
            </w:tcBorders>
          </w:tcPr>
          <w:p>
            <w:pPr>
              <w:spacing w:after="0"/>
              <w:rPr>
                <w:sz w:val="24"/>
                <w:szCs w:val="24"/>
                <w:color w:val="auto"/>
              </w:rPr>
            </w:pPr>
          </w:p>
        </w:tc>
        <w:tc>
          <w:tcPr>
            <w:tcW w:w="1100" w:type="dxa"/>
            <w:vAlign w:val="bottom"/>
            <w:tcBorders>
              <w:top w:val="single" w:sz="8" w:color="939598"/>
              <w:bottom w:val="single" w:sz="8" w:color="D1D2D4"/>
            </w:tcBorders>
          </w:tcPr>
          <w:p>
            <w:pPr>
              <w:spacing w:after="0"/>
              <w:rPr>
                <w:sz w:val="24"/>
                <w:szCs w:val="24"/>
                <w:color w:val="auto"/>
              </w:rPr>
            </w:pPr>
          </w:p>
        </w:tc>
        <w:tc>
          <w:tcPr>
            <w:tcW w:w="240" w:type="dxa"/>
            <w:vAlign w:val="bottom"/>
            <w:tcBorders>
              <w:top w:val="single" w:sz="8" w:color="939598"/>
              <w:bottom w:val="single" w:sz="8" w:color="D1D2D4"/>
            </w:tcBorders>
          </w:tcPr>
          <w:p>
            <w:pPr>
              <w:spacing w:after="0"/>
              <w:rPr>
                <w:sz w:val="24"/>
                <w:szCs w:val="24"/>
                <w:color w:val="auto"/>
              </w:rPr>
            </w:pPr>
          </w:p>
        </w:tc>
        <w:tc>
          <w:tcPr>
            <w:tcW w:w="260" w:type="dxa"/>
            <w:vAlign w:val="bottom"/>
            <w:tcBorders>
              <w:top w:val="single" w:sz="8" w:color="939598"/>
              <w:bottom w:val="single" w:sz="8" w:color="D1D2D4"/>
            </w:tcBorders>
          </w:tcPr>
          <w:p>
            <w:pPr>
              <w:spacing w:after="0"/>
              <w:rPr>
                <w:sz w:val="24"/>
                <w:szCs w:val="24"/>
                <w:color w:val="auto"/>
              </w:rPr>
            </w:pPr>
          </w:p>
        </w:tc>
        <w:tc>
          <w:tcPr>
            <w:tcW w:w="1000" w:type="dxa"/>
            <w:vAlign w:val="bottom"/>
            <w:tcBorders>
              <w:top w:val="single" w:sz="8" w:color="939598"/>
              <w:bottom w:val="single" w:sz="8" w:color="D1D2D4"/>
            </w:tcBorders>
          </w:tcPr>
          <w:p>
            <w:pPr>
              <w:spacing w:after="0"/>
              <w:rPr>
                <w:sz w:val="24"/>
                <w:szCs w:val="24"/>
                <w:color w:val="auto"/>
              </w:rPr>
            </w:pPr>
          </w:p>
        </w:tc>
        <w:tc>
          <w:tcPr>
            <w:tcW w:w="820" w:type="dxa"/>
            <w:vAlign w:val="bottom"/>
            <w:tcBorders>
              <w:top w:val="single" w:sz="8" w:color="939598"/>
              <w:bottom w:val="single" w:sz="8" w:color="D1D2D4"/>
            </w:tcBorders>
            <w:gridSpan w:val="2"/>
          </w:tcPr>
          <w:p>
            <w:pPr>
              <w:spacing w:after="0"/>
              <w:rPr>
                <w:sz w:val="24"/>
                <w:szCs w:val="24"/>
                <w:color w:val="auto"/>
              </w:rPr>
            </w:pPr>
          </w:p>
        </w:tc>
        <w:tc>
          <w:tcPr>
            <w:tcW w:w="660" w:type="dxa"/>
            <w:vAlign w:val="bottom"/>
            <w:tcBorders>
              <w:top w:val="single" w:sz="8" w:color="939598"/>
              <w:bottom w:val="single" w:sz="8" w:color="D1D2D4"/>
            </w:tcBorders>
            <w:gridSpan w:val="2"/>
          </w:tcPr>
          <w:p>
            <w:pPr>
              <w:spacing w:after="0"/>
              <w:rPr>
                <w:sz w:val="24"/>
                <w:szCs w:val="24"/>
                <w:color w:val="auto"/>
              </w:rPr>
            </w:pPr>
          </w:p>
        </w:tc>
      </w:tr>
      <w:tr>
        <w:trPr>
          <w:trHeight w:val="290"/>
        </w:trPr>
        <w:tc>
          <w:tcPr>
            <w:tcW w:w="5320" w:type="dxa"/>
            <w:vAlign w:val="bottom"/>
            <w:tcBorders>
              <w:bottom w:val="single" w:sz="8" w:color="auto"/>
            </w:tcBorders>
            <w:gridSpan w:val="8"/>
          </w:tcPr>
          <w:p>
            <w:pPr>
              <w:spacing w:after="0"/>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99"/>
              </w:rPr>
              <w:t>PROPOSAL 2</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41</w:t>
            </w:r>
          </w:p>
        </w:tc>
      </w:tr>
    </w:tbl>
    <w:p>
      <w:pPr>
        <w:sectPr>
          <w:pgSz w:w="11900" w:h="16838" w:orient="portrait"/>
          <w:cols w:equalWidth="0" w:num="1">
            <w:col w:w="11240"/>
          </w:cols>
          <w:pgMar w:left="320" w:top="818"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Christopher L.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1412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1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Termination by</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1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Employee for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Termination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1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Good Reason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by Employee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Termination</w:t>
            </w: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1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or by Employer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Without Good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by Employer</w:t>
            </w:r>
          </w:p>
        </w:tc>
        <w:tc>
          <w:tcPr>
            <w:tcW w:w="0" w:type="dxa"/>
            <w:vAlign w:val="bottom"/>
          </w:tcPr>
          <w:p>
            <w:pPr>
              <w:spacing w:after="0"/>
              <w:rPr>
                <w:sz w:val="1"/>
                <w:szCs w:val="1"/>
                <w:color w:val="auto"/>
              </w:rPr>
            </w:pPr>
          </w:p>
        </w:tc>
      </w:tr>
      <w:tr>
        <w:trPr>
          <w:trHeight w:val="186"/>
        </w:trPr>
        <w:tc>
          <w:tcPr>
            <w:tcW w:w="2920" w:type="dxa"/>
            <w:vAlign w:val="bottom"/>
          </w:tcPr>
          <w:p>
            <w:pPr>
              <w:ind w:left="100"/>
              <w:spacing w:after="0"/>
              <w:rPr>
                <w:sz w:val="20"/>
                <w:szCs w:val="20"/>
                <w:color w:val="auto"/>
              </w:rPr>
            </w:pPr>
            <w:r>
              <w:rPr>
                <w:rFonts w:ascii="Arial" w:cs="Arial" w:eastAsia="Arial" w:hAnsi="Arial"/>
                <w:sz w:val="13"/>
                <w:szCs w:val="13"/>
                <w:b w:val="1"/>
                <w:bCs w:val="1"/>
                <w:color w:val="auto"/>
              </w:rPr>
              <w:t>Pay Element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Change in Control</w:t>
            </w:r>
          </w:p>
        </w:tc>
        <w:tc>
          <w:tcPr>
            <w:tcW w:w="170" w:type="dxa"/>
            <w:vAlign w:val="bottom"/>
          </w:tcPr>
          <w:p>
            <w:pPr>
              <w:spacing w:after="0"/>
              <w:rPr>
                <w:sz w:val="16"/>
                <w:szCs w:val="16"/>
                <w:color w:val="auto"/>
              </w:rPr>
            </w:pPr>
          </w:p>
        </w:tc>
        <w:tc>
          <w:tcPr>
            <w:tcW w:w="85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Death</w:t>
            </w:r>
          </w:p>
        </w:tc>
        <w:tc>
          <w:tcPr>
            <w:tcW w:w="2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Disability</w:t>
            </w:r>
          </w:p>
        </w:tc>
        <w:tc>
          <w:tcPr>
            <w:tcW w:w="14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Without Cause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Reason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for Cause</w:t>
            </w:r>
          </w:p>
        </w:tc>
        <w:tc>
          <w:tcPr>
            <w:tcW w:w="0" w:type="dxa"/>
            <w:vAlign w:val="bottom"/>
          </w:tcPr>
          <w:p>
            <w:pPr>
              <w:spacing w:after="0"/>
              <w:rPr>
                <w:sz w:val="1"/>
                <w:szCs w:val="1"/>
                <w:color w:val="auto"/>
              </w:rPr>
            </w:pPr>
          </w:p>
        </w:tc>
      </w:tr>
      <w:tr>
        <w:trPr>
          <w:trHeight w:val="51"/>
        </w:trPr>
        <w:tc>
          <w:tcPr>
            <w:tcW w:w="2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0" w:type="dxa"/>
            <w:vAlign w:val="bottom"/>
            <w:tcBorders>
              <w:bottom w:val="single" w:sz="8" w:color="auto"/>
            </w:tcBorders>
          </w:tcPr>
          <w:p>
            <w:pPr>
              <w:spacing w:after="0"/>
              <w:rPr>
                <w:sz w:val="4"/>
                <w:szCs w:val="4"/>
                <w:color w:val="auto"/>
              </w:rPr>
            </w:pPr>
          </w:p>
        </w:tc>
        <w:tc>
          <w:tcPr>
            <w:tcW w:w="61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920" w:type="dxa"/>
            <w:vAlign w:val="bottom"/>
            <w:shd w:val="clear" w:color="auto" w:fill="E9EAEB"/>
          </w:tcPr>
          <w:p>
            <w:pPr>
              <w:ind w:left="100"/>
              <w:spacing w:after="0"/>
              <w:rPr>
                <w:sz w:val="20"/>
                <w:szCs w:val="20"/>
                <w:color w:val="auto"/>
              </w:rPr>
            </w:pPr>
            <w:r>
              <w:rPr>
                <w:rFonts w:ascii="Arial" w:cs="Arial" w:eastAsia="Arial" w:hAnsi="Arial"/>
                <w:sz w:val="13"/>
                <w:szCs w:val="13"/>
                <w:b w:val="1"/>
                <w:bCs w:val="1"/>
                <w:color w:val="auto"/>
              </w:rPr>
              <w:t>Cash Compensation:</w:t>
            </w:r>
          </w:p>
        </w:tc>
        <w:tc>
          <w:tcPr>
            <w:tcW w:w="120" w:type="dxa"/>
            <w:vAlign w:val="bottom"/>
            <w:shd w:val="clear" w:color="auto" w:fill="F3F3F4"/>
          </w:tcPr>
          <w:p>
            <w:pPr>
              <w:spacing w:after="0"/>
              <w:rPr>
                <w:sz w:val="21"/>
                <w:szCs w:val="21"/>
                <w:color w:val="auto"/>
              </w:rPr>
            </w:pPr>
          </w:p>
        </w:tc>
        <w:tc>
          <w:tcPr>
            <w:tcW w:w="120" w:type="dxa"/>
            <w:vAlign w:val="bottom"/>
            <w:shd w:val="clear" w:color="auto" w:fill="F3F3F4"/>
          </w:tcPr>
          <w:p>
            <w:pPr>
              <w:spacing w:after="0"/>
              <w:rPr>
                <w:sz w:val="21"/>
                <w:szCs w:val="21"/>
                <w:color w:val="auto"/>
              </w:rPr>
            </w:pPr>
          </w:p>
        </w:tc>
        <w:tc>
          <w:tcPr>
            <w:tcW w:w="1180" w:type="dxa"/>
            <w:vAlign w:val="bottom"/>
            <w:tcBorders>
              <w:right w:val="single" w:sz="8" w:color="F3F3F4"/>
            </w:tcBorders>
            <w:shd w:val="clear" w:color="auto" w:fill="F3F3F4"/>
          </w:tcPr>
          <w:p>
            <w:pPr>
              <w:spacing w:after="0"/>
              <w:rPr>
                <w:sz w:val="21"/>
                <w:szCs w:val="21"/>
                <w:color w:val="auto"/>
              </w:rPr>
            </w:pPr>
          </w:p>
        </w:tc>
        <w:tc>
          <w:tcPr>
            <w:tcW w:w="240" w:type="dxa"/>
            <w:vAlign w:val="bottom"/>
            <w:tcBorders>
              <w:right w:val="single" w:sz="8" w:color="E9EAEB"/>
            </w:tcBorders>
            <w:shd w:val="clear" w:color="auto" w:fill="F3F3F4"/>
          </w:tcPr>
          <w:p>
            <w:pPr>
              <w:spacing w:after="0"/>
              <w:rPr>
                <w:sz w:val="21"/>
                <w:szCs w:val="21"/>
                <w:color w:val="auto"/>
              </w:rPr>
            </w:pPr>
          </w:p>
        </w:tc>
        <w:tc>
          <w:tcPr>
            <w:tcW w:w="170" w:type="dxa"/>
            <w:vAlign w:val="bottom"/>
            <w:shd w:val="clear" w:color="auto" w:fill="E9EAEB"/>
          </w:tcPr>
          <w:p>
            <w:pPr>
              <w:spacing w:after="0"/>
              <w:rPr>
                <w:sz w:val="21"/>
                <w:szCs w:val="21"/>
                <w:color w:val="auto"/>
              </w:rPr>
            </w:pPr>
          </w:p>
        </w:tc>
        <w:tc>
          <w:tcPr>
            <w:tcW w:w="610" w:type="dxa"/>
            <w:vAlign w:val="bottom"/>
            <w:tcBorders>
              <w:right w:val="single" w:sz="8" w:color="E9EAEB"/>
            </w:tcBorders>
            <w:shd w:val="clear" w:color="auto" w:fill="E9EAEB"/>
          </w:tcPr>
          <w:p>
            <w:pPr>
              <w:spacing w:after="0"/>
              <w:rPr>
                <w:sz w:val="21"/>
                <w:szCs w:val="21"/>
                <w:color w:val="auto"/>
              </w:rPr>
            </w:pPr>
          </w:p>
        </w:tc>
        <w:tc>
          <w:tcPr>
            <w:tcW w:w="240" w:type="dxa"/>
            <w:vAlign w:val="bottom"/>
            <w:tcBorders>
              <w:right w:val="single" w:sz="8" w:color="F3F3F4"/>
            </w:tcBorders>
            <w:shd w:val="clear" w:color="auto" w:fill="E9EAEB"/>
          </w:tcPr>
          <w:p>
            <w:pPr>
              <w:spacing w:after="0"/>
              <w:rPr>
                <w:sz w:val="21"/>
                <w:szCs w:val="21"/>
                <w:color w:val="auto"/>
              </w:rPr>
            </w:pPr>
          </w:p>
        </w:tc>
        <w:tc>
          <w:tcPr>
            <w:tcW w:w="220" w:type="dxa"/>
            <w:vAlign w:val="bottom"/>
            <w:shd w:val="clear" w:color="auto" w:fill="F3F3F4"/>
          </w:tcPr>
          <w:p>
            <w:pPr>
              <w:spacing w:after="0"/>
              <w:rPr>
                <w:sz w:val="21"/>
                <w:szCs w:val="21"/>
                <w:color w:val="auto"/>
              </w:rPr>
            </w:pPr>
          </w:p>
        </w:tc>
        <w:tc>
          <w:tcPr>
            <w:tcW w:w="1020" w:type="dxa"/>
            <w:vAlign w:val="bottom"/>
            <w:tcBorders>
              <w:right w:val="single" w:sz="8" w:color="F3F3F4"/>
            </w:tcBorders>
            <w:shd w:val="clear" w:color="auto" w:fill="F3F3F4"/>
          </w:tcPr>
          <w:p>
            <w:pPr>
              <w:spacing w:after="0"/>
              <w:rPr>
                <w:sz w:val="21"/>
                <w:szCs w:val="21"/>
                <w:color w:val="auto"/>
              </w:rPr>
            </w:pPr>
          </w:p>
        </w:tc>
        <w:tc>
          <w:tcPr>
            <w:tcW w:w="220" w:type="dxa"/>
            <w:vAlign w:val="bottom"/>
            <w:tcBorders>
              <w:right w:val="single" w:sz="8" w:color="E9EAEB"/>
            </w:tcBorders>
            <w:shd w:val="clear" w:color="auto" w:fill="F3F3F4"/>
          </w:tcPr>
          <w:p>
            <w:pPr>
              <w:spacing w:after="0"/>
              <w:rPr>
                <w:sz w:val="21"/>
                <w:szCs w:val="21"/>
                <w:color w:val="auto"/>
              </w:rPr>
            </w:pPr>
          </w:p>
        </w:tc>
        <w:tc>
          <w:tcPr>
            <w:tcW w:w="140" w:type="dxa"/>
            <w:vAlign w:val="bottom"/>
            <w:shd w:val="clear" w:color="auto" w:fill="E9EAEB"/>
          </w:tcPr>
          <w:p>
            <w:pPr>
              <w:spacing w:after="0"/>
              <w:rPr>
                <w:sz w:val="21"/>
                <w:szCs w:val="21"/>
                <w:color w:val="auto"/>
              </w:rPr>
            </w:pPr>
          </w:p>
        </w:tc>
        <w:tc>
          <w:tcPr>
            <w:tcW w:w="1100" w:type="dxa"/>
            <w:vAlign w:val="bottom"/>
            <w:tcBorders>
              <w:right w:val="single" w:sz="8" w:color="E9EAEB"/>
            </w:tcBorders>
            <w:shd w:val="clear" w:color="auto" w:fill="E9EAEB"/>
          </w:tcPr>
          <w:p>
            <w:pPr>
              <w:spacing w:after="0"/>
              <w:rPr>
                <w:sz w:val="21"/>
                <w:szCs w:val="21"/>
                <w:color w:val="auto"/>
              </w:rPr>
            </w:pPr>
          </w:p>
        </w:tc>
        <w:tc>
          <w:tcPr>
            <w:tcW w:w="100" w:type="dxa"/>
            <w:vAlign w:val="bottom"/>
            <w:shd w:val="clear" w:color="auto" w:fill="E9EAEB"/>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220" w:type="dxa"/>
            <w:vAlign w:val="bottom"/>
            <w:shd w:val="clear" w:color="auto" w:fill="F3F3F4"/>
          </w:tcPr>
          <w:p>
            <w:pPr>
              <w:spacing w:after="0"/>
              <w:rPr>
                <w:sz w:val="21"/>
                <w:szCs w:val="21"/>
                <w:color w:val="auto"/>
              </w:rPr>
            </w:pPr>
          </w:p>
        </w:tc>
        <w:tc>
          <w:tcPr>
            <w:tcW w:w="1100" w:type="dxa"/>
            <w:vAlign w:val="bottom"/>
            <w:tcBorders>
              <w:right w:val="single" w:sz="8" w:color="F3F3F4"/>
            </w:tcBorders>
            <w:shd w:val="clear" w:color="auto" w:fill="F3F3F4"/>
          </w:tcPr>
          <w:p>
            <w:pPr>
              <w:spacing w:after="0"/>
              <w:rPr>
                <w:sz w:val="21"/>
                <w:szCs w:val="21"/>
                <w:color w:val="auto"/>
              </w:rPr>
            </w:pPr>
          </w:p>
        </w:tc>
        <w:tc>
          <w:tcPr>
            <w:tcW w:w="100" w:type="dxa"/>
            <w:vAlign w:val="bottom"/>
            <w:shd w:val="clear" w:color="auto" w:fill="E9EAEB"/>
          </w:tcPr>
          <w:p>
            <w:pPr>
              <w:spacing w:after="0"/>
              <w:rPr>
                <w:sz w:val="21"/>
                <w:szCs w:val="21"/>
                <w:color w:val="auto"/>
              </w:rPr>
            </w:pPr>
          </w:p>
        </w:tc>
        <w:tc>
          <w:tcPr>
            <w:tcW w:w="100" w:type="dxa"/>
            <w:vAlign w:val="bottom"/>
            <w:shd w:val="clear" w:color="auto" w:fill="E9EAEB"/>
          </w:tcPr>
          <w:p>
            <w:pPr>
              <w:spacing w:after="0"/>
              <w:rPr>
                <w:sz w:val="21"/>
                <w:szCs w:val="21"/>
                <w:color w:val="auto"/>
              </w:rPr>
            </w:pPr>
          </w:p>
        </w:tc>
        <w:tc>
          <w:tcPr>
            <w:tcW w:w="780" w:type="dxa"/>
            <w:vAlign w:val="bottom"/>
            <w:shd w:val="clear" w:color="auto" w:fill="E9EAEB"/>
          </w:tcPr>
          <w:p>
            <w:pPr>
              <w:spacing w:after="0"/>
              <w:rPr>
                <w:sz w:val="21"/>
                <w:szCs w:val="21"/>
                <w:color w:val="auto"/>
              </w:rPr>
            </w:pPr>
          </w:p>
        </w:tc>
        <w:tc>
          <w:tcPr>
            <w:tcW w:w="340" w:type="dxa"/>
            <w:vAlign w:val="bottom"/>
            <w:shd w:val="clear" w:color="auto" w:fill="E9EAEB"/>
          </w:tcPr>
          <w:p>
            <w:pPr>
              <w:spacing w:after="0"/>
              <w:rPr>
                <w:sz w:val="21"/>
                <w:szCs w:val="21"/>
                <w:color w:val="auto"/>
              </w:rPr>
            </w:pPr>
          </w:p>
        </w:tc>
        <w:tc>
          <w:tcPr>
            <w:tcW w:w="100" w:type="dxa"/>
            <w:vAlign w:val="bottom"/>
            <w:shd w:val="clear" w:color="auto" w:fill="E9EAEB"/>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920" w:type="dxa"/>
            <w:vAlign w:val="bottom"/>
            <w:shd w:val="clear" w:color="auto" w:fill="E9EAEB"/>
          </w:tcPr>
          <w:p>
            <w:pPr>
              <w:ind w:left="100"/>
              <w:spacing w:after="0"/>
              <w:rPr>
                <w:sz w:val="20"/>
                <w:szCs w:val="20"/>
                <w:color w:val="auto"/>
              </w:rPr>
            </w:pPr>
            <w:r>
              <w:rPr>
                <w:rFonts w:ascii="Arial" w:cs="Arial" w:eastAsia="Arial" w:hAnsi="Arial"/>
                <w:sz w:val="13"/>
                <w:szCs w:val="13"/>
                <w:color w:val="auto"/>
              </w:rPr>
              <w:t>Base salary</w:t>
            </w:r>
          </w:p>
        </w:tc>
        <w:tc>
          <w:tcPr>
            <w:tcW w:w="120" w:type="dxa"/>
            <w:vAlign w:val="bottom"/>
            <w:shd w:val="clear" w:color="auto" w:fill="F3F3F4"/>
          </w:tcPr>
          <w:p>
            <w:pPr>
              <w:spacing w:after="0"/>
              <w:rPr>
                <w:sz w:val="19"/>
                <w:szCs w:val="19"/>
                <w:color w:val="auto"/>
              </w:rPr>
            </w:pPr>
          </w:p>
        </w:tc>
        <w:tc>
          <w:tcPr>
            <w:tcW w:w="120" w:type="dxa"/>
            <w:vAlign w:val="bottom"/>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right w:val="single" w:sz="8" w:color="E9EAEB"/>
            </w:tcBorders>
            <w:gridSpan w:val="2"/>
            <w:shd w:val="clear" w:color="auto" w:fill="F3F3F4"/>
          </w:tcPr>
          <w:p>
            <w:pPr>
              <w:jc w:val="right"/>
              <w:ind w:right="240"/>
              <w:spacing w:after="0"/>
              <w:rPr>
                <w:sz w:val="20"/>
                <w:szCs w:val="20"/>
                <w:color w:val="auto"/>
              </w:rPr>
            </w:pPr>
            <w:r>
              <w:rPr>
                <w:rFonts w:ascii="Arial" w:cs="Arial" w:eastAsia="Arial" w:hAnsi="Arial"/>
                <w:sz w:val="13"/>
                <w:szCs w:val="13"/>
                <w:color w:val="auto"/>
              </w:rPr>
              <w:t>0</w:t>
            </w:r>
          </w:p>
        </w:tc>
        <w:tc>
          <w:tcPr>
            <w:tcW w:w="170" w:type="dxa"/>
            <w:vAlign w:val="bottom"/>
            <w:shd w:val="clear" w:color="auto" w:fill="E9EAEB"/>
          </w:tcPr>
          <w:p>
            <w:pPr>
              <w:jc w:val="right"/>
              <w:ind w:right="12"/>
              <w:spacing w:after="0"/>
              <w:rPr>
                <w:sz w:val="20"/>
                <w:szCs w:val="20"/>
                <w:color w:val="auto"/>
              </w:rPr>
            </w:pPr>
            <w:r>
              <w:rPr>
                <w:rFonts w:ascii="Arial" w:cs="Arial" w:eastAsia="Arial" w:hAnsi="Arial"/>
                <w:sz w:val="13"/>
                <w:szCs w:val="13"/>
                <w:color w:val="auto"/>
              </w:rPr>
              <w:t>$</w:t>
            </w:r>
          </w:p>
        </w:tc>
        <w:tc>
          <w:tcPr>
            <w:tcW w:w="850" w:type="dxa"/>
            <w:vAlign w:val="bottom"/>
            <w:tcBorders>
              <w:right w:val="single" w:sz="8" w:color="F3F3F4"/>
            </w:tcBorders>
            <w:gridSpan w:val="2"/>
            <w:shd w:val="clear" w:color="auto" w:fill="E9EAEB"/>
          </w:tcPr>
          <w:p>
            <w:pPr>
              <w:jc w:val="right"/>
              <w:ind w:right="240"/>
              <w:spacing w:after="0"/>
              <w:rPr>
                <w:sz w:val="20"/>
                <w:szCs w:val="20"/>
                <w:color w:val="auto"/>
              </w:rPr>
            </w:pPr>
            <w:r>
              <w:rPr>
                <w:rFonts w:ascii="Arial" w:cs="Arial" w:eastAsia="Arial" w:hAnsi="Arial"/>
                <w:sz w:val="13"/>
                <w:szCs w:val="13"/>
                <w:color w:val="auto"/>
              </w:rPr>
              <w:t>0</w:t>
            </w:r>
          </w:p>
        </w:tc>
        <w:tc>
          <w:tcPr>
            <w:tcW w:w="220" w:type="dxa"/>
            <w:vAlign w:val="bottom"/>
            <w:shd w:val="clear" w:color="auto" w:fill="F3F3F4"/>
          </w:tcPr>
          <w:p>
            <w:pPr>
              <w:jc w:val="right"/>
              <w:ind w:right="62"/>
              <w:spacing w:after="0"/>
              <w:rPr>
                <w:sz w:val="20"/>
                <w:szCs w:val="20"/>
                <w:color w:val="auto"/>
              </w:rPr>
            </w:pPr>
            <w:r>
              <w:rPr>
                <w:rFonts w:ascii="Arial" w:cs="Arial" w:eastAsia="Arial" w:hAnsi="Arial"/>
                <w:sz w:val="13"/>
                <w:szCs w:val="13"/>
                <w:color w:val="auto"/>
              </w:rPr>
              <w:t>$</w:t>
            </w:r>
          </w:p>
        </w:tc>
        <w:tc>
          <w:tcPr>
            <w:tcW w:w="1240" w:type="dxa"/>
            <w:vAlign w:val="bottom"/>
            <w:tcBorders>
              <w:right w:val="single" w:sz="8" w:color="E9EAEB"/>
            </w:tcBorders>
            <w:gridSpan w:val="2"/>
            <w:shd w:val="clear" w:color="auto" w:fill="F3F3F4"/>
          </w:tcPr>
          <w:p>
            <w:pPr>
              <w:jc w:val="right"/>
              <w:ind w:right="220"/>
              <w:spacing w:after="0" w:line="228" w:lineRule="exact"/>
              <w:rPr>
                <w:sz w:val="20"/>
                <w:szCs w:val="20"/>
                <w:color w:val="auto"/>
              </w:rPr>
            </w:pPr>
            <w:r>
              <w:rPr>
                <w:rFonts w:ascii="Arial" w:cs="Arial" w:eastAsia="Arial" w:hAnsi="Arial"/>
                <w:sz w:val="13"/>
                <w:szCs w:val="13"/>
                <w:color w:val="auto"/>
              </w:rPr>
              <w:t>149,625</w:t>
            </w:r>
            <w:r>
              <w:rPr>
                <w:rFonts w:ascii="Arial" w:cs="Arial" w:eastAsia="Arial" w:hAnsi="Arial"/>
                <w:sz w:val="22"/>
                <w:szCs w:val="22"/>
                <w:color w:val="auto"/>
                <w:vertAlign w:val="superscript"/>
              </w:rPr>
              <w:t>1</w:t>
            </w:r>
          </w:p>
        </w:tc>
        <w:tc>
          <w:tcPr>
            <w:tcW w:w="140" w:type="dxa"/>
            <w:vAlign w:val="bottom"/>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E9EAEB"/>
          </w:tcPr>
          <w:p>
            <w:pPr>
              <w:jc w:val="right"/>
              <w:ind w:right="100"/>
              <w:spacing w:after="0" w:line="228" w:lineRule="exact"/>
              <w:rPr>
                <w:sz w:val="20"/>
                <w:szCs w:val="20"/>
                <w:color w:val="auto"/>
              </w:rPr>
            </w:pPr>
            <w:r>
              <w:rPr>
                <w:rFonts w:ascii="Arial" w:cs="Arial" w:eastAsia="Arial" w:hAnsi="Arial"/>
                <w:sz w:val="13"/>
                <w:szCs w:val="13"/>
                <w:color w:val="auto"/>
              </w:rPr>
              <w:t>1,197,000</w:t>
            </w:r>
            <w:r>
              <w:rPr>
                <w:rFonts w:ascii="Arial" w:cs="Arial" w:eastAsia="Arial" w:hAnsi="Arial"/>
                <w:sz w:val="22"/>
                <w:szCs w:val="22"/>
                <w:color w:val="auto"/>
                <w:vertAlign w:val="superscript"/>
              </w:rPr>
              <w:t>2</w:t>
            </w:r>
          </w:p>
        </w:tc>
        <w:tc>
          <w:tcPr>
            <w:tcW w:w="100" w:type="dxa"/>
            <w:vAlign w:val="bottom"/>
            <w:shd w:val="clear" w:color="auto" w:fill="F3F3F4"/>
          </w:tcPr>
          <w:p>
            <w:pPr>
              <w:spacing w:after="0"/>
              <w:rPr>
                <w:sz w:val="19"/>
                <w:szCs w:val="19"/>
                <w:color w:val="auto"/>
              </w:rPr>
            </w:pPr>
          </w:p>
        </w:tc>
        <w:tc>
          <w:tcPr>
            <w:tcW w:w="220" w:type="dxa"/>
            <w:vAlign w:val="bottom"/>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E9EAEB"/>
          </w:tcPr>
          <w:p>
            <w:pPr>
              <w:spacing w:after="0"/>
              <w:rPr>
                <w:sz w:val="19"/>
                <w:szCs w:val="19"/>
                <w:color w:val="auto"/>
              </w:rPr>
            </w:pPr>
          </w:p>
        </w:tc>
        <w:tc>
          <w:tcPr>
            <w:tcW w:w="100" w:type="dxa"/>
            <w:vAlign w:val="bottom"/>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9EAEB"/>
          </w:tcPr>
          <w:p>
            <w:pPr>
              <w:spacing w:after="0"/>
              <w:rPr>
                <w:sz w:val="19"/>
                <w:szCs w:val="19"/>
                <w:color w:val="auto"/>
              </w:rPr>
            </w:pPr>
          </w:p>
        </w:tc>
        <w:tc>
          <w:tcPr>
            <w:tcW w:w="340" w:type="dxa"/>
            <w:vAlign w:val="bottom"/>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E9EAEB"/>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20" w:type="dxa"/>
            <w:vAlign w:val="bottom"/>
            <w:shd w:val="clear" w:color="auto" w:fill="E9EAEB"/>
          </w:tcPr>
          <w:p>
            <w:pPr>
              <w:ind w:left="100"/>
              <w:spacing w:after="0"/>
              <w:rPr>
                <w:sz w:val="20"/>
                <w:szCs w:val="20"/>
                <w:color w:val="auto"/>
              </w:rPr>
            </w:pPr>
            <w:r>
              <w:rPr>
                <w:rFonts w:ascii="Arial" w:cs="Arial" w:eastAsia="Arial" w:hAnsi="Arial"/>
                <w:sz w:val="13"/>
                <w:szCs w:val="13"/>
                <w:color w:val="auto"/>
              </w:rPr>
              <w:t>Cash incentive</w:t>
            </w:r>
          </w:p>
        </w:tc>
        <w:tc>
          <w:tcPr>
            <w:tcW w:w="120" w:type="dxa"/>
            <w:vAlign w:val="bottom"/>
            <w:shd w:val="clear" w:color="auto" w:fill="F3F3F4"/>
          </w:tcPr>
          <w:p>
            <w:pPr>
              <w:spacing w:after="0"/>
              <w:rPr>
                <w:sz w:val="19"/>
                <w:szCs w:val="19"/>
                <w:color w:val="auto"/>
              </w:rPr>
            </w:pPr>
          </w:p>
        </w:tc>
        <w:tc>
          <w:tcPr>
            <w:tcW w:w="120" w:type="dxa"/>
            <w:vAlign w:val="bottom"/>
            <w:shd w:val="clear" w:color="auto" w:fill="F3F3F4"/>
          </w:tcPr>
          <w:p>
            <w:pPr>
              <w:spacing w:after="0"/>
              <w:rPr>
                <w:sz w:val="19"/>
                <w:szCs w:val="19"/>
                <w:color w:val="auto"/>
              </w:rPr>
            </w:pPr>
          </w:p>
        </w:tc>
        <w:tc>
          <w:tcPr>
            <w:tcW w:w="1180" w:type="dxa"/>
            <w:vAlign w:val="bottom"/>
            <w:tcBorders>
              <w:right w:val="single" w:sz="8" w:color="F3F3F4"/>
            </w:tcBorders>
            <w:shd w:val="clear" w:color="auto" w:fill="F3F3F4"/>
          </w:tcPr>
          <w:p>
            <w:pPr>
              <w:jc w:val="right"/>
              <w:spacing w:after="0" w:line="227" w:lineRule="exact"/>
              <w:rPr>
                <w:sz w:val="20"/>
                <w:szCs w:val="20"/>
                <w:color w:val="auto"/>
              </w:rPr>
            </w:pPr>
            <w:r>
              <w:rPr>
                <w:rFonts w:ascii="Arial" w:cs="Arial" w:eastAsia="Arial" w:hAnsi="Arial"/>
                <w:sz w:val="13"/>
                <w:szCs w:val="13"/>
                <w:color w:val="auto"/>
              </w:rPr>
              <w:t>389,000</w:t>
            </w:r>
            <w:r>
              <w:rPr>
                <w:rFonts w:ascii="Arial" w:cs="Arial" w:eastAsia="Arial" w:hAnsi="Arial"/>
                <w:sz w:val="22"/>
                <w:szCs w:val="22"/>
                <w:color w:val="auto"/>
                <w:vertAlign w:val="superscript"/>
              </w:rPr>
              <w:t>3</w:t>
            </w:r>
          </w:p>
        </w:tc>
        <w:tc>
          <w:tcPr>
            <w:tcW w:w="240" w:type="dxa"/>
            <w:vAlign w:val="bottom"/>
            <w:tcBorders>
              <w:right w:val="single" w:sz="8" w:color="E9EAEB"/>
            </w:tcBorders>
            <w:shd w:val="clear" w:color="auto" w:fill="F3F3F4"/>
          </w:tcPr>
          <w:p>
            <w:pPr>
              <w:spacing w:after="0"/>
              <w:rPr>
                <w:sz w:val="19"/>
                <w:szCs w:val="19"/>
                <w:color w:val="auto"/>
              </w:rPr>
            </w:pPr>
          </w:p>
        </w:tc>
        <w:tc>
          <w:tcPr>
            <w:tcW w:w="170" w:type="dxa"/>
            <w:vAlign w:val="bottom"/>
            <w:shd w:val="clear" w:color="auto" w:fill="E9EAEB"/>
          </w:tcPr>
          <w:p>
            <w:pPr>
              <w:spacing w:after="0"/>
              <w:rPr>
                <w:sz w:val="19"/>
                <w:szCs w:val="19"/>
                <w:color w:val="auto"/>
              </w:rPr>
            </w:pPr>
          </w:p>
        </w:tc>
        <w:tc>
          <w:tcPr>
            <w:tcW w:w="610" w:type="dxa"/>
            <w:vAlign w:val="bottom"/>
            <w:tcBorders>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E9EAEB"/>
          </w:tcPr>
          <w:p>
            <w:pPr>
              <w:spacing w:after="0"/>
              <w:rPr>
                <w:sz w:val="19"/>
                <w:szCs w:val="19"/>
                <w:color w:val="auto"/>
              </w:rPr>
            </w:pPr>
          </w:p>
        </w:tc>
        <w:tc>
          <w:tcPr>
            <w:tcW w:w="220" w:type="dxa"/>
            <w:vAlign w:val="bottom"/>
            <w:shd w:val="clear" w:color="auto" w:fill="F3F3F4"/>
          </w:tcPr>
          <w:p>
            <w:pPr>
              <w:spacing w:after="0"/>
              <w:rPr>
                <w:sz w:val="19"/>
                <w:szCs w:val="19"/>
                <w:color w:val="auto"/>
              </w:rPr>
            </w:pPr>
          </w:p>
        </w:tc>
        <w:tc>
          <w:tcPr>
            <w:tcW w:w="102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right w:val="single" w:sz="8" w:color="E9EAEB"/>
            </w:tcBorders>
            <w:shd w:val="clear" w:color="auto" w:fill="F3F3F4"/>
          </w:tcPr>
          <w:p>
            <w:pPr>
              <w:spacing w:after="0"/>
              <w:rPr>
                <w:sz w:val="19"/>
                <w:szCs w:val="19"/>
                <w:color w:val="auto"/>
              </w:rPr>
            </w:pPr>
          </w:p>
        </w:tc>
        <w:tc>
          <w:tcPr>
            <w:tcW w:w="140" w:type="dxa"/>
            <w:vAlign w:val="bottom"/>
            <w:shd w:val="clear" w:color="auto" w:fill="E9EAEB"/>
          </w:tcPr>
          <w:p>
            <w:pPr>
              <w:spacing w:after="0"/>
              <w:rPr>
                <w:sz w:val="19"/>
                <w:szCs w:val="19"/>
                <w:color w:val="auto"/>
              </w:rPr>
            </w:pPr>
          </w:p>
        </w:tc>
        <w:tc>
          <w:tcPr>
            <w:tcW w:w="1100" w:type="dxa"/>
            <w:vAlign w:val="bottom"/>
            <w:tcBorders>
              <w:right w:val="single" w:sz="8" w:color="E9EAEB"/>
            </w:tcBorders>
            <w:shd w:val="clear" w:color="auto" w:fill="E9EAEB"/>
          </w:tcPr>
          <w:p>
            <w:pPr>
              <w:jc w:val="right"/>
              <w:spacing w:after="0" w:line="227" w:lineRule="exact"/>
              <w:rPr>
                <w:sz w:val="20"/>
                <w:szCs w:val="20"/>
                <w:color w:val="auto"/>
              </w:rPr>
            </w:pPr>
            <w:r>
              <w:rPr>
                <w:rFonts w:ascii="Arial" w:cs="Arial" w:eastAsia="Arial" w:hAnsi="Arial"/>
                <w:sz w:val="13"/>
                <w:szCs w:val="13"/>
                <w:color w:val="auto"/>
              </w:rPr>
              <w:t>1,167,000</w:t>
            </w:r>
            <w:r>
              <w:rPr>
                <w:rFonts w:ascii="Arial" w:cs="Arial" w:eastAsia="Arial" w:hAnsi="Arial"/>
                <w:sz w:val="22"/>
                <w:szCs w:val="22"/>
                <w:color w:val="auto"/>
                <w:vertAlign w:val="superscript"/>
              </w:rPr>
              <w:t>4</w:t>
            </w:r>
          </w:p>
        </w:tc>
        <w:tc>
          <w:tcPr>
            <w:tcW w:w="100" w:type="dxa"/>
            <w:vAlign w:val="bottom"/>
            <w:shd w:val="clear" w:color="auto" w:fill="E9EAEB"/>
          </w:tcPr>
          <w:p>
            <w:pPr>
              <w:spacing w:after="0"/>
              <w:rPr>
                <w:sz w:val="19"/>
                <w:szCs w:val="19"/>
                <w:color w:val="auto"/>
              </w:rPr>
            </w:pPr>
          </w:p>
        </w:tc>
        <w:tc>
          <w:tcPr>
            <w:tcW w:w="100" w:type="dxa"/>
            <w:vAlign w:val="bottom"/>
            <w:shd w:val="clear" w:color="auto" w:fill="F3F3F4"/>
          </w:tcPr>
          <w:p>
            <w:pPr>
              <w:spacing w:after="0"/>
              <w:rPr>
                <w:sz w:val="19"/>
                <w:szCs w:val="19"/>
                <w:color w:val="auto"/>
              </w:rPr>
            </w:pPr>
          </w:p>
        </w:tc>
        <w:tc>
          <w:tcPr>
            <w:tcW w:w="220" w:type="dxa"/>
            <w:vAlign w:val="bottom"/>
            <w:shd w:val="clear" w:color="auto" w:fill="F3F3F4"/>
          </w:tcPr>
          <w:p>
            <w:pPr>
              <w:spacing w:after="0"/>
              <w:rPr>
                <w:sz w:val="19"/>
                <w:szCs w:val="19"/>
                <w:color w:val="auto"/>
              </w:rPr>
            </w:pPr>
          </w:p>
        </w:tc>
        <w:tc>
          <w:tcPr>
            <w:tcW w:w="1100" w:type="dxa"/>
            <w:vAlign w:val="bottom"/>
            <w:tcBorders>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E9EAEB"/>
          </w:tcPr>
          <w:p>
            <w:pPr>
              <w:spacing w:after="0"/>
              <w:rPr>
                <w:sz w:val="19"/>
                <w:szCs w:val="19"/>
                <w:color w:val="auto"/>
              </w:rPr>
            </w:pPr>
          </w:p>
        </w:tc>
        <w:tc>
          <w:tcPr>
            <w:tcW w:w="100" w:type="dxa"/>
            <w:vAlign w:val="bottom"/>
            <w:shd w:val="clear" w:color="auto" w:fill="E9EAEB"/>
          </w:tcPr>
          <w:p>
            <w:pPr>
              <w:spacing w:after="0"/>
              <w:rPr>
                <w:sz w:val="19"/>
                <w:szCs w:val="19"/>
                <w:color w:val="auto"/>
              </w:rPr>
            </w:pPr>
          </w:p>
        </w:tc>
        <w:tc>
          <w:tcPr>
            <w:tcW w:w="780" w:type="dxa"/>
            <w:vAlign w:val="bottom"/>
            <w:shd w:val="clear" w:color="auto" w:fill="E9EAEB"/>
          </w:tcPr>
          <w:p>
            <w:pPr>
              <w:spacing w:after="0"/>
              <w:rPr>
                <w:sz w:val="19"/>
                <w:szCs w:val="19"/>
                <w:color w:val="auto"/>
              </w:rPr>
            </w:pPr>
          </w:p>
        </w:tc>
        <w:tc>
          <w:tcPr>
            <w:tcW w:w="340" w:type="dxa"/>
            <w:vAlign w:val="bottom"/>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E9EAEB"/>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20" w:type="dxa"/>
            <w:vAlign w:val="bottom"/>
            <w:tcBorders>
              <w:bottom w:val="single" w:sz="8" w:color="E9EAEB"/>
            </w:tcBorders>
            <w:shd w:val="clear" w:color="auto" w:fill="E9EAEB"/>
          </w:tcPr>
          <w:p>
            <w:pPr>
              <w:ind w:left="100"/>
              <w:spacing w:after="0"/>
              <w:rPr>
                <w:sz w:val="20"/>
                <w:szCs w:val="20"/>
                <w:color w:val="auto"/>
              </w:rPr>
            </w:pPr>
            <w:r>
              <w:rPr>
                <w:rFonts w:ascii="Arial" w:cs="Arial" w:eastAsia="Arial" w:hAnsi="Arial"/>
                <w:sz w:val="13"/>
                <w:szCs w:val="13"/>
                <w:color w:val="auto"/>
              </w:rPr>
              <w:t>Severance payment</w:t>
            </w:r>
          </w:p>
        </w:tc>
        <w:tc>
          <w:tcPr>
            <w:tcW w:w="120" w:type="dxa"/>
            <w:vAlign w:val="bottom"/>
            <w:tcBorders>
              <w:bottom w:val="single" w:sz="8" w:color="F3F3F4"/>
            </w:tcBorders>
            <w:shd w:val="clear" w:color="auto" w:fill="F3F3F4"/>
          </w:tcPr>
          <w:p>
            <w:pPr>
              <w:spacing w:after="0"/>
              <w:rPr>
                <w:sz w:val="19"/>
                <w:szCs w:val="19"/>
                <w:color w:val="auto"/>
              </w:rPr>
            </w:pPr>
          </w:p>
        </w:tc>
        <w:tc>
          <w:tcPr>
            <w:tcW w:w="120" w:type="dxa"/>
            <w:vAlign w:val="bottom"/>
            <w:tcBorders>
              <w:bottom w:val="single" w:sz="8" w:color="auto"/>
            </w:tcBorders>
            <w:shd w:val="clear" w:color="auto" w:fill="F3F3F4"/>
          </w:tcPr>
          <w:p>
            <w:pPr>
              <w:spacing w:after="0"/>
              <w:rPr>
                <w:sz w:val="19"/>
                <w:szCs w:val="19"/>
                <w:color w:val="auto"/>
              </w:rPr>
            </w:pPr>
          </w:p>
        </w:tc>
        <w:tc>
          <w:tcPr>
            <w:tcW w:w="1180" w:type="dxa"/>
            <w:vAlign w:val="bottom"/>
            <w:tcBorders>
              <w:bottom w:val="single" w:sz="8" w:color="auto"/>
              <w:right w:val="single" w:sz="8" w:color="F3F3F4"/>
            </w:tcBorders>
            <w:shd w:val="clear" w:color="auto" w:fill="F3F3F4"/>
          </w:tcPr>
          <w:p>
            <w:pPr>
              <w:jc w:val="right"/>
              <w:spacing w:after="0" w:line="227" w:lineRule="exact"/>
              <w:rPr>
                <w:sz w:val="20"/>
                <w:szCs w:val="20"/>
                <w:color w:val="auto"/>
              </w:rPr>
            </w:pPr>
            <w:r>
              <w:rPr>
                <w:rFonts w:ascii="Arial" w:cs="Arial" w:eastAsia="Arial" w:hAnsi="Arial"/>
                <w:sz w:val="13"/>
                <w:szCs w:val="13"/>
                <w:color w:val="auto"/>
              </w:rPr>
              <w:t>1,975,000</w:t>
            </w:r>
            <w:r>
              <w:rPr>
                <w:rFonts w:ascii="Arial" w:cs="Arial" w:eastAsia="Arial" w:hAnsi="Arial"/>
                <w:sz w:val="22"/>
                <w:szCs w:val="22"/>
                <w:color w:val="auto"/>
                <w:vertAlign w:val="superscript"/>
              </w:rPr>
              <w:t>5</w:t>
            </w:r>
          </w:p>
        </w:tc>
        <w:tc>
          <w:tcPr>
            <w:tcW w:w="240" w:type="dxa"/>
            <w:vAlign w:val="bottom"/>
            <w:tcBorders>
              <w:bottom w:val="single" w:sz="8" w:color="F3F3F4"/>
              <w:right w:val="single" w:sz="8" w:color="E9EAEB"/>
            </w:tcBorders>
            <w:shd w:val="clear" w:color="auto" w:fill="F3F3F4"/>
          </w:tcPr>
          <w:p>
            <w:pPr>
              <w:spacing w:after="0"/>
              <w:rPr>
                <w:sz w:val="19"/>
                <w:szCs w:val="19"/>
                <w:color w:val="auto"/>
              </w:rPr>
            </w:pPr>
          </w:p>
        </w:tc>
        <w:tc>
          <w:tcPr>
            <w:tcW w:w="170" w:type="dxa"/>
            <w:vAlign w:val="bottom"/>
            <w:tcBorders>
              <w:bottom w:val="single" w:sz="8" w:color="auto"/>
            </w:tcBorders>
            <w:shd w:val="clear" w:color="auto" w:fill="E9EAEB"/>
          </w:tcPr>
          <w:p>
            <w:pPr>
              <w:spacing w:after="0"/>
              <w:rPr>
                <w:sz w:val="19"/>
                <w:szCs w:val="19"/>
                <w:color w:val="auto"/>
              </w:rPr>
            </w:pPr>
          </w:p>
        </w:tc>
        <w:tc>
          <w:tcPr>
            <w:tcW w:w="610" w:type="dxa"/>
            <w:vAlign w:val="bottom"/>
            <w:tcBorders>
              <w:bottom w:val="single" w:sz="8" w:color="auto"/>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bottom w:val="single" w:sz="8" w:color="E9EAEB"/>
              <w:right w:val="single" w:sz="8" w:color="F3F3F4"/>
            </w:tcBorders>
            <w:shd w:val="clear" w:color="auto" w:fill="E9EAEB"/>
          </w:tcPr>
          <w:p>
            <w:pPr>
              <w:spacing w:after="0"/>
              <w:rPr>
                <w:sz w:val="19"/>
                <w:szCs w:val="19"/>
                <w:color w:val="auto"/>
              </w:rPr>
            </w:pPr>
          </w:p>
        </w:tc>
        <w:tc>
          <w:tcPr>
            <w:tcW w:w="220" w:type="dxa"/>
            <w:vAlign w:val="bottom"/>
            <w:tcBorders>
              <w:bottom w:val="single" w:sz="8" w:color="auto"/>
            </w:tcBorders>
            <w:shd w:val="clear" w:color="auto" w:fill="F3F3F4"/>
          </w:tcPr>
          <w:p>
            <w:pPr>
              <w:spacing w:after="0"/>
              <w:rPr>
                <w:sz w:val="19"/>
                <w:szCs w:val="19"/>
                <w:color w:val="auto"/>
              </w:rPr>
            </w:pPr>
          </w:p>
        </w:tc>
        <w:tc>
          <w:tcPr>
            <w:tcW w:w="1020" w:type="dxa"/>
            <w:vAlign w:val="bottom"/>
            <w:tcBorders>
              <w:bottom w:val="single" w:sz="8" w:color="auto"/>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bottom w:val="single" w:sz="8" w:color="F3F3F4"/>
              <w:right w:val="single" w:sz="8" w:color="E9EAEB"/>
            </w:tcBorders>
            <w:shd w:val="clear" w:color="auto" w:fill="F3F3F4"/>
          </w:tcPr>
          <w:p>
            <w:pPr>
              <w:spacing w:after="0"/>
              <w:rPr>
                <w:sz w:val="19"/>
                <w:szCs w:val="19"/>
                <w:color w:val="auto"/>
              </w:rPr>
            </w:pPr>
          </w:p>
        </w:tc>
        <w:tc>
          <w:tcPr>
            <w:tcW w:w="140" w:type="dxa"/>
            <w:vAlign w:val="bottom"/>
            <w:tcBorders>
              <w:bottom w:val="single" w:sz="8" w:color="auto"/>
            </w:tcBorders>
            <w:shd w:val="clear" w:color="auto" w:fill="E9EAEB"/>
          </w:tcPr>
          <w:p>
            <w:pPr>
              <w:spacing w:after="0"/>
              <w:rPr>
                <w:sz w:val="19"/>
                <w:szCs w:val="19"/>
                <w:color w:val="auto"/>
              </w:rPr>
            </w:pPr>
          </w:p>
        </w:tc>
        <w:tc>
          <w:tcPr>
            <w:tcW w:w="1100" w:type="dxa"/>
            <w:vAlign w:val="bottom"/>
            <w:tcBorders>
              <w:bottom w:val="single" w:sz="8" w:color="auto"/>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19"/>
                <w:szCs w:val="19"/>
                <w:color w:val="auto"/>
              </w:rPr>
            </w:pPr>
          </w:p>
        </w:tc>
        <w:tc>
          <w:tcPr>
            <w:tcW w:w="100" w:type="dxa"/>
            <w:vAlign w:val="bottom"/>
            <w:tcBorders>
              <w:bottom w:val="single" w:sz="8" w:color="F3F3F4"/>
            </w:tcBorders>
            <w:shd w:val="clear" w:color="auto" w:fill="F3F3F4"/>
          </w:tcPr>
          <w:p>
            <w:pPr>
              <w:spacing w:after="0"/>
              <w:rPr>
                <w:sz w:val="19"/>
                <w:szCs w:val="19"/>
                <w:color w:val="auto"/>
              </w:rPr>
            </w:pPr>
          </w:p>
        </w:tc>
        <w:tc>
          <w:tcPr>
            <w:tcW w:w="220" w:type="dxa"/>
            <w:vAlign w:val="bottom"/>
            <w:tcBorders>
              <w:bottom w:val="single" w:sz="8" w:color="auto"/>
            </w:tcBorders>
            <w:shd w:val="clear" w:color="auto" w:fill="F3F3F4"/>
          </w:tcPr>
          <w:p>
            <w:pPr>
              <w:spacing w:after="0"/>
              <w:rPr>
                <w:sz w:val="19"/>
                <w:szCs w:val="19"/>
                <w:color w:val="auto"/>
              </w:rPr>
            </w:pPr>
          </w:p>
        </w:tc>
        <w:tc>
          <w:tcPr>
            <w:tcW w:w="1100" w:type="dxa"/>
            <w:vAlign w:val="bottom"/>
            <w:tcBorders>
              <w:bottom w:val="single" w:sz="8" w:color="auto"/>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19"/>
                <w:szCs w:val="19"/>
                <w:color w:val="auto"/>
              </w:rPr>
            </w:pPr>
          </w:p>
        </w:tc>
        <w:tc>
          <w:tcPr>
            <w:tcW w:w="100" w:type="dxa"/>
            <w:vAlign w:val="bottom"/>
            <w:tcBorders>
              <w:bottom w:val="single" w:sz="8" w:color="auto"/>
            </w:tcBorders>
            <w:shd w:val="clear" w:color="auto" w:fill="E9EAEB"/>
          </w:tcPr>
          <w:p>
            <w:pPr>
              <w:spacing w:after="0"/>
              <w:rPr>
                <w:sz w:val="19"/>
                <w:szCs w:val="19"/>
                <w:color w:val="auto"/>
              </w:rPr>
            </w:pPr>
          </w:p>
        </w:tc>
        <w:tc>
          <w:tcPr>
            <w:tcW w:w="780" w:type="dxa"/>
            <w:vAlign w:val="bottom"/>
            <w:tcBorders>
              <w:bottom w:val="single" w:sz="8" w:color="auto"/>
            </w:tcBorders>
            <w:shd w:val="clear" w:color="auto" w:fill="E9EAEB"/>
          </w:tcPr>
          <w:p>
            <w:pPr>
              <w:spacing w:after="0"/>
              <w:rPr>
                <w:sz w:val="19"/>
                <w:szCs w:val="19"/>
                <w:color w:val="auto"/>
              </w:rPr>
            </w:pPr>
          </w:p>
        </w:tc>
        <w:tc>
          <w:tcPr>
            <w:tcW w:w="340" w:type="dxa"/>
            <w:vAlign w:val="bottom"/>
            <w:tcBorders>
              <w:bottom w:val="single" w:sz="8" w:color="auto"/>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2920" w:type="dxa"/>
            <w:vAlign w:val="bottom"/>
            <w:tcBorders>
              <w:bottom w:val="single" w:sz="8" w:color="E9EAEB"/>
            </w:tcBorders>
            <w:shd w:val="clear" w:color="auto" w:fill="E9EAEB"/>
          </w:tcPr>
          <w:p>
            <w:pPr>
              <w:ind w:left="100"/>
              <w:spacing w:after="0"/>
              <w:rPr>
                <w:sz w:val="20"/>
                <w:szCs w:val="20"/>
                <w:color w:val="auto"/>
              </w:rPr>
            </w:pPr>
            <w:r>
              <w:rPr>
                <w:rFonts w:ascii="Arial" w:cs="Arial" w:eastAsia="Arial" w:hAnsi="Arial"/>
                <w:sz w:val="13"/>
                <w:szCs w:val="13"/>
                <w:color w:val="auto"/>
              </w:rPr>
              <w:t>Total Cash Compensation</w:t>
            </w:r>
          </w:p>
        </w:tc>
        <w:tc>
          <w:tcPr>
            <w:tcW w:w="120" w:type="dxa"/>
            <w:vAlign w:val="bottom"/>
            <w:tcBorders>
              <w:bottom w:val="single" w:sz="8" w:color="F3F3F4"/>
            </w:tcBorders>
            <w:shd w:val="clear" w:color="auto" w:fill="F3F3F4"/>
          </w:tcPr>
          <w:p>
            <w:pPr>
              <w:spacing w:after="0"/>
              <w:rPr>
                <w:sz w:val="24"/>
                <w:szCs w:val="24"/>
                <w:color w:val="auto"/>
              </w:rPr>
            </w:pPr>
          </w:p>
        </w:tc>
        <w:tc>
          <w:tcPr>
            <w:tcW w:w="12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2,364,000</w:t>
            </w:r>
          </w:p>
        </w:tc>
        <w:tc>
          <w:tcPr>
            <w:tcW w:w="240" w:type="dxa"/>
            <w:vAlign w:val="bottom"/>
            <w:tcBorders>
              <w:bottom w:val="single" w:sz="8" w:color="F3F3F4"/>
              <w:right w:val="single" w:sz="8" w:color="E9EAEB"/>
            </w:tcBorders>
            <w:shd w:val="clear" w:color="auto" w:fill="F3F3F4"/>
          </w:tcPr>
          <w:p>
            <w:pPr>
              <w:spacing w:after="0"/>
              <w:rPr>
                <w:sz w:val="24"/>
                <w:szCs w:val="24"/>
                <w:color w:val="auto"/>
              </w:rPr>
            </w:pPr>
          </w:p>
        </w:tc>
        <w:tc>
          <w:tcPr>
            <w:tcW w:w="170" w:type="dxa"/>
            <w:vAlign w:val="bottom"/>
            <w:tcBorders>
              <w:bottom w:val="single" w:sz="8" w:color="E9EAEB"/>
            </w:tcBorders>
            <w:shd w:val="clear" w:color="auto" w:fill="E9EAEB"/>
          </w:tcPr>
          <w:p>
            <w:pPr>
              <w:jc w:val="right"/>
              <w:ind w:right="12"/>
              <w:spacing w:after="0"/>
              <w:rPr>
                <w:sz w:val="20"/>
                <w:szCs w:val="20"/>
                <w:color w:val="auto"/>
              </w:rPr>
            </w:pPr>
            <w:r>
              <w:rPr>
                <w:rFonts w:ascii="Arial" w:cs="Arial" w:eastAsia="Arial" w:hAnsi="Arial"/>
                <w:sz w:val="13"/>
                <w:szCs w:val="13"/>
                <w:color w:val="auto"/>
              </w:rPr>
              <w:t>$</w:t>
            </w:r>
          </w:p>
        </w:tc>
        <w:tc>
          <w:tcPr>
            <w:tcW w:w="610" w:type="dxa"/>
            <w:vAlign w:val="bottom"/>
            <w:tcBorders>
              <w:bottom w:val="single" w:sz="8" w:color="E9EAEB"/>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bottom w:val="single" w:sz="8" w:color="E9EAEB"/>
              <w:right w:val="single" w:sz="8" w:color="F3F3F4"/>
            </w:tcBorders>
            <w:shd w:val="clear" w:color="auto" w:fill="E9EAEB"/>
          </w:tcPr>
          <w:p>
            <w:pPr>
              <w:spacing w:after="0"/>
              <w:rPr>
                <w:sz w:val="24"/>
                <w:szCs w:val="24"/>
                <w:color w:val="auto"/>
              </w:rPr>
            </w:pPr>
          </w:p>
        </w:tc>
        <w:tc>
          <w:tcPr>
            <w:tcW w:w="220" w:type="dxa"/>
            <w:vAlign w:val="bottom"/>
            <w:tcBorders>
              <w:bottom w:val="single" w:sz="8" w:color="F3F3F4"/>
            </w:tcBorders>
            <w:shd w:val="clear" w:color="auto" w:fill="F3F3F4"/>
          </w:tcPr>
          <w:p>
            <w:pPr>
              <w:jc w:val="right"/>
              <w:ind w:right="62"/>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149,625</w:t>
            </w:r>
          </w:p>
        </w:tc>
        <w:tc>
          <w:tcPr>
            <w:tcW w:w="220" w:type="dxa"/>
            <w:vAlign w:val="bottom"/>
            <w:tcBorders>
              <w:bottom w:val="single" w:sz="8" w:color="F3F3F4"/>
              <w:right w:val="single" w:sz="8" w:color="E9EAEB"/>
            </w:tcBorders>
            <w:shd w:val="clear" w:color="auto" w:fill="F3F3F4"/>
          </w:tcPr>
          <w:p>
            <w:pPr>
              <w:spacing w:after="0"/>
              <w:rPr>
                <w:sz w:val="24"/>
                <w:szCs w:val="24"/>
                <w:color w:val="auto"/>
              </w:rPr>
            </w:pPr>
          </w:p>
        </w:tc>
        <w:tc>
          <w:tcPr>
            <w:tcW w:w="140" w:type="dxa"/>
            <w:vAlign w:val="bottom"/>
            <w:tcBorders>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9EAEB"/>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2,364,000</w:t>
            </w:r>
          </w:p>
        </w:tc>
        <w:tc>
          <w:tcPr>
            <w:tcW w:w="100" w:type="dxa"/>
            <w:vAlign w:val="bottom"/>
            <w:tcBorders>
              <w:bottom w:val="single" w:sz="8" w:color="E9EAEB"/>
            </w:tcBorders>
            <w:shd w:val="clear" w:color="auto" w:fill="E9EAEB"/>
          </w:tcPr>
          <w:p>
            <w:pPr>
              <w:spacing w:after="0"/>
              <w:rPr>
                <w:sz w:val="24"/>
                <w:szCs w:val="24"/>
                <w:color w:val="auto"/>
              </w:rPr>
            </w:pPr>
          </w:p>
        </w:tc>
        <w:tc>
          <w:tcPr>
            <w:tcW w:w="100" w:type="dxa"/>
            <w:vAlign w:val="bottom"/>
            <w:tcBorders>
              <w:bottom w:val="single" w:sz="8" w:color="F3F3F4"/>
            </w:tcBorders>
            <w:shd w:val="clear" w:color="auto" w:fill="F3F3F4"/>
          </w:tcPr>
          <w:p>
            <w:pPr>
              <w:spacing w:after="0"/>
              <w:rPr>
                <w:sz w:val="24"/>
                <w:szCs w:val="24"/>
                <w:color w:val="auto"/>
              </w:rPr>
            </w:pPr>
          </w:p>
        </w:tc>
        <w:tc>
          <w:tcPr>
            <w:tcW w:w="220" w:type="dxa"/>
            <w:vAlign w:val="bottom"/>
            <w:tcBorders>
              <w:bottom w:val="single" w:sz="8" w:color="F3F3F4"/>
            </w:tcBorders>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F3F3F4"/>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24"/>
                <w:szCs w:val="24"/>
                <w:color w:val="auto"/>
              </w:rPr>
            </w:pPr>
          </w:p>
        </w:tc>
        <w:tc>
          <w:tcPr>
            <w:tcW w:w="100" w:type="dxa"/>
            <w:vAlign w:val="bottom"/>
            <w:tcBorders>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9EAEB"/>
            </w:tcBorders>
            <w:shd w:val="clear" w:color="auto" w:fill="E9EAEB"/>
          </w:tcPr>
          <w:p>
            <w:pPr>
              <w:spacing w:after="0"/>
              <w:rPr>
                <w:sz w:val="24"/>
                <w:szCs w:val="24"/>
                <w:color w:val="auto"/>
              </w:rPr>
            </w:pPr>
          </w:p>
        </w:tc>
        <w:tc>
          <w:tcPr>
            <w:tcW w:w="340" w:type="dxa"/>
            <w:vAlign w:val="bottom"/>
            <w:tcBorders>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920" w:type="dxa"/>
            <w:vAlign w:val="bottom"/>
            <w:tcBorders>
              <w:top w:val="single" w:sz="8" w:color="939598"/>
            </w:tcBorders>
            <w:shd w:val="clear" w:color="auto" w:fill="E9EAEB"/>
          </w:tcPr>
          <w:p>
            <w:pPr>
              <w:ind w:left="100"/>
              <w:spacing w:after="0"/>
              <w:rPr>
                <w:sz w:val="20"/>
                <w:szCs w:val="20"/>
                <w:color w:val="auto"/>
              </w:rPr>
            </w:pPr>
            <w:r>
              <w:rPr>
                <w:rFonts w:ascii="Arial" w:cs="Arial" w:eastAsia="Arial" w:hAnsi="Arial"/>
                <w:sz w:val="13"/>
                <w:szCs w:val="13"/>
                <w:b w:val="1"/>
                <w:bCs w:val="1"/>
                <w:color w:val="auto"/>
              </w:rPr>
              <w:t>Long-Term Equity Incentive Awards:</w:t>
            </w:r>
          </w:p>
        </w:tc>
        <w:tc>
          <w:tcPr>
            <w:tcW w:w="120" w:type="dxa"/>
            <w:vAlign w:val="bottom"/>
            <w:tcBorders>
              <w:top w:val="single" w:sz="8" w:color="939598"/>
            </w:tcBorders>
            <w:shd w:val="clear" w:color="auto" w:fill="F3F3F4"/>
          </w:tcPr>
          <w:p>
            <w:pPr>
              <w:spacing w:after="0"/>
              <w:rPr>
                <w:sz w:val="21"/>
                <w:szCs w:val="21"/>
                <w:color w:val="auto"/>
              </w:rPr>
            </w:pPr>
          </w:p>
        </w:tc>
        <w:tc>
          <w:tcPr>
            <w:tcW w:w="120" w:type="dxa"/>
            <w:vAlign w:val="bottom"/>
            <w:tcBorders>
              <w:top w:val="single" w:sz="8" w:color="939598"/>
            </w:tcBorders>
            <w:shd w:val="clear" w:color="auto" w:fill="F3F3F4"/>
          </w:tcPr>
          <w:p>
            <w:pPr>
              <w:spacing w:after="0"/>
              <w:rPr>
                <w:sz w:val="21"/>
                <w:szCs w:val="21"/>
                <w:color w:val="auto"/>
              </w:rPr>
            </w:pPr>
          </w:p>
        </w:tc>
        <w:tc>
          <w:tcPr>
            <w:tcW w:w="1180" w:type="dxa"/>
            <w:vAlign w:val="bottom"/>
            <w:tcBorders>
              <w:top w:val="single" w:sz="8" w:color="939598"/>
              <w:right w:val="single" w:sz="8" w:color="F3F3F4"/>
            </w:tcBorders>
            <w:vMerge w:val="restart"/>
            <w:shd w:val="clear" w:color="auto" w:fill="F3F3F4"/>
          </w:tcPr>
          <w:p>
            <w:pPr>
              <w:jc w:val="right"/>
              <w:spacing w:after="0"/>
              <w:rPr>
                <w:sz w:val="20"/>
                <w:szCs w:val="20"/>
                <w:color w:val="auto"/>
              </w:rPr>
            </w:pPr>
            <w:r>
              <w:rPr>
                <w:rFonts w:ascii="Arial" w:cs="Arial" w:eastAsia="Arial" w:hAnsi="Arial"/>
                <w:sz w:val="13"/>
                <w:szCs w:val="13"/>
                <w:color w:val="auto"/>
              </w:rPr>
              <w:t>3,368,540</w:t>
            </w:r>
            <w:r>
              <w:rPr>
                <w:rFonts w:ascii="Arial" w:cs="Arial" w:eastAsia="Arial" w:hAnsi="Arial"/>
                <w:sz w:val="22"/>
                <w:szCs w:val="22"/>
                <w:color w:val="auto"/>
                <w:vertAlign w:val="superscript"/>
              </w:rPr>
              <w:t>6</w:t>
            </w:r>
          </w:p>
        </w:tc>
        <w:tc>
          <w:tcPr>
            <w:tcW w:w="240" w:type="dxa"/>
            <w:vAlign w:val="bottom"/>
            <w:tcBorders>
              <w:top w:val="single" w:sz="8" w:color="939598"/>
              <w:right w:val="single" w:sz="8" w:color="E9EAEB"/>
            </w:tcBorders>
            <w:shd w:val="clear" w:color="auto" w:fill="F3F3F4"/>
          </w:tcPr>
          <w:p>
            <w:pPr>
              <w:spacing w:after="0"/>
              <w:rPr>
                <w:sz w:val="21"/>
                <w:szCs w:val="21"/>
                <w:color w:val="auto"/>
              </w:rPr>
            </w:pPr>
          </w:p>
        </w:tc>
        <w:tc>
          <w:tcPr>
            <w:tcW w:w="170" w:type="dxa"/>
            <w:vAlign w:val="bottom"/>
            <w:tcBorders>
              <w:top w:val="single" w:sz="8" w:color="939598"/>
            </w:tcBorders>
            <w:shd w:val="clear" w:color="auto" w:fill="E9EAEB"/>
          </w:tcPr>
          <w:p>
            <w:pPr>
              <w:spacing w:after="0"/>
              <w:rPr>
                <w:sz w:val="21"/>
                <w:szCs w:val="21"/>
                <w:color w:val="auto"/>
              </w:rPr>
            </w:pPr>
          </w:p>
        </w:tc>
        <w:tc>
          <w:tcPr>
            <w:tcW w:w="610" w:type="dxa"/>
            <w:vAlign w:val="bottom"/>
            <w:tcBorders>
              <w:top w:val="single" w:sz="8" w:color="939598"/>
              <w:right w:val="single" w:sz="8" w:color="E9EAEB"/>
            </w:tcBorders>
            <w:shd w:val="clear" w:color="auto" w:fill="E9EAEB"/>
          </w:tcPr>
          <w:p>
            <w:pPr>
              <w:spacing w:after="0"/>
              <w:rPr>
                <w:sz w:val="21"/>
                <w:szCs w:val="21"/>
                <w:color w:val="auto"/>
              </w:rPr>
            </w:pPr>
          </w:p>
        </w:tc>
        <w:tc>
          <w:tcPr>
            <w:tcW w:w="240" w:type="dxa"/>
            <w:vAlign w:val="bottom"/>
            <w:tcBorders>
              <w:top w:val="single" w:sz="8" w:color="939598"/>
              <w:right w:val="single" w:sz="8" w:color="F3F3F4"/>
            </w:tcBorders>
            <w:shd w:val="clear" w:color="auto" w:fill="E9EAEB"/>
          </w:tcPr>
          <w:p>
            <w:pPr>
              <w:spacing w:after="0"/>
              <w:rPr>
                <w:sz w:val="21"/>
                <w:szCs w:val="21"/>
                <w:color w:val="auto"/>
              </w:rPr>
            </w:pPr>
          </w:p>
        </w:tc>
        <w:tc>
          <w:tcPr>
            <w:tcW w:w="220" w:type="dxa"/>
            <w:vAlign w:val="bottom"/>
            <w:tcBorders>
              <w:top w:val="single" w:sz="8" w:color="939598"/>
            </w:tcBorders>
            <w:shd w:val="clear" w:color="auto" w:fill="F3F3F4"/>
          </w:tcPr>
          <w:p>
            <w:pPr>
              <w:spacing w:after="0"/>
              <w:rPr>
                <w:sz w:val="21"/>
                <w:szCs w:val="21"/>
                <w:color w:val="auto"/>
              </w:rPr>
            </w:pPr>
          </w:p>
        </w:tc>
        <w:tc>
          <w:tcPr>
            <w:tcW w:w="1020" w:type="dxa"/>
            <w:vAlign w:val="bottom"/>
            <w:tcBorders>
              <w:top w:val="single" w:sz="8" w:color="939598"/>
              <w:right w:val="single" w:sz="8" w:color="F3F3F4"/>
            </w:tcBorders>
            <w:shd w:val="clear" w:color="auto" w:fill="F3F3F4"/>
          </w:tcPr>
          <w:p>
            <w:pPr>
              <w:spacing w:after="0"/>
              <w:rPr>
                <w:sz w:val="21"/>
                <w:szCs w:val="21"/>
                <w:color w:val="auto"/>
              </w:rPr>
            </w:pPr>
          </w:p>
        </w:tc>
        <w:tc>
          <w:tcPr>
            <w:tcW w:w="220" w:type="dxa"/>
            <w:vAlign w:val="bottom"/>
            <w:tcBorders>
              <w:top w:val="single" w:sz="8" w:color="939598"/>
              <w:right w:val="single" w:sz="8" w:color="E9EAEB"/>
            </w:tcBorders>
            <w:shd w:val="clear" w:color="auto" w:fill="F3F3F4"/>
          </w:tcPr>
          <w:p>
            <w:pPr>
              <w:spacing w:after="0"/>
              <w:rPr>
                <w:sz w:val="21"/>
                <w:szCs w:val="21"/>
                <w:color w:val="auto"/>
              </w:rPr>
            </w:pPr>
          </w:p>
        </w:tc>
        <w:tc>
          <w:tcPr>
            <w:tcW w:w="140" w:type="dxa"/>
            <w:vAlign w:val="bottom"/>
            <w:tcBorders>
              <w:top w:val="single" w:sz="8" w:color="939598"/>
            </w:tcBorders>
            <w:shd w:val="clear" w:color="auto" w:fill="E9EAEB"/>
          </w:tcPr>
          <w:p>
            <w:pPr>
              <w:spacing w:after="0"/>
              <w:rPr>
                <w:sz w:val="21"/>
                <w:szCs w:val="21"/>
                <w:color w:val="auto"/>
              </w:rPr>
            </w:pPr>
          </w:p>
        </w:tc>
        <w:tc>
          <w:tcPr>
            <w:tcW w:w="1100" w:type="dxa"/>
            <w:vAlign w:val="bottom"/>
            <w:tcBorders>
              <w:top w:val="single" w:sz="8" w:color="939598"/>
              <w:right w:val="single" w:sz="8" w:color="E9EAEB"/>
            </w:tcBorders>
            <w:shd w:val="clear" w:color="auto" w:fill="E9EAEB"/>
          </w:tcPr>
          <w:p>
            <w:pPr>
              <w:spacing w:after="0"/>
              <w:rPr>
                <w:sz w:val="21"/>
                <w:szCs w:val="21"/>
                <w:color w:val="auto"/>
              </w:rPr>
            </w:pPr>
          </w:p>
        </w:tc>
        <w:tc>
          <w:tcPr>
            <w:tcW w:w="100" w:type="dxa"/>
            <w:vAlign w:val="bottom"/>
            <w:tcBorders>
              <w:top w:val="single" w:sz="8" w:color="939598"/>
            </w:tcBorders>
            <w:shd w:val="clear" w:color="auto" w:fill="E9EAEB"/>
          </w:tcPr>
          <w:p>
            <w:pPr>
              <w:spacing w:after="0"/>
              <w:rPr>
                <w:sz w:val="21"/>
                <w:szCs w:val="21"/>
                <w:color w:val="auto"/>
              </w:rPr>
            </w:pPr>
          </w:p>
        </w:tc>
        <w:tc>
          <w:tcPr>
            <w:tcW w:w="100" w:type="dxa"/>
            <w:vAlign w:val="bottom"/>
            <w:tcBorders>
              <w:top w:val="single" w:sz="8" w:color="939598"/>
            </w:tcBorders>
            <w:shd w:val="clear" w:color="auto" w:fill="F3F3F4"/>
          </w:tcPr>
          <w:p>
            <w:pPr>
              <w:spacing w:after="0"/>
              <w:rPr>
                <w:sz w:val="21"/>
                <w:szCs w:val="21"/>
                <w:color w:val="auto"/>
              </w:rPr>
            </w:pPr>
          </w:p>
        </w:tc>
        <w:tc>
          <w:tcPr>
            <w:tcW w:w="220" w:type="dxa"/>
            <w:vAlign w:val="bottom"/>
            <w:tcBorders>
              <w:top w:val="single" w:sz="8" w:color="939598"/>
            </w:tcBorders>
            <w:shd w:val="clear" w:color="auto" w:fill="F3F3F4"/>
          </w:tcPr>
          <w:p>
            <w:pPr>
              <w:spacing w:after="0"/>
              <w:rPr>
                <w:sz w:val="21"/>
                <w:szCs w:val="21"/>
                <w:color w:val="auto"/>
              </w:rPr>
            </w:pPr>
          </w:p>
        </w:tc>
        <w:tc>
          <w:tcPr>
            <w:tcW w:w="1100" w:type="dxa"/>
            <w:vAlign w:val="bottom"/>
            <w:tcBorders>
              <w:top w:val="single" w:sz="8" w:color="939598"/>
              <w:right w:val="single" w:sz="8" w:color="F3F3F4"/>
            </w:tcBorders>
            <w:shd w:val="clear" w:color="auto" w:fill="F3F3F4"/>
          </w:tcPr>
          <w:p>
            <w:pPr>
              <w:spacing w:after="0"/>
              <w:rPr>
                <w:sz w:val="21"/>
                <w:szCs w:val="21"/>
                <w:color w:val="auto"/>
              </w:rPr>
            </w:pPr>
          </w:p>
        </w:tc>
        <w:tc>
          <w:tcPr>
            <w:tcW w:w="100" w:type="dxa"/>
            <w:vAlign w:val="bottom"/>
            <w:tcBorders>
              <w:top w:val="single" w:sz="8" w:color="939598"/>
            </w:tcBorders>
            <w:shd w:val="clear" w:color="auto" w:fill="E9EAEB"/>
          </w:tcPr>
          <w:p>
            <w:pPr>
              <w:spacing w:after="0"/>
              <w:rPr>
                <w:sz w:val="21"/>
                <w:szCs w:val="21"/>
                <w:color w:val="auto"/>
              </w:rPr>
            </w:pPr>
          </w:p>
        </w:tc>
        <w:tc>
          <w:tcPr>
            <w:tcW w:w="100" w:type="dxa"/>
            <w:vAlign w:val="bottom"/>
            <w:tcBorders>
              <w:top w:val="single" w:sz="8" w:color="939598"/>
            </w:tcBorders>
            <w:shd w:val="clear" w:color="auto" w:fill="E9EAEB"/>
          </w:tcPr>
          <w:p>
            <w:pPr>
              <w:spacing w:after="0"/>
              <w:rPr>
                <w:sz w:val="21"/>
                <w:szCs w:val="21"/>
                <w:color w:val="auto"/>
              </w:rPr>
            </w:pPr>
          </w:p>
        </w:tc>
        <w:tc>
          <w:tcPr>
            <w:tcW w:w="780" w:type="dxa"/>
            <w:vAlign w:val="bottom"/>
            <w:tcBorders>
              <w:top w:val="single" w:sz="8" w:color="939598"/>
            </w:tcBorders>
            <w:shd w:val="clear" w:color="auto" w:fill="E9EAEB"/>
          </w:tcPr>
          <w:p>
            <w:pPr>
              <w:spacing w:after="0"/>
              <w:rPr>
                <w:sz w:val="21"/>
                <w:szCs w:val="21"/>
                <w:color w:val="auto"/>
              </w:rPr>
            </w:pPr>
          </w:p>
        </w:tc>
        <w:tc>
          <w:tcPr>
            <w:tcW w:w="340" w:type="dxa"/>
            <w:vAlign w:val="bottom"/>
            <w:tcBorders>
              <w:top w:val="single" w:sz="8" w:color="939598"/>
            </w:tcBorders>
            <w:shd w:val="clear" w:color="auto" w:fill="E9EAEB"/>
          </w:tcPr>
          <w:p>
            <w:pPr>
              <w:spacing w:after="0"/>
              <w:rPr>
                <w:sz w:val="21"/>
                <w:szCs w:val="21"/>
                <w:color w:val="auto"/>
              </w:rPr>
            </w:pPr>
          </w:p>
        </w:tc>
        <w:tc>
          <w:tcPr>
            <w:tcW w:w="100" w:type="dxa"/>
            <w:vAlign w:val="bottom"/>
            <w:tcBorders>
              <w:top w:val="single" w:sz="8" w:color="939598"/>
            </w:tcBorders>
            <w:shd w:val="clear" w:color="auto" w:fill="E9EAEB"/>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920" w:type="dxa"/>
            <w:vAlign w:val="bottom"/>
            <w:tcBorders>
              <w:bottom w:val="single" w:sz="8" w:color="E9EAEB"/>
            </w:tcBorders>
            <w:shd w:val="clear" w:color="auto" w:fill="E9EAEB"/>
          </w:tcPr>
          <w:p>
            <w:pPr>
              <w:ind w:left="100"/>
              <w:spacing w:after="0"/>
              <w:rPr>
                <w:sz w:val="20"/>
                <w:szCs w:val="20"/>
                <w:color w:val="auto"/>
              </w:rPr>
            </w:pPr>
            <w:r>
              <w:rPr>
                <w:rFonts w:ascii="Arial" w:cs="Arial" w:eastAsia="Arial" w:hAnsi="Arial"/>
                <w:sz w:val="13"/>
                <w:szCs w:val="13"/>
                <w:color w:val="auto"/>
              </w:rPr>
              <w:t>RSUs and PSUs</w:t>
            </w:r>
          </w:p>
        </w:tc>
        <w:tc>
          <w:tcPr>
            <w:tcW w:w="120" w:type="dxa"/>
            <w:vAlign w:val="bottom"/>
            <w:tcBorders>
              <w:bottom w:val="single" w:sz="8" w:color="F3F3F4"/>
            </w:tcBorders>
            <w:shd w:val="clear" w:color="auto" w:fill="F3F3F4"/>
          </w:tcPr>
          <w:p>
            <w:pPr>
              <w:spacing w:after="0"/>
              <w:rPr>
                <w:sz w:val="17"/>
                <w:szCs w:val="17"/>
                <w:color w:val="auto"/>
              </w:rPr>
            </w:pPr>
          </w:p>
        </w:tc>
        <w:tc>
          <w:tcPr>
            <w:tcW w:w="120" w:type="dxa"/>
            <w:vAlign w:val="bottom"/>
            <w:tcBorders>
              <w:bottom w:val="single" w:sz="8" w:color="auto"/>
            </w:tcBorders>
            <w:shd w:val="clear" w:color="auto" w:fill="F3F3F4"/>
          </w:tcPr>
          <w:p>
            <w:pPr>
              <w:spacing w:after="0"/>
              <w:rPr>
                <w:sz w:val="17"/>
                <w:szCs w:val="17"/>
                <w:color w:val="auto"/>
              </w:rPr>
            </w:pPr>
          </w:p>
        </w:tc>
        <w:tc>
          <w:tcPr>
            <w:tcW w:w="1180" w:type="dxa"/>
            <w:vAlign w:val="bottom"/>
            <w:tcBorders>
              <w:bottom w:val="single" w:sz="8" w:color="auto"/>
              <w:right w:val="single" w:sz="8" w:color="F3F3F4"/>
            </w:tcBorders>
            <w:vMerge w:val="continue"/>
            <w:shd w:val="clear" w:color="auto" w:fill="F3F3F4"/>
          </w:tcPr>
          <w:p>
            <w:pPr>
              <w:spacing w:after="0"/>
              <w:rPr>
                <w:sz w:val="17"/>
                <w:szCs w:val="17"/>
                <w:color w:val="auto"/>
              </w:rPr>
            </w:pPr>
          </w:p>
        </w:tc>
        <w:tc>
          <w:tcPr>
            <w:tcW w:w="240" w:type="dxa"/>
            <w:vAlign w:val="bottom"/>
            <w:tcBorders>
              <w:bottom w:val="single" w:sz="8" w:color="F3F3F4"/>
              <w:right w:val="single" w:sz="8" w:color="E9EAEB"/>
            </w:tcBorders>
            <w:shd w:val="clear" w:color="auto" w:fill="F3F3F4"/>
          </w:tcPr>
          <w:p>
            <w:pPr>
              <w:spacing w:after="0"/>
              <w:rPr>
                <w:sz w:val="17"/>
                <w:szCs w:val="17"/>
                <w:color w:val="auto"/>
              </w:rPr>
            </w:pPr>
          </w:p>
        </w:tc>
        <w:tc>
          <w:tcPr>
            <w:tcW w:w="170" w:type="dxa"/>
            <w:vAlign w:val="bottom"/>
            <w:tcBorders>
              <w:bottom w:val="single" w:sz="8" w:color="auto"/>
            </w:tcBorders>
            <w:shd w:val="clear" w:color="auto" w:fill="E9EAEB"/>
          </w:tcPr>
          <w:p>
            <w:pPr>
              <w:spacing w:after="0"/>
              <w:rPr>
                <w:sz w:val="17"/>
                <w:szCs w:val="17"/>
                <w:color w:val="auto"/>
              </w:rPr>
            </w:pPr>
          </w:p>
        </w:tc>
        <w:tc>
          <w:tcPr>
            <w:tcW w:w="610" w:type="dxa"/>
            <w:vAlign w:val="bottom"/>
            <w:tcBorders>
              <w:bottom w:val="single" w:sz="8" w:color="auto"/>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bottom w:val="single" w:sz="8" w:color="E9EAEB"/>
              <w:right w:val="single" w:sz="8" w:color="F3F3F4"/>
            </w:tcBorders>
            <w:shd w:val="clear" w:color="auto" w:fill="E9EAEB"/>
          </w:tcPr>
          <w:p>
            <w:pPr>
              <w:spacing w:after="0"/>
              <w:rPr>
                <w:sz w:val="17"/>
                <w:szCs w:val="17"/>
                <w:color w:val="auto"/>
              </w:rPr>
            </w:pPr>
          </w:p>
        </w:tc>
        <w:tc>
          <w:tcPr>
            <w:tcW w:w="220" w:type="dxa"/>
            <w:vAlign w:val="bottom"/>
            <w:tcBorders>
              <w:bottom w:val="single" w:sz="8" w:color="auto"/>
            </w:tcBorders>
            <w:shd w:val="clear" w:color="auto" w:fill="F3F3F4"/>
          </w:tcPr>
          <w:p>
            <w:pPr>
              <w:spacing w:after="0"/>
              <w:rPr>
                <w:sz w:val="17"/>
                <w:szCs w:val="17"/>
                <w:color w:val="auto"/>
              </w:rPr>
            </w:pPr>
          </w:p>
        </w:tc>
        <w:tc>
          <w:tcPr>
            <w:tcW w:w="1020" w:type="dxa"/>
            <w:vAlign w:val="bottom"/>
            <w:tcBorders>
              <w:bottom w:val="single" w:sz="8" w:color="auto"/>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bottom w:val="single" w:sz="8" w:color="F3F3F4"/>
              <w:right w:val="single" w:sz="8" w:color="E9EAEB"/>
            </w:tcBorders>
            <w:shd w:val="clear" w:color="auto" w:fill="F3F3F4"/>
          </w:tcPr>
          <w:p>
            <w:pPr>
              <w:spacing w:after="0"/>
              <w:rPr>
                <w:sz w:val="17"/>
                <w:szCs w:val="17"/>
                <w:color w:val="auto"/>
              </w:rPr>
            </w:pPr>
          </w:p>
        </w:tc>
        <w:tc>
          <w:tcPr>
            <w:tcW w:w="140" w:type="dxa"/>
            <w:vAlign w:val="bottom"/>
            <w:tcBorders>
              <w:bottom w:val="single" w:sz="8" w:color="auto"/>
            </w:tcBorders>
            <w:shd w:val="clear" w:color="auto" w:fill="E9EAEB"/>
          </w:tcPr>
          <w:p>
            <w:pPr>
              <w:spacing w:after="0"/>
              <w:rPr>
                <w:sz w:val="17"/>
                <w:szCs w:val="17"/>
                <w:color w:val="auto"/>
              </w:rPr>
            </w:pPr>
          </w:p>
        </w:tc>
        <w:tc>
          <w:tcPr>
            <w:tcW w:w="1100" w:type="dxa"/>
            <w:vAlign w:val="bottom"/>
            <w:tcBorders>
              <w:bottom w:val="single" w:sz="8" w:color="auto"/>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17"/>
                <w:szCs w:val="17"/>
                <w:color w:val="auto"/>
              </w:rPr>
            </w:pPr>
          </w:p>
        </w:tc>
        <w:tc>
          <w:tcPr>
            <w:tcW w:w="100" w:type="dxa"/>
            <w:vAlign w:val="bottom"/>
            <w:tcBorders>
              <w:bottom w:val="single" w:sz="8" w:color="F3F3F4"/>
            </w:tcBorders>
            <w:shd w:val="clear" w:color="auto" w:fill="F3F3F4"/>
          </w:tcPr>
          <w:p>
            <w:pPr>
              <w:spacing w:after="0"/>
              <w:rPr>
                <w:sz w:val="17"/>
                <w:szCs w:val="17"/>
                <w:color w:val="auto"/>
              </w:rPr>
            </w:pPr>
          </w:p>
        </w:tc>
        <w:tc>
          <w:tcPr>
            <w:tcW w:w="220" w:type="dxa"/>
            <w:vAlign w:val="bottom"/>
            <w:tcBorders>
              <w:bottom w:val="single" w:sz="8" w:color="auto"/>
            </w:tcBorders>
            <w:shd w:val="clear" w:color="auto" w:fill="F3F3F4"/>
          </w:tcPr>
          <w:p>
            <w:pPr>
              <w:spacing w:after="0"/>
              <w:rPr>
                <w:sz w:val="17"/>
                <w:szCs w:val="17"/>
                <w:color w:val="auto"/>
              </w:rPr>
            </w:pPr>
          </w:p>
        </w:tc>
        <w:tc>
          <w:tcPr>
            <w:tcW w:w="1100" w:type="dxa"/>
            <w:vAlign w:val="bottom"/>
            <w:tcBorders>
              <w:bottom w:val="single" w:sz="8" w:color="auto"/>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17"/>
                <w:szCs w:val="17"/>
                <w:color w:val="auto"/>
              </w:rPr>
            </w:pPr>
          </w:p>
        </w:tc>
        <w:tc>
          <w:tcPr>
            <w:tcW w:w="100" w:type="dxa"/>
            <w:vAlign w:val="bottom"/>
            <w:tcBorders>
              <w:bottom w:val="single" w:sz="8" w:color="auto"/>
            </w:tcBorders>
            <w:shd w:val="clear" w:color="auto" w:fill="E9EAEB"/>
          </w:tcPr>
          <w:p>
            <w:pPr>
              <w:spacing w:after="0"/>
              <w:rPr>
                <w:sz w:val="17"/>
                <w:szCs w:val="17"/>
                <w:color w:val="auto"/>
              </w:rPr>
            </w:pPr>
          </w:p>
        </w:tc>
        <w:tc>
          <w:tcPr>
            <w:tcW w:w="780" w:type="dxa"/>
            <w:vAlign w:val="bottom"/>
            <w:tcBorders>
              <w:bottom w:val="single" w:sz="8" w:color="auto"/>
            </w:tcBorders>
            <w:shd w:val="clear" w:color="auto" w:fill="E9EAEB"/>
          </w:tcPr>
          <w:p>
            <w:pPr>
              <w:spacing w:after="0"/>
              <w:rPr>
                <w:sz w:val="17"/>
                <w:szCs w:val="17"/>
                <w:color w:val="auto"/>
              </w:rPr>
            </w:pPr>
          </w:p>
        </w:tc>
        <w:tc>
          <w:tcPr>
            <w:tcW w:w="340" w:type="dxa"/>
            <w:vAlign w:val="bottom"/>
            <w:tcBorders>
              <w:bottom w:val="single" w:sz="8" w:color="auto"/>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E9EAEB"/>
            </w:tcBorders>
            <w:shd w:val="clear" w:color="auto" w:fill="E9EAEB"/>
          </w:tcPr>
          <w:p>
            <w:pPr>
              <w:ind w:left="100"/>
              <w:spacing w:after="0"/>
              <w:rPr>
                <w:sz w:val="20"/>
                <w:szCs w:val="20"/>
                <w:color w:val="auto"/>
              </w:rPr>
            </w:pPr>
            <w:r>
              <w:rPr>
                <w:rFonts w:ascii="Arial" w:cs="Arial" w:eastAsia="Arial" w:hAnsi="Arial"/>
                <w:sz w:val="13"/>
                <w:szCs w:val="13"/>
                <w:color w:val="auto"/>
              </w:rPr>
              <w:t>Total Awards</w:t>
            </w:r>
          </w:p>
        </w:tc>
        <w:tc>
          <w:tcPr>
            <w:tcW w:w="120" w:type="dxa"/>
            <w:vAlign w:val="bottom"/>
            <w:tcBorders>
              <w:bottom w:val="single" w:sz="8" w:color="F3F3F4"/>
            </w:tcBorders>
            <w:shd w:val="clear" w:color="auto" w:fill="F3F3F4"/>
          </w:tcPr>
          <w:p>
            <w:pPr>
              <w:spacing w:after="0"/>
              <w:rPr>
                <w:sz w:val="21"/>
                <w:szCs w:val="21"/>
                <w:color w:val="auto"/>
              </w:rPr>
            </w:pPr>
          </w:p>
        </w:tc>
        <w:tc>
          <w:tcPr>
            <w:tcW w:w="12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3,368,540</w:t>
            </w:r>
          </w:p>
        </w:tc>
        <w:tc>
          <w:tcPr>
            <w:tcW w:w="240" w:type="dxa"/>
            <w:vAlign w:val="bottom"/>
            <w:tcBorders>
              <w:bottom w:val="single" w:sz="8" w:color="F3F3F4"/>
              <w:right w:val="single" w:sz="8" w:color="E9EAEB"/>
            </w:tcBorders>
            <w:shd w:val="clear" w:color="auto" w:fill="F3F3F4"/>
          </w:tcPr>
          <w:p>
            <w:pPr>
              <w:spacing w:after="0"/>
              <w:rPr>
                <w:sz w:val="21"/>
                <w:szCs w:val="21"/>
                <w:color w:val="auto"/>
              </w:rPr>
            </w:pPr>
          </w:p>
        </w:tc>
        <w:tc>
          <w:tcPr>
            <w:tcW w:w="170" w:type="dxa"/>
            <w:vAlign w:val="bottom"/>
            <w:tcBorders>
              <w:bottom w:val="single" w:sz="8" w:color="E9EAEB"/>
            </w:tcBorders>
            <w:shd w:val="clear" w:color="auto" w:fill="E9EAEB"/>
          </w:tcPr>
          <w:p>
            <w:pPr>
              <w:jc w:val="right"/>
              <w:ind w:right="12"/>
              <w:spacing w:after="0"/>
              <w:rPr>
                <w:sz w:val="20"/>
                <w:szCs w:val="20"/>
                <w:color w:val="auto"/>
              </w:rPr>
            </w:pPr>
            <w:r>
              <w:rPr>
                <w:rFonts w:ascii="Arial" w:cs="Arial" w:eastAsia="Arial" w:hAnsi="Arial"/>
                <w:sz w:val="13"/>
                <w:szCs w:val="13"/>
                <w:color w:val="auto"/>
              </w:rPr>
              <w:t>$</w:t>
            </w:r>
          </w:p>
        </w:tc>
        <w:tc>
          <w:tcPr>
            <w:tcW w:w="610" w:type="dxa"/>
            <w:vAlign w:val="bottom"/>
            <w:tcBorders>
              <w:bottom w:val="single" w:sz="8" w:color="E9EAEB"/>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bottom w:val="single" w:sz="8" w:color="E9EAEB"/>
              <w:right w:val="single" w:sz="8" w:color="F3F3F4"/>
            </w:tcBorders>
            <w:shd w:val="clear" w:color="auto" w:fill="E9EAEB"/>
          </w:tcPr>
          <w:p>
            <w:pPr>
              <w:spacing w:after="0"/>
              <w:rPr>
                <w:sz w:val="21"/>
                <w:szCs w:val="21"/>
                <w:color w:val="auto"/>
              </w:rPr>
            </w:pPr>
          </w:p>
        </w:tc>
        <w:tc>
          <w:tcPr>
            <w:tcW w:w="220" w:type="dxa"/>
            <w:vAlign w:val="bottom"/>
            <w:tcBorders>
              <w:bottom w:val="single" w:sz="8" w:color="F3F3F4"/>
            </w:tcBorders>
            <w:shd w:val="clear" w:color="auto" w:fill="F3F3F4"/>
          </w:tcPr>
          <w:p>
            <w:pPr>
              <w:jc w:val="right"/>
              <w:ind w:right="62"/>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bottom w:val="single" w:sz="8" w:color="F3F3F4"/>
              <w:right w:val="single" w:sz="8" w:color="E9EAEB"/>
            </w:tcBorders>
            <w:shd w:val="clear" w:color="auto" w:fill="F3F3F4"/>
          </w:tcPr>
          <w:p>
            <w:pPr>
              <w:spacing w:after="0"/>
              <w:rPr>
                <w:sz w:val="21"/>
                <w:szCs w:val="21"/>
                <w:color w:val="auto"/>
              </w:rPr>
            </w:pPr>
          </w:p>
        </w:tc>
        <w:tc>
          <w:tcPr>
            <w:tcW w:w="140" w:type="dxa"/>
            <w:vAlign w:val="bottom"/>
            <w:tcBorders>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9EAEB"/>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21"/>
                <w:szCs w:val="21"/>
                <w:color w:val="auto"/>
              </w:rPr>
            </w:pPr>
          </w:p>
        </w:tc>
        <w:tc>
          <w:tcPr>
            <w:tcW w:w="100" w:type="dxa"/>
            <w:vAlign w:val="bottom"/>
            <w:tcBorders>
              <w:bottom w:val="single" w:sz="8" w:color="F3F3F4"/>
            </w:tcBorders>
            <w:shd w:val="clear" w:color="auto" w:fill="F3F3F4"/>
          </w:tcPr>
          <w:p>
            <w:pPr>
              <w:spacing w:after="0"/>
              <w:rPr>
                <w:sz w:val="21"/>
                <w:szCs w:val="21"/>
                <w:color w:val="auto"/>
              </w:rPr>
            </w:pPr>
          </w:p>
        </w:tc>
        <w:tc>
          <w:tcPr>
            <w:tcW w:w="220" w:type="dxa"/>
            <w:vAlign w:val="bottom"/>
            <w:tcBorders>
              <w:bottom w:val="single" w:sz="8" w:color="F3F3F4"/>
            </w:tcBorders>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F3F3F4"/>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21"/>
                <w:szCs w:val="21"/>
                <w:color w:val="auto"/>
              </w:rPr>
            </w:pPr>
          </w:p>
        </w:tc>
        <w:tc>
          <w:tcPr>
            <w:tcW w:w="100" w:type="dxa"/>
            <w:vAlign w:val="bottom"/>
            <w:tcBorders>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9EAEB"/>
            </w:tcBorders>
            <w:shd w:val="clear" w:color="auto" w:fill="E9EAEB"/>
          </w:tcPr>
          <w:p>
            <w:pPr>
              <w:spacing w:after="0"/>
              <w:rPr>
                <w:sz w:val="21"/>
                <w:szCs w:val="21"/>
                <w:color w:val="auto"/>
              </w:rPr>
            </w:pPr>
          </w:p>
        </w:tc>
        <w:tc>
          <w:tcPr>
            <w:tcW w:w="340" w:type="dxa"/>
            <w:vAlign w:val="bottom"/>
            <w:tcBorders>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2920" w:type="dxa"/>
            <w:vAlign w:val="bottom"/>
            <w:tcBorders>
              <w:top w:val="single" w:sz="8" w:color="939598"/>
              <w:bottom w:val="single" w:sz="8" w:color="E9EAEB"/>
            </w:tcBorders>
            <w:shd w:val="clear" w:color="auto" w:fill="E9EAEB"/>
          </w:tcPr>
          <w:p>
            <w:pPr>
              <w:ind w:left="100"/>
              <w:spacing w:after="0"/>
              <w:rPr>
                <w:sz w:val="20"/>
                <w:szCs w:val="20"/>
                <w:color w:val="auto"/>
              </w:rPr>
            </w:pPr>
            <w:r>
              <w:rPr>
                <w:rFonts w:ascii="Arial" w:cs="Arial" w:eastAsia="Arial" w:hAnsi="Arial"/>
                <w:sz w:val="13"/>
                <w:szCs w:val="13"/>
                <w:b w:val="1"/>
                <w:bCs w:val="1"/>
                <w:color w:val="auto"/>
              </w:rPr>
              <w:t>Total Direct Compensation</w:t>
            </w:r>
          </w:p>
        </w:tc>
        <w:tc>
          <w:tcPr>
            <w:tcW w:w="120" w:type="dxa"/>
            <w:vAlign w:val="bottom"/>
            <w:tcBorders>
              <w:top w:val="single" w:sz="8" w:color="939598"/>
              <w:bottom w:val="single" w:sz="8" w:color="F3F3F4"/>
            </w:tcBorders>
            <w:shd w:val="clear" w:color="auto" w:fill="F3F3F4"/>
          </w:tcPr>
          <w:p>
            <w:pPr>
              <w:spacing w:after="0"/>
              <w:rPr>
                <w:sz w:val="24"/>
                <w:szCs w:val="24"/>
                <w:color w:val="auto"/>
              </w:rPr>
            </w:pPr>
          </w:p>
        </w:tc>
        <w:tc>
          <w:tcPr>
            <w:tcW w:w="12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939598"/>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5,732,540</w:t>
            </w:r>
          </w:p>
        </w:tc>
        <w:tc>
          <w:tcPr>
            <w:tcW w:w="240" w:type="dxa"/>
            <w:vAlign w:val="bottom"/>
            <w:tcBorders>
              <w:top w:val="single" w:sz="8" w:color="939598"/>
              <w:bottom w:val="single" w:sz="8" w:color="F3F3F4"/>
              <w:right w:val="single" w:sz="8" w:color="E9EAEB"/>
            </w:tcBorders>
            <w:shd w:val="clear" w:color="auto" w:fill="F3F3F4"/>
          </w:tcPr>
          <w:p>
            <w:pPr>
              <w:spacing w:after="0"/>
              <w:rPr>
                <w:sz w:val="24"/>
                <w:szCs w:val="24"/>
                <w:color w:val="auto"/>
              </w:rPr>
            </w:pPr>
          </w:p>
        </w:tc>
        <w:tc>
          <w:tcPr>
            <w:tcW w:w="170" w:type="dxa"/>
            <w:vAlign w:val="bottom"/>
            <w:tcBorders>
              <w:top w:val="single" w:sz="8" w:color="939598"/>
              <w:bottom w:val="single" w:sz="8" w:color="E9EAEB"/>
            </w:tcBorders>
            <w:shd w:val="clear" w:color="auto" w:fill="E9EAEB"/>
          </w:tcPr>
          <w:p>
            <w:pPr>
              <w:jc w:val="right"/>
              <w:ind w:right="12"/>
              <w:spacing w:after="0"/>
              <w:rPr>
                <w:sz w:val="20"/>
                <w:szCs w:val="20"/>
                <w:color w:val="auto"/>
              </w:rPr>
            </w:pPr>
            <w:r>
              <w:rPr>
                <w:rFonts w:ascii="Arial" w:cs="Arial" w:eastAsia="Arial" w:hAnsi="Arial"/>
                <w:sz w:val="13"/>
                <w:szCs w:val="13"/>
                <w:color w:val="auto"/>
              </w:rPr>
              <w:t>$</w:t>
            </w:r>
          </w:p>
        </w:tc>
        <w:tc>
          <w:tcPr>
            <w:tcW w:w="610" w:type="dxa"/>
            <w:vAlign w:val="bottom"/>
            <w:tcBorders>
              <w:top w:val="single" w:sz="8" w:color="939598"/>
              <w:bottom w:val="single" w:sz="8" w:color="E9EAEB"/>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top w:val="single" w:sz="8" w:color="939598"/>
              <w:bottom w:val="single" w:sz="8" w:color="E9EAEB"/>
              <w:right w:val="single" w:sz="8" w:color="F3F3F4"/>
            </w:tcBorders>
            <w:shd w:val="clear" w:color="auto" w:fill="E9EAEB"/>
          </w:tcPr>
          <w:p>
            <w:pPr>
              <w:spacing w:after="0"/>
              <w:rPr>
                <w:sz w:val="24"/>
                <w:szCs w:val="24"/>
                <w:color w:val="auto"/>
              </w:rPr>
            </w:pPr>
          </w:p>
        </w:tc>
        <w:tc>
          <w:tcPr>
            <w:tcW w:w="220" w:type="dxa"/>
            <w:vAlign w:val="bottom"/>
            <w:tcBorders>
              <w:top w:val="single" w:sz="8" w:color="939598"/>
              <w:bottom w:val="single" w:sz="8" w:color="F3F3F4"/>
            </w:tcBorders>
            <w:shd w:val="clear" w:color="auto" w:fill="F3F3F4"/>
          </w:tcPr>
          <w:p>
            <w:pPr>
              <w:jc w:val="right"/>
              <w:ind w:right="62"/>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939598"/>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149,625</w:t>
            </w:r>
          </w:p>
        </w:tc>
        <w:tc>
          <w:tcPr>
            <w:tcW w:w="220" w:type="dxa"/>
            <w:vAlign w:val="bottom"/>
            <w:tcBorders>
              <w:top w:val="single" w:sz="8" w:color="939598"/>
              <w:bottom w:val="single" w:sz="8" w:color="F3F3F4"/>
              <w:right w:val="single" w:sz="8" w:color="E9EAEB"/>
            </w:tcBorders>
            <w:shd w:val="clear" w:color="auto" w:fill="F3F3F4"/>
          </w:tcPr>
          <w:p>
            <w:pPr>
              <w:spacing w:after="0"/>
              <w:rPr>
                <w:sz w:val="24"/>
                <w:szCs w:val="24"/>
                <w:color w:val="auto"/>
              </w:rPr>
            </w:pPr>
          </w:p>
        </w:tc>
        <w:tc>
          <w:tcPr>
            <w:tcW w:w="140" w:type="dxa"/>
            <w:vAlign w:val="bottom"/>
            <w:tcBorders>
              <w:top w:val="single" w:sz="8" w:color="939598"/>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939598"/>
              <w:bottom w:val="single" w:sz="8" w:color="E9EAEB"/>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2,364,000</w:t>
            </w:r>
          </w:p>
        </w:tc>
        <w:tc>
          <w:tcPr>
            <w:tcW w:w="100" w:type="dxa"/>
            <w:vAlign w:val="bottom"/>
            <w:tcBorders>
              <w:top w:val="single" w:sz="8" w:color="939598"/>
              <w:bottom w:val="single" w:sz="8" w:color="E9EAEB"/>
            </w:tcBorders>
            <w:shd w:val="clear" w:color="auto" w:fill="E9EAEB"/>
          </w:tcPr>
          <w:p>
            <w:pPr>
              <w:spacing w:after="0"/>
              <w:rPr>
                <w:sz w:val="24"/>
                <w:szCs w:val="24"/>
                <w:color w:val="auto"/>
              </w:rPr>
            </w:pPr>
          </w:p>
        </w:tc>
        <w:tc>
          <w:tcPr>
            <w:tcW w:w="100" w:type="dxa"/>
            <w:vAlign w:val="bottom"/>
            <w:tcBorders>
              <w:top w:val="single" w:sz="8" w:color="939598"/>
              <w:bottom w:val="single" w:sz="8" w:color="F3F3F4"/>
            </w:tcBorders>
            <w:shd w:val="clear" w:color="auto" w:fill="F3F3F4"/>
          </w:tcPr>
          <w:p>
            <w:pPr>
              <w:spacing w:after="0"/>
              <w:rPr>
                <w:sz w:val="24"/>
                <w:szCs w:val="24"/>
                <w:color w:val="auto"/>
              </w:rPr>
            </w:pPr>
          </w:p>
        </w:tc>
        <w:tc>
          <w:tcPr>
            <w:tcW w:w="220" w:type="dxa"/>
            <w:vAlign w:val="bottom"/>
            <w:tcBorders>
              <w:top w:val="single" w:sz="8" w:color="939598"/>
              <w:bottom w:val="single" w:sz="8" w:color="F3F3F4"/>
            </w:tcBorders>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939598"/>
              <w:bottom w:val="single" w:sz="8" w:color="F3F3F4"/>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tcBorders>
              <w:top w:val="single" w:sz="8" w:color="939598"/>
              <w:bottom w:val="single" w:sz="8" w:color="E9EAEB"/>
            </w:tcBorders>
            <w:shd w:val="clear" w:color="auto" w:fill="E9EAEB"/>
          </w:tcPr>
          <w:p>
            <w:pPr>
              <w:spacing w:after="0"/>
              <w:rPr>
                <w:sz w:val="24"/>
                <w:szCs w:val="24"/>
                <w:color w:val="auto"/>
              </w:rPr>
            </w:pPr>
          </w:p>
        </w:tc>
        <w:tc>
          <w:tcPr>
            <w:tcW w:w="100" w:type="dxa"/>
            <w:vAlign w:val="bottom"/>
            <w:tcBorders>
              <w:top w:val="single" w:sz="8" w:color="939598"/>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939598"/>
              <w:bottom w:val="single" w:sz="8" w:color="E9EAEB"/>
            </w:tcBorders>
            <w:shd w:val="clear" w:color="auto" w:fill="E9EAEB"/>
          </w:tcPr>
          <w:p>
            <w:pPr>
              <w:spacing w:after="0"/>
              <w:rPr>
                <w:sz w:val="24"/>
                <w:szCs w:val="24"/>
                <w:color w:val="auto"/>
              </w:rPr>
            </w:pPr>
          </w:p>
        </w:tc>
        <w:tc>
          <w:tcPr>
            <w:tcW w:w="340" w:type="dxa"/>
            <w:vAlign w:val="bottom"/>
            <w:tcBorders>
              <w:top w:val="single" w:sz="8" w:color="939598"/>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top w:val="single" w:sz="8" w:color="939598"/>
              <w:bottom w:val="single" w:sz="8" w:color="E9EAEB"/>
            </w:tcBorders>
            <w:shd w:val="clear" w:color="auto" w:fill="E9EAEB"/>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920" w:type="dxa"/>
            <w:vAlign w:val="bottom"/>
            <w:tcBorders>
              <w:top w:val="single" w:sz="8" w:color="939598"/>
            </w:tcBorders>
            <w:shd w:val="clear" w:color="auto" w:fill="E9EAEB"/>
          </w:tcPr>
          <w:p>
            <w:pPr>
              <w:ind w:left="100"/>
              <w:spacing w:after="0"/>
              <w:rPr>
                <w:sz w:val="20"/>
                <w:szCs w:val="20"/>
                <w:color w:val="auto"/>
              </w:rPr>
            </w:pPr>
            <w:r>
              <w:rPr>
                <w:rFonts w:ascii="Arial" w:cs="Arial" w:eastAsia="Arial" w:hAnsi="Arial"/>
                <w:sz w:val="13"/>
                <w:szCs w:val="13"/>
                <w:b w:val="1"/>
                <w:bCs w:val="1"/>
                <w:color w:val="auto"/>
              </w:rPr>
              <w:t>Benefits:</w:t>
            </w:r>
            <w:r>
              <w:rPr>
                <w:rFonts w:ascii="Arial" w:cs="Arial" w:eastAsia="Arial" w:hAnsi="Arial"/>
                <w:sz w:val="22"/>
                <w:szCs w:val="22"/>
                <w:b w:val="1"/>
                <w:bCs w:val="1"/>
                <w:color w:val="auto"/>
                <w:vertAlign w:val="superscript"/>
              </w:rPr>
              <w:t>7</w:t>
            </w:r>
          </w:p>
        </w:tc>
        <w:tc>
          <w:tcPr>
            <w:tcW w:w="120" w:type="dxa"/>
            <w:vAlign w:val="bottom"/>
            <w:tcBorders>
              <w:top w:val="single" w:sz="8" w:color="939598"/>
            </w:tcBorders>
            <w:shd w:val="clear" w:color="auto" w:fill="F3F3F4"/>
          </w:tcPr>
          <w:p>
            <w:pPr>
              <w:spacing w:after="0"/>
              <w:rPr>
                <w:sz w:val="24"/>
                <w:szCs w:val="24"/>
                <w:color w:val="auto"/>
              </w:rPr>
            </w:pPr>
          </w:p>
        </w:tc>
        <w:tc>
          <w:tcPr>
            <w:tcW w:w="120" w:type="dxa"/>
            <w:vAlign w:val="bottom"/>
            <w:tcBorders>
              <w:top w:val="single" w:sz="8" w:color="939598"/>
            </w:tcBorders>
            <w:shd w:val="clear" w:color="auto" w:fill="F3F3F4"/>
          </w:tcPr>
          <w:p>
            <w:pPr>
              <w:spacing w:after="0"/>
              <w:rPr>
                <w:sz w:val="24"/>
                <w:szCs w:val="24"/>
                <w:color w:val="auto"/>
              </w:rPr>
            </w:pPr>
          </w:p>
        </w:tc>
        <w:tc>
          <w:tcPr>
            <w:tcW w:w="1180" w:type="dxa"/>
            <w:vAlign w:val="bottom"/>
            <w:tcBorders>
              <w:top w:val="single" w:sz="8" w:color="939598"/>
              <w:right w:val="single" w:sz="8" w:color="F3F3F4"/>
            </w:tcBorders>
            <w:shd w:val="clear" w:color="auto" w:fill="F3F3F4"/>
          </w:tcPr>
          <w:p>
            <w:pPr>
              <w:spacing w:after="0"/>
              <w:rPr>
                <w:sz w:val="24"/>
                <w:szCs w:val="24"/>
                <w:color w:val="auto"/>
              </w:rPr>
            </w:pPr>
          </w:p>
        </w:tc>
        <w:tc>
          <w:tcPr>
            <w:tcW w:w="240" w:type="dxa"/>
            <w:vAlign w:val="bottom"/>
            <w:tcBorders>
              <w:top w:val="single" w:sz="8" w:color="939598"/>
              <w:right w:val="single" w:sz="8" w:color="E9EAEB"/>
            </w:tcBorders>
            <w:shd w:val="clear" w:color="auto" w:fill="F3F3F4"/>
          </w:tcPr>
          <w:p>
            <w:pPr>
              <w:spacing w:after="0"/>
              <w:rPr>
                <w:sz w:val="24"/>
                <w:szCs w:val="24"/>
                <w:color w:val="auto"/>
              </w:rPr>
            </w:pPr>
          </w:p>
        </w:tc>
        <w:tc>
          <w:tcPr>
            <w:tcW w:w="170" w:type="dxa"/>
            <w:vAlign w:val="bottom"/>
            <w:tcBorders>
              <w:top w:val="single" w:sz="8" w:color="939598"/>
            </w:tcBorders>
            <w:shd w:val="clear" w:color="auto" w:fill="E9EAEB"/>
          </w:tcPr>
          <w:p>
            <w:pPr>
              <w:spacing w:after="0"/>
              <w:rPr>
                <w:sz w:val="24"/>
                <w:szCs w:val="24"/>
                <w:color w:val="auto"/>
              </w:rPr>
            </w:pPr>
          </w:p>
        </w:tc>
        <w:tc>
          <w:tcPr>
            <w:tcW w:w="610" w:type="dxa"/>
            <w:vAlign w:val="bottom"/>
            <w:tcBorders>
              <w:top w:val="single" w:sz="8" w:color="939598"/>
              <w:right w:val="single" w:sz="8" w:color="E9EAEB"/>
            </w:tcBorders>
            <w:shd w:val="clear" w:color="auto" w:fill="E9EAEB"/>
          </w:tcPr>
          <w:p>
            <w:pPr>
              <w:spacing w:after="0"/>
              <w:rPr>
                <w:sz w:val="24"/>
                <w:szCs w:val="24"/>
                <w:color w:val="auto"/>
              </w:rPr>
            </w:pPr>
          </w:p>
        </w:tc>
        <w:tc>
          <w:tcPr>
            <w:tcW w:w="240" w:type="dxa"/>
            <w:vAlign w:val="bottom"/>
            <w:tcBorders>
              <w:top w:val="single" w:sz="8" w:color="939598"/>
              <w:right w:val="single" w:sz="8" w:color="F3F3F4"/>
            </w:tcBorders>
            <w:shd w:val="clear" w:color="auto" w:fill="E9EAEB"/>
          </w:tcPr>
          <w:p>
            <w:pPr>
              <w:spacing w:after="0"/>
              <w:rPr>
                <w:sz w:val="24"/>
                <w:szCs w:val="24"/>
                <w:color w:val="auto"/>
              </w:rPr>
            </w:pPr>
          </w:p>
        </w:tc>
        <w:tc>
          <w:tcPr>
            <w:tcW w:w="220" w:type="dxa"/>
            <w:vAlign w:val="bottom"/>
            <w:tcBorders>
              <w:top w:val="single" w:sz="8" w:color="939598"/>
            </w:tcBorders>
            <w:shd w:val="clear" w:color="auto" w:fill="F3F3F4"/>
          </w:tcPr>
          <w:p>
            <w:pPr>
              <w:spacing w:after="0"/>
              <w:rPr>
                <w:sz w:val="24"/>
                <w:szCs w:val="24"/>
                <w:color w:val="auto"/>
              </w:rPr>
            </w:pPr>
          </w:p>
        </w:tc>
        <w:tc>
          <w:tcPr>
            <w:tcW w:w="1020" w:type="dxa"/>
            <w:vAlign w:val="bottom"/>
            <w:tcBorders>
              <w:top w:val="single" w:sz="8" w:color="939598"/>
              <w:right w:val="single" w:sz="8" w:color="F3F3F4"/>
            </w:tcBorders>
            <w:shd w:val="clear" w:color="auto" w:fill="F3F3F4"/>
          </w:tcPr>
          <w:p>
            <w:pPr>
              <w:spacing w:after="0"/>
              <w:rPr>
                <w:sz w:val="24"/>
                <w:szCs w:val="24"/>
                <w:color w:val="auto"/>
              </w:rPr>
            </w:pPr>
          </w:p>
        </w:tc>
        <w:tc>
          <w:tcPr>
            <w:tcW w:w="220" w:type="dxa"/>
            <w:vAlign w:val="bottom"/>
            <w:tcBorders>
              <w:top w:val="single" w:sz="8" w:color="939598"/>
              <w:right w:val="single" w:sz="8" w:color="E9EAEB"/>
            </w:tcBorders>
            <w:shd w:val="clear" w:color="auto" w:fill="F3F3F4"/>
          </w:tcPr>
          <w:p>
            <w:pPr>
              <w:spacing w:after="0"/>
              <w:rPr>
                <w:sz w:val="24"/>
                <w:szCs w:val="24"/>
                <w:color w:val="auto"/>
              </w:rPr>
            </w:pPr>
          </w:p>
        </w:tc>
        <w:tc>
          <w:tcPr>
            <w:tcW w:w="140" w:type="dxa"/>
            <w:vAlign w:val="bottom"/>
            <w:tcBorders>
              <w:top w:val="single" w:sz="8" w:color="939598"/>
            </w:tcBorders>
            <w:shd w:val="clear" w:color="auto" w:fill="E9EAEB"/>
          </w:tcPr>
          <w:p>
            <w:pPr>
              <w:spacing w:after="0"/>
              <w:rPr>
                <w:sz w:val="24"/>
                <w:szCs w:val="24"/>
                <w:color w:val="auto"/>
              </w:rPr>
            </w:pPr>
          </w:p>
        </w:tc>
        <w:tc>
          <w:tcPr>
            <w:tcW w:w="1100" w:type="dxa"/>
            <w:vAlign w:val="bottom"/>
            <w:tcBorders>
              <w:top w:val="single" w:sz="8" w:color="939598"/>
              <w:right w:val="single" w:sz="8" w:color="E9EAEB"/>
            </w:tcBorders>
            <w:shd w:val="clear" w:color="auto" w:fill="E9EAEB"/>
          </w:tcPr>
          <w:p>
            <w:pPr>
              <w:spacing w:after="0"/>
              <w:rPr>
                <w:sz w:val="24"/>
                <w:szCs w:val="24"/>
                <w:color w:val="auto"/>
              </w:rPr>
            </w:pPr>
          </w:p>
        </w:tc>
        <w:tc>
          <w:tcPr>
            <w:tcW w:w="100" w:type="dxa"/>
            <w:vAlign w:val="bottom"/>
            <w:tcBorders>
              <w:top w:val="single" w:sz="8" w:color="939598"/>
            </w:tcBorders>
            <w:shd w:val="clear" w:color="auto" w:fill="E9EAEB"/>
          </w:tcPr>
          <w:p>
            <w:pPr>
              <w:spacing w:after="0"/>
              <w:rPr>
                <w:sz w:val="24"/>
                <w:szCs w:val="24"/>
                <w:color w:val="auto"/>
              </w:rPr>
            </w:pPr>
          </w:p>
        </w:tc>
        <w:tc>
          <w:tcPr>
            <w:tcW w:w="100" w:type="dxa"/>
            <w:vAlign w:val="bottom"/>
            <w:tcBorders>
              <w:top w:val="single" w:sz="8" w:color="939598"/>
            </w:tcBorders>
            <w:shd w:val="clear" w:color="auto" w:fill="F3F3F4"/>
          </w:tcPr>
          <w:p>
            <w:pPr>
              <w:spacing w:after="0"/>
              <w:rPr>
                <w:sz w:val="24"/>
                <w:szCs w:val="24"/>
                <w:color w:val="auto"/>
              </w:rPr>
            </w:pPr>
          </w:p>
        </w:tc>
        <w:tc>
          <w:tcPr>
            <w:tcW w:w="220" w:type="dxa"/>
            <w:vAlign w:val="bottom"/>
            <w:tcBorders>
              <w:top w:val="single" w:sz="8" w:color="939598"/>
            </w:tcBorders>
            <w:shd w:val="clear" w:color="auto" w:fill="F3F3F4"/>
          </w:tcPr>
          <w:p>
            <w:pPr>
              <w:spacing w:after="0"/>
              <w:rPr>
                <w:sz w:val="24"/>
                <w:szCs w:val="24"/>
                <w:color w:val="auto"/>
              </w:rPr>
            </w:pPr>
          </w:p>
        </w:tc>
        <w:tc>
          <w:tcPr>
            <w:tcW w:w="1100" w:type="dxa"/>
            <w:vAlign w:val="bottom"/>
            <w:tcBorders>
              <w:top w:val="single" w:sz="8" w:color="939598"/>
              <w:right w:val="single" w:sz="8" w:color="F3F3F4"/>
            </w:tcBorders>
            <w:shd w:val="clear" w:color="auto" w:fill="F3F3F4"/>
          </w:tcPr>
          <w:p>
            <w:pPr>
              <w:spacing w:after="0"/>
              <w:rPr>
                <w:sz w:val="24"/>
                <w:szCs w:val="24"/>
                <w:color w:val="auto"/>
              </w:rPr>
            </w:pPr>
          </w:p>
        </w:tc>
        <w:tc>
          <w:tcPr>
            <w:tcW w:w="100" w:type="dxa"/>
            <w:vAlign w:val="bottom"/>
            <w:tcBorders>
              <w:top w:val="single" w:sz="8" w:color="939598"/>
            </w:tcBorders>
            <w:shd w:val="clear" w:color="auto" w:fill="E9EAEB"/>
          </w:tcPr>
          <w:p>
            <w:pPr>
              <w:spacing w:after="0"/>
              <w:rPr>
                <w:sz w:val="24"/>
                <w:szCs w:val="24"/>
                <w:color w:val="auto"/>
              </w:rPr>
            </w:pPr>
          </w:p>
        </w:tc>
        <w:tc>
          <w:tcPr>
            <w:tcW w:w="100" w:type="dxa"/>
            <w:vAlign w:val="bottom"/>
            <w:tcBorders>
              <w:top w:val="single" w:sz="8" w:color="939598"/>
            </w:tcBorders>
            <w:shd w:val="clear" w:color="auto" w:fill="E9EAEB"/>
          </w:tcPr>
          <w:p>
            <w:pPr>
              <w:spacing w:after="0"/>
              <w:rPr>
                <w:sz w:val="24"/>
                <w:szCs w:val="24"/>
                <w:color w:val="auto"/>
              </w:rPr>
            </w:pPr>
          </w:p>
        </w:tc>
        <w:tc>
          <w:tcPr>
            <w:tcW w:w="780" w:type="dxa"/>
            <w:vAlign w:val="bottom"/>
            <w:tcBorders>
              <w:top w:val="single" w:sz="8" w:color="939598"/>
            </w:tcBorders>
            <w:shd w:val="clear" w:color="auto" w:fill="E9EAEB"/>
          </w:tcPr>
          <w:p>
            <w:pPr>
              <w:spacing w:after="0"/>
              <w:rPr>
                <w:sz w:val="24"/>
                <w:szCs w:val="24"/>
                <w:color w:val="auto"/>
              </w:rPr>
            </w:pPr>
          </w:p>
        </w:tc>
        <w:tc>
          <w:tcPr>
            <w:tcW w:w="340" w:type="dxa"/>
            <w:vAlign w:val="bottom"/>
            <w:tcBorders>
              <w:top w:val="single" w:sz="8" w:color="939598"/>
            </w:tcBorders>
            <w:shd w:val="clear" w:color="auto" w:fill="E9EAEB"/>
          </w:tcPr>
          <w:p>
            <w:pPr>
              <w:spacing w:after="0"/>
              <w:rPr>
                <w:sz w:val="24"/>
                <w:szCs w:val="24"/>
                <w:color w:val="auto"/>
              </w:rPr>
            </w:pPr>
          </w:p>
        </w:tc>
        <w:tc>
          <w:tcPr>
            <w:tcW w:w="100" w:type="dxa"/>
            <w:vAlign w:val="bottom"/>
            <w:tcBorders>
              <w:top w:val="single" w:sz="8" w:color="939598"/>
            </w:tcBorders>
            <w:shd w:val="clear" w:color="auto" w:fill="E9EAEB"/>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E9EAEB"/>
          </w:tcPr>
          <w:p>
            <w:pPr>
              <w:ind w:left="100"/>
              <w:spacing w:after="0"/>
              <w:rPr>
                <w:sz w:val="20"/>
                <w:szCs w:val="20"/>
                <w:color w:val="auto"/>
              </w:rPr>
            </w:pPr>
            <w:r>
              <w:rPr>
                <w:rFonts w:ascii="Arial" w:cs="Arial" w:eastAsia="Arial" w:hAnsi="Arial"/>
                <w:sz w:val="13"/>
                <w:szCs w:val="13"/>
                <w:color w:val="auto"/>
              </w:rPr>
              <w:t>Broad-based benefits</w:t>
            </w:r>
          </w:p>
        </w:tc>
        <w:tc>
          <w:tcPr>
            <w:tcW w:w="120" w:type="dxa"/>
            <w:vAlign w:val="bottom"/>
            <w:shd w:val="clear" w:color="auto" w:fill="F3F3F4"/>
          </w:tcPr>
          <w:p>
            <w:pPr>
              <w:spacing w:after="0"/>
              <w:rPr>
                <w:sz w:val="15"/>
                <w:szCs w:val="15"/>
                <w:color w:val="auto"/>
              </w:rPr>
            </w:pPr>
          </w:p>
        </w:tc>
        <w:tc>
          <w:tcPr>
            <w:tcW w:w="120" w:type="dxa"/>
            <w:vAlign w:val="bottom"/>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84,038</w:t>
            </w:r>
          </w:p>
        </w:tc>
        <w:tc>
          <w:tcPr>
            <w:tcW w:w="240" w:type="dxa"/>
            <w:vAlign w:val="bottom"/>
            <w:tcBorders>
              <w:right w:val="single" w:sz="8" w:color="E9EAEB"/>
            </w:tcBorders>
            <w:shd w:val="clear" w:color="auto" w:fill="F3F3F4"/>
          </w:tcPr>
          <w:p>
            <w:pPr>
              <w:spacing w:after="0"/>
              <w:rPr>
                <w:sz w:val="15"/>
                <w:szCs w:val="15"/>
                <w:color w:val="auto"/>
              </w:rPr>
            </w:pPr>
          </w:p>
        </w:tc>
        <w:tc>
          <w:tcPr>
            <w:tcW w:w="170" w:type="dxa"/>
            <w:vAlign w:val="bottom"/>
            <w:shd w:val="clear" w:color="auto" w:fill="E9EAEB"/>
          </w:tcPr>
          <w:p>
            <w:pPr>
              <w:jc w:val="right"/>
              <w:ind w:right="12"/>
              <w:spacing w:after="0"/>
              <w:rPr>
                <w:sz w:val="20"/>
                <w:szCs w:val="20"/>
                <w:color w:val="auto"/>
              </w:rPr>
            </w:pPr>
            <w:r>
              <w:rPr>
                <w:rFonts w:ascii="Arial" w:cs="Arial" w:eastAsia="Arial" w:hAnsi="Arial"/>
                <w:sz w:val="13"/>
                <w:szCs w:val="13"/>
                <w:color w:val="auto"/>
              </w:rPr>
              <w:t>$</w:t>
            </w:r>
          </w:p>
        </w:tc>
        <w:tc>
          <w:tcPr>
            <w:tcW w:w="610" w:type="dxa"/>
            <w:vAlign w:val="bottom"/>
            <w:tcBorders>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E9EAEB"/>
          </w:tcPr>
          <w:p>
            <w:pPr>
              <w:spacing w:after="0"/>
              <w:rPr>
                <w:sz w:val="15"/>
                <w:szCs w:val="15"/>
                <w:color w:val="auto"/>
              </w:rPr>
            </w:pPr>
          </w:p>
        </w:tc>
        <w:tc>
          <w:tcPr>
            <w:tcW w:w="220" w:type="dxa"/>
            <w:vAlign w:val="bottom"/>
            <w:shd w:val="clear" w:color="auto" w:fill="F3F3F4"/>
          </w:tcPr>
          <w:p>
            <w:pPr>
              <w:jc w:val="right"/>
              <w:ind w:right="62"/>
              <w:spacing w:after="0"/>
              <w:rPr>
                <w:sz w:val="20"/>
                <w:szCs w:val="20"/>
                <w:color w:val="auto"/>
              </w:rPr>
            </w:pPr>
            <w:r>
              <w:rPr>
                <w:rFonts w:ascii="Arial" w:cs="Arial" w:eastAsia="Arial" w:hAnsi="Arial"/>
                <w:sz w:val="13"/>
                <w:szCs w:val="13"/>
                <w:color w:val="auto"/>
              </w:rPr>
              <w:t>$</w:t>
            </w:r>
          </w:p>
        </w:tc>
        <w:tc>
          <w:tcPr>
            <w:tcW w:w="102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right w:val="single" w:sz="8" w:color="E9EAEB"/>
            </w:tcBorders>
            <w:shd w:val="clear" w:color="auto" w:fill="F3F3F4"/>
          </w:tcPr>
          <w:p>
            <w:pPr>
              <w:spacing w:after="0"/>
              <w:rPr>
                <w:sz w:val="15"/>
                <w:szCs w:val="15"/>
                <w:color w:val="auto"/>
              </w:rPr>
            </w:pPr>
          </w:p>
        </w:tc>
        <w:tc>
          <w:tcPr>
            <w:tcW w:w="140" w:type="dxa"/>
            <w:vAlign w:val="bottom"/>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11,182</w:t>
            </w:r>
          </w:p>
        </w:tc>
        <w:tc>
          <w:tcPr>
            <w:tcW w:w="100" w:type="dxa"/>
            <w:vAlign w:val="bottom"/>
            <w:shd w:val="clear" w:color="auto" w:fill="E9EAEB"/>
          </w:tcPr>
          <w:p>
            <w:pPr>
              <w:spacing w:after="0"/>
              <w:rPr>
                <w:sz w:val="15"/>
                <w:szCs w:val="15"/>
                <w:color w:val="auto"/>
              </w:rPr>
            </w:pPr>
          </w:p>
        </w:tc>
        <w:tc>
          <w:tcPr>
            <w:tcW w:w="100" w:type="dxa"/>
            <w:vAlign w:val="bottom"/>
            <w:shd w:val="clear" w:color="auto" w:fill="F3F3F4"/>
          </w:tcPr>
          <w:p>
            <w:pPr>
              <w:spacing w:after="0"/>
              <w:rPr>
                <w:sz w:val="15"/>
                <w:szCs w:val="15"/>
                <w:color w:val="auto"/>
              </w:rPr>
            </w:pPr>
          </w:p>
        </w:tc>
        <w:tc>
          <w:tcPr>
            <w:tcW w:w="220" w:type="dxa"/>
            <w:vAlign w:val="bottom"/>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E9EAEB"/>
          </w:tcPr>
          <w:p>
            <w:pPr>
              <w:spacing w:after="0"/>
              <w:rPr>
                <w:sz w:val="15"/>
                <w:szCs w:val="15"/>
                <w:color w:val="auto"/>
              </w:rPr>
            </w:pPr>
          </w:p>
        </w:tc>
        <w:tc>
          <w:tcPr>
            <w:tcW w:w="100" w:type="dxa"/>
            <w:vAlign w:val="bottom"/>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9EAEB"/>
          </w:tcPr>
          <w:p>
            <w:pPr>
              <w:spacing w:after="0"/>
              <w:rPr>
                <w:sz w:val="15"/>
                <w:szCs w:val="15"/>
                <w:color w:val="auto"/>
              </w:rPr>
            </w:pPr>
          </w:p>
        </w:tc>
        <w:tc>
          <w:tcPr>
            <w:tcW w:w="340" w:type="dxa"/>
            <w:vAlign w:val="bottom"/>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E9EAEB"/>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E9EAEB"/>
          </w:tcPr>
          <w:p>
            <w:pPr>
              <w:ind w:left="100"/>
              <w:spacing w:after="0"/>
              <w:rPr>
                <w:sz w:val="20"/>
                <w:szCs w:val="20"/>
                <w:color w:val="auto"/>
              </w:rPr>
            </w:pPr>
            <w:r>
              <w:rPr>
                <w:rFonts w:ascii="Arial" w:cs="Arial" w:eastAsia="Arial" w:hAnsi="Arial"/>
                <w:sz w:val="13"/>
                <w:szCs w:val="13"/>
                <w:color w:val="auto"/>
              </w:rPr>
              <w:t>Pension benefits</w:t>
            </w:r>
          </w:p>
        </w:tc>
        <w:tc>
          <w:tcPr>
            <w:tcW w:w="120" w:type="dxa"/>
            <w:vAlign w:val="bottom"/>
            <w:shd w:val="clear" w:color="auto" w:fill="F3F3F4"/>
          </w:tcPr>
          <w:p>
            <w:pPr>
              <w:spacing w:after="0"/>
              <w:rPr>
                <w:sz w:val="17"/>
                <w:szCs w:val="17"/>
                <w:color w:val="auto"/>
              </w:rPr>
            </w:pPr>
          </w:p>
        </w:tc>
        <w:tc>
          <w:tcPr>
            <w:tcW w:w="120" w:type="dxa"/>
            <w:vAlign w:val="bottom"/>
            <w:shd w:val="clear" w:color="auto" w:fill="F3F3F4"/>
          </w:tcPr>
          <w:p>
            <w:pPr>
              <w:spacing w:after="0"/>
              <w:rPr>
                <w:sz w:val="17"/>
                <w:szCs w:val="17"/>
                <w:color w:val="auto"/>
              </w:rPr>
            </w:pPr>
          </w:p>
        </w:tc>
        <w:tc>
          <w:tcPr>
            <w:tcW w:w="118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E9EAEB"/>
            </w:tcBorders>
            <w:shd w:val="clear" w:color="auto" w:fill="F3F3F4"/>
          </w:tcPr>
          <w:p>
            <w:pPr>
              <w:spacing w:after="0"/>
              <w:rPr>
                <w:sz w:val="17"/>
                <w:szCs w:val="17"/>
                <w:color w:val="auto"/>
              </w:rPr>
            </w:pPr>
          </w:p>
        </w:tc>
        <w:tc>
          <w:tcPr>
            <w:tcW w:w="170" w:type="dxa"/>
            <w:vAlign w:val="bottom"/>
            <w:shd w:val="clear" w:color="auto" w:fill="E9EAEB"/>
          </w:tcPr>
          <w:p>
            <w:pPr>
              <w:spacing w:after="0"/>
              <w:rPr>
                <w:sz w:val="17"/>
                <w:szCs w:val="17"/>
                <w:color w:val="auto"/>
              </w:rPr>
            </w:pPr>
          </w:p>
        </w:tc>
        <w:tc>
          <w:tcPr>
            <w:tcW w:w="610" w:type="dxa"/>
            <w:vAlign w:val="bottom"/>
            <w:tcBorders>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E9EAEB"/>
          </w:tcPr>
          <w:p>
            <w:pPr>
              <w:spacing w:after="0"/>
              <w:rPr>
                <w:sz w:val="17"/>
                <w:szCs w:val="17"/>
                <w:color w:val="auto"/>
              </w:rPr>
            </w:pPr>
          </w:p>
        </w:tc>
        <w:tc>
          <w:tcPr>
            <w:tcW w:w="220" w:type="dxa"/>
            <w:vAlign w:val="bottom"/>
            <w:shd w:val="clear" w:color="auto" w:fill="F3F3F4"/>
          </w:tcPr>
          <w:p>
            <w:pPr>
              <w:spacing w:after="0"/>
              <w:rPr>
                <w:sz w:val="17"/>
                <w:szCs w:val="17"/>
                <w:color w:val="auto"/>
              </w:rPr>
            </w:pPr>
          </w:p>
        </w:tc>
        <w:tc>
          <w:tcPr>
            <w:tcW w:w="102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right w:val="single" w:sz="8" w:color="E9EAEB"/>
            </w:tcBorders>
            <w:shd w:val="clear" w:color="auto" w:fill="F3F3F4"/>
          </w:tcPr>
          <w:p>
            <w:pPr>
              <w:spacing w:after="0"/>
              <w:rPr>
                <w:sz w:val="17"/>
                <w:szCs w:val="17"/>
                <w:color w:val="auto"/>
              </w:rPr>
            </w:pPr>
          </w:p>
        </w:tc>
        <w:tc>
          <w:tcPr>
            <w:tcW w:w="140" w:type="dxa"/>
            <w:vAlign w:val="bottom"/>
            <w:shd w:val="clear" w:color="auto" w:fill="E9EAEB"/>
          </w:tcPr>
          <w:p>
            <w:pPr>
              <w:spacing w:after="0"/>
              <w:rPr>
                <w:sz w:val="17"/>
                <w:szCs w:val="17"/>
                <w:color w:val="auto"/>
              </w:rPr>
            </w:pPr>
          </w:p>
        </w:tc>
        <w:tc>
          <w:tcPr>
            <w:tcW w:w="1100" w:type="dxa"/>
            <w:vAlign w:val="bottom"/>
            <w:tcBorders>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E9EAEB"/>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220" w:type="dxa"/>
            <w:vAlign w:val="bottom"/>
            <w:shd w:val="clear" w:color="auto" w:fill="F3F3F4"/>
          </w:tcPr>
          <w:p>
            <w:pPr>
              <w:spacing w:after="0"/>
              <w:rPr>
                <w:sz w:val="17"/>
                <w:szCs w:val="17"/>
                <w:color w:val="auto"/>
              </w:rPr>
            </w:pPr>
          </w:p>
        </w:tc>
        <w:tc>
          <w:tcPr>
            <w:tcW w:w="1100" w:type="dxa"/>
            <w:vAlign w:val="bottom"/>
            <w:tcBorders>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E9EAEB"/>
          </w:tcPr>
          <w:p>
            <w:pPr>
              <w:spacing w:after="0"/>
              <w:rPr>
                <w:sz w:val="17"/>
                <w:szCs w:val="17"/>
                <w:color w:val="auto"/>
              </w:rPr>
            </w:pPr>
          </w:p>
        </w:tc>
        <w:tc>
          <w:tcPr>
            <w:tcW w:w="100" w:type="dxa"/>
            <w:vAlign w:val="bottom"/>
            <w:shd w:val="clear" w:color="auto" w:fill="E9EAEB"/>
          </w:tcPr>
          <w:p>
            <w:pPr>
              <w:spacing w:after="0"/>
              <w:rPr>
                <w:sz w:val="17"/>
                <w:szCs w:val="17"/>
                <w:color w:val="auto"/>
              </w:rPr>
            </w:pPr>
          </w:p>
        </w:tc>
        <w:tc>
          <w:tcPr>
            <w:tcW w:w="780" w:type="dxa"/>
            <w:vAlign w:val="bottom"/>
            <w:shd w:val="clear" w:color="auto" w:fill="E9EAEB"/>
          </w:tcPr>
          <w:p>
            <w:pPr>
              <w:spacing w:after="0"/>
              <w:rPr>
                <w:sz w:val="17"/>
                <w:szCs w:val="17"/>
                <w:color w:val="auto"/>
              </w:rPr>
            </w:pPr>
          </w:p>
        </w:tc>
        <w:tc>
          <w:tcPr>
            <w:tcW w:w="340" w:type="dxa"/>
            <w:vAlign w:val="bottom"/>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E9EAE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Borders>
              <w:bottom w:val="single" w:sz="8" w:color="E9EAEB"/>
            </w:tcBorders>
            <w:shd w:val="clear" w:color="auto" w:fill="E9EAEB"/>
          </w:tcPr>
          <w:p>
            <w:pPr>
              <w:ind w:left="100"/>
              <w:spacing w:after="0"/>
              <w:rPr>
                <w:sz w:val="20"/>
                <w:szCs w:val="20"/>
                <w:color w:val="auto"/>
              </w:rPr>
            </w:pPr>
            <w:r>
              <w:rPr>
                <w:rFonts w:ascii="Arial" w:cs="Arial" w:eastAsia="Arial" w:hAnsi="Arial"/>
                <w:sz w:val="13"/>
                <w:szCs w:val="13"/>
                <w:color w:val="auto"/>
              </w:rPr>
              <w:t>Other executive benefits/perquisites</w:t>
            </w:r>
          </w:p>
        </w:tc>
        <w:tc>
          <w:tcPr>
            <w:tcW w:w="120" w:type="dxa"/>
            <w:vAlign w:val="bottom"/>
            <w:tcBorders>
              <w:bottom w:val="single" w:sz="8" w:color="F3F3F4"/>
            </w:tcBorders>
            <w:shd w:val="clear" w:color="auto" w:fill="F3F3F4"/>
          </w:tcPr>
          <w:p>
            <w:pPr>
              <w:spacing w:after="0"/>
              <w:rPr>
                <w:sz w:val="17"/>
                <w:szCs w:val="17"/>
                <w:color w:val="auto"/>
              </w:rPr>
            </w:pPr>
          </w:p>
        </w:tc>
        <w:tc>
          <w:tcPr>
            <w:tcW w:w="120" w:type="dxa"/>
            <w:vAlign w:val="bottom"/>
            <w:tcBorders>
              <w:bottom w:val="single" w:sz="8" w:color="auto"/>
            </w:tcBorders>
            <w:shd w:val="clear" w:color="auto" w:fill="F3F3F4"/>
          </w:tcPr>
          <w:p>
            <w:pPr>
              <w:spacing w:after="0"/>
              <w:rPr>
                <w:sz w:val="17"/>
                <w:szCs w:val="17"/>
                <w:color w:val="auto"/>
              </w:rPr>
            </w:pPr>
          </w:p>
        </w:tc>
        <w:tc>
          <w:tcPr>
            <w:tcW w:w="1180" w:type="dxa"/>
            <w:vAlign w:val="bottom"/>
            <w:tcBorders>
              <w:bottom w:val="single" w:sz="8" w:color="auto"/>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12,000</w:t>
            </w:r>
          </w:p>
        </w:tc>
        <w:tc>
          <w:tcPr>
            <w:tcW w:w="240" w:type="dxa"/>
            <w:vAlign w:val="bottom"/>
            <w:tcBorders>
              <w:bottom w:val="single" w:sz="8" w:color="F3F3F4"/>
              <w:right w:val="single" w:sz="8" w:color="E9EAEB"/>
            </w:tcBorders>
            <w:shd w:val="clear" w:color="auto" w:fill="F3F3F4"/>
          </w:tcPr>
          <w:p>
            <w:pPr>
              <w:spacing w:after="0"/>
              <w:rPr>
                <w:sz w:val="17"/>
                <w:szCs w:val="17"/>
                <w:color w:val="auto"/>
              </w:rPr>
            </w:pPr>
          </w:p>
        </w:tc>
        <w:tc>
          <w:tcPr>
            <w:tcW w:w="170" w:type="dxa"/>
            <w:vAlign w:val="bottom"/>
            <w:tcBorders>
              <w:bottom w:val="single" w:sz="8" w:color="auto"/>
            </w:tcBorders>
            <w:shd w:val="clear" w:color="auto" w:fill="E9EAEB"/>
          </w:tcPr>
          <w:p>
            <w:pPr>
              <w:spacing w:after="0"/>
              <w:rPr>
                <w:sz w:val="17"/>
                <w:szCs w:val="17"/>
                <w:color w:val="auto"/>
              </w:rPr>
            </w:pPr>
          </w:p>
        </w:tc>
        <w:tc>
          <w:tcPr>
            <w:tcW w:w="610" w:type="dxa"/>
            <w:vAlign w:val="bottom"/>
            <w:tcBorders>
              <w:bottom w:val="single" w:sz="8" w:color="auto"/>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bottom w:val="single" w:sz="8" w:color="E9EAEB"/>
              <w:right w:val="single" w:sz="8" w:color="F3F3F4"/>
            </w:tcBorders>
            <w:shd w:val="clear" w:color="auto" w:fill="E9EAEB"/>
          </w:tcPr>
          <w:p>
            <w:pPr>
              <w:spacing w:after="0"/>
              <w:rPr>
                <w:sz w:val="17"/>
                <w:szCs w:val="17"/>
                <w:color w:val="auto"/>
              </w:rPr>
            </w:pPr>
          </w:p>
        </w:tc>
        <w:tc>
          <w:tcPr>
            <w:tcW w:w="220" w:type="dxa"/>
            <w:vAlign w:val="bottom"/>
            <w:tcBorders>
              <w:bottom w:val="single" w:sz="8" w:color="auto"/>
            </w:tcBorders>
            <w:shd w:val="clear" w:color="auto" w:fill="F3F3F4"/>
          </w:tcPr>
          <w:p>
            <w:pPr>
              <w:spacing w:after="0"/>
              <w:rPr>
                <w:sz w:val="17"/>
                <w:szCs w:val="17"/>
                <w:color w:val="auto"/>
              </w:rPr>
            </w:pPr>
          </w:p>
        </w:tc>
        <w:tc>
          <w:tcPr>
            <w:tcW w:w="1020" w:type="dxa"/>
            <w:vAlign w:val="bottom"/>
            <w:tcBorders>
              <w:bottom w:val="single" w:sz="8" w:color="auto"/>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bottom w:val="single" w:sz="8" w:color="F3F3F4"/>
              <w:right w:val="single" w:sz="8" w:color="E9EAEB"/>
            </w:tcBorders>
            <w:shd w:val="clear" w:color="auto" w:fill="F3F3F4"/>
          </w:tcPr>
          <w:p>
            <w:pPr>
              <w:spacing w:after="0"/>
              <w:rPr>
                <w:sz w:val="17"/>
                <w:szCs w:val="17"/>
                <w:color w:val="auto"/>
              </w:rPr>
            </w:pPr>
          </w:p>
        </w:tc>
        <w:tc>
          <w:tcPr>
            <w:tcW w:w="140" w:type="dxa"/>
            <w:vAlign w:val="bottom"/>
            <w:tcBorders>
              <w:bottom w:val="single" w:sz="8" w:color="auto"/>
            </w:tcBorders>
            <w:shd w:val="clear" w:color="auto" w:fill="E9EAEB"/>
          </w:tcPr>
          <w:p>
            <w:pPr>
              <w:spacing w:after="0"/>
              <w:rPr>
                <w:sz w:val="17"/>
                <w:szCs w:val="17"/>
                <w:color w:val="auto"/>
              </w:rPr>
            </w:pPr>
          </w:p>
        </w:tc>
        <w:tc>
          <w:tcPr>
            <w:tcW w:w="1100" w:type="dxa"/>
            <w:vAlign w:val="bottom"/>
            <w:tcBorders>
              <w:bottom w:val="single" w:sz="8" w:color="auto"/>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26,000</w:t>
            </w:r>
          </w:p>
        </w:tc>
        <w:tc>
          <w:tcPr>
            <w:tcW w:w="100" w:type="dxa"/>
            <w:vAlign w:val="bottom"/>
            <w:tcBorders>
              <w:bottom w:val="single" w:sz="8" w:color="E9EAEB"/>
            </w:tcBorders>
            <w:shd w:val="clear" w:color="auto" w:fill="E9EAEB"/>
          </w:tcPr>
          <w:p>
            <w:pPr>
              <w:spacing w:after="0"/>
              <w:rPr>
                <w:sz w:val="17"/>
                <w:szCs w:val="17"/>
                <w:color w:val="auto"/>
              </w:rPr>
            </w:pPr>
          </w:p>
        </w:tc>
        <w:tc>
          <w:tcPr>
            <w:tcW w:w="100" w:type="dxa"/>
            <w:vAlign w:val="bottom"/>
            <w:tcBorders>
              <w:bottom w:val="single" w:sz="8" w:color="F3F3F4"/>
            </w:tcBorders>
            <w:shd w:val="clear" w:color="auto" w:fill="F3F3F4"/>
          </w:tcPr>
          <w:p>
            <w:pPr>
              <w:spacing w:after="0"/>
              <w:rPr>
                <w:sz w:val="17"/>
                <w:szCs w:val="17"/>
                <w:color w:val="auto"/>
              </w:rPr>
            </w:pPr>
          </w:p>
        </w:tc>
        <w:tc>
          <w:tcPr>
            <w:tcW w:w="220" w:type="dxa"/>
            <w:vAlign w:val="bottom"/>
            <w:tcBorders>
              <w:bottom w:val="single" w:sz="8" w:color="auto"/>
            </w:tcBorders>
            <w:shd w:val="clear" w:color="auto" w:fill="F3F3F4"/>
          </w:tcPr>
          <w:p>
            <w:pPr>
              <w:spacing w:after="0"/>
              <w:rPr>
                <w:sz w:val="17"/>
                <w:szCs w:val="17"/>
                <w:color w:val="auto"/>
              </w:rPr>
            </w:pPr>
          </w:p>
        </w:tc>
        <w:tc>
          <w:tcPr>
            <w:tcW w:w="1100" w:type="dxa"/>
            <w:vAlign w:val="bottom"/>
            <w:tcBorders>
              <w:bottom w:val="single" w:sz="8" w:color="auto"/>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17"/>
                <w:szCs w:val="17"/>
                <w:color w:val="auto"/>
              </w:rPr>
            </w:pPr>
          </w:p>
        </w:tc>
        <w:tc>
          <w:tcPr>
            <w:tcW w:w="100" w:type="dxa"/>
            <w:vAlign w:val="bottom"/>
            <w:tcBorders>
              <w:bottom w:val="single" w:sz="8" w:color="auto"/>
            </w:tcBorders>
            <w:shd w:val="clear" w:color="auto" w:fill="E9EAEB"/>
          </w:tcPr>
          <w:p>
            <w:pPr>
              <w:spacing w:after="0"/>
              <w:rPr>
                <w:sz w:val="17"/>
                <w:szCs w:val="17"/>
                <w:color w:val="auto"/>
              </w:rPr>
            </w:pPr>
          </w:p>
        </w:tc>
        <w:tc>
          <w:tcPr>
            <w:tcW w:w="780" w:type="dxa"/>
            <w:vAlign w:val="bottom"/>
            <w:tcBorders>
              <w:bottom w:val="single" w:sz="8" w:color="auto"/>
            </w:tcBorders>
            <w:shd w:val="clear" w:color="auto" w:fill="E9EAEB"/>
          </w:tcPr>
          <w:p>
            <w:pPr>
              <w:spacing w:after="0"/>
              <w:rPr>
                <w:sz w:val="17"/>
                <w:szCs w:val="17"/>
                <w:color w:val="auto"/>
              </w:rPr>
            </w:pPr>
          </w:p>
        </w:tc>
        <w:tc>
          <w:tcPr>
            <w:tcW w:w="340" w:type="dxa"/>
            <w:vAlign w:val="bottom"/>
            <w:tcBorders>
              <w:bottom w:val="single" w:sz="8" w:color="auto"/>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920" w:type="dxa"/>
            <w:vAlign w:val="bottom"/>
            <w:tcBorders>
              <w:bottom w:val="single" w:sz="8" w:color="E9EAEB"/>
            </w:tcBorders>
            <w:shd w:val="clear" w:color="auto" w:fill="E9EAEB"/>
          </w:tcPr>
          <w:p>
            <w:pPr>
              <w:ind w:left="100"/>
              <w:spacing w:after="0"/>
              <w:rPr>
                <w:sz w:val="20"/>
                <w:szCs w:val="20"/>
                <w:color w:val="auto"/>
              </w:rPr>
            </w:pPr>
            <w:r>
              <w:rPr>
                <w:rFonts w:ascii="Arial" w:cs="Arial" w:eastAsia="Arial" w:hAnsi="Arial"/>
                <w:sz w:val="13"/>
                <w:szCs w:val="13"/>
                <w:color w:val="auto"/>
              </w:rPr>
              <w:t>Total Benefits</w:t>
            </w:r>
          </w:p>
        </w:tc>
        <w:tc>
          <w:tcPr>
            <w:tcW w:w="120" w:type="dxa"/>
            <w:vAlign w:val="bottom"/>
            <w:tcBorders>
              <w:bottom w:val="single" w:sz="8" w:color="F3F3F4"/>
            </w:tcBorders>
            <w:shd w:val="clear" w:color="auto" w:fill="F3F3F4"/>
          </w:tcPr>
          <w:p>
            <w:pPr>
              <w:spacing w:after="0"/>
              <w:rPr>
                <w:sz w:val="21"/>
                <w:szCs w:val="21"/>
                <w:color w:val="auto"/>
              </w:rPr>
            </w:pPr>
          </w:p>
        </w:tc>
        <w:tc>
          <w:tcPr>
            <w:tcW w:w="12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96,038</w:t>
            </w:r>
          </w:p>
        </w:tc>
        <w:tc>
          <w:tcPr>
            <w:tcW w:w="240" w:type="dxa"/>
            <w:vAlign w:val="bottom"/>
            <w:tcBorders>
              <w:bottom w:val="single" w:sz="8" w:color="F3F3F4"/>
              <w:right w:val="single" w:sz="8" w:color="E9EAEB"/>
            </w:tcBorders>
            <w:shd w:val="clear" w:color="auto" w:fill="F3F3F4"/>
          </w:tcPr>
          <w:p>
            <w:pPr>
              <w:spacing w:after="0"/>
              <w:rPr>
                <w:sz w:val="21"/>
                <w:szCs w:val="21"/>
                <w:color w:val="auto"/>
              </w:rPr>
            </w:pPr>
          </w:p>
        </w:tc>
        <w:tc>
          <w:tcPr>
            <w:tcW w:w="170" w:type="dxa"/>
            <w:vAlign w:val="bottom"/>
            <w:tcBorders>
              <w:bottom w:val="single" w:sz="8" w:color="E9EAEB"/>
            </w:tcBorders>
            <w:shd w:val="clear" w:color="auto" w:fill="E9EAEB"/>
          </w:tcPr>
          <w:p>
            <w:pPr>
              <w:jc w:val="right"/>
              <w:ind w:right="12"/>
              <w:spacing w:after="0"/>
              <w:rPr>
                <w:sz w:val="20"/>
                <w:szCs w:val="20"/>
                <w:color w:val="auto"/>
              </w:rPr>
            </w:pPr>
            <w:r>
              <w:rPr>
                <w:rFonts w:ascii="Arial" w:cs="Arial" w:eastAsia="Arial" w:hAnsi="Arial"/>
                <w:sz w:val="13"/>
                <w:szCs w:val="13"/>
                <w:color w:val="auto"/>
              </w:rPr>
              <w:t>$</w:t>
            </w:r>
          </w:p>
        </w:tc>
        <w:tc>
          <w:tcPr>
            <w:tcW w:w="610" w:type="dxa"/>
            <w:vAlign w:val="bottom"/>
            <w:tcBorders>
              <w:bottom w:val="single" w:sz="8" w:color="E9EAEB"/>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bottom w:val="single" w:sz="8" w:color="E9EAEB"/>
              <w:right w:val="single" w:sz="8" w:color="F3F3F4"/>
            </w:tcBorders>
            <w:shd w:val="clear" w:color="auto" w:fill="E9EAEB"/>
          </w:tcPr>
          <w:p>
            <w:pPr>
              <w:spacing w:after="0"/>
              <w:rPr>
                <w:sz w:val="21"/>
                <w:szCs w:val="21"/>
                <w:color w:val="auto"/>
              </w:rPr>
            </w:pPr>
          </w:p>
        </w:tc>
        <w:tc>
          <w:tcPr>
            <w:tcW w:w="220" w:type="dxa"/>
            <w:vAlign w:val="bottom"/>
            <w:tcBorders>
              <w:bottom w:val="single" w:sz="8" w:color="F3F3F4"/>
            </w:tcBorders>
            <w:shd w:val="clear" w:color="auto" w:fill="F3F3F4"/>
          </w:tcPr>
          <w:p>
            <w:pPr>
              <w:jc w:val="right"/>
              <w:ind w:right="62"/>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bottom w:val="single" w:sz="8" w:color="F3F3F4"/>
              <w:right w:val="single" w:sz="8" w:color="E9EAEB"/>
            </w:tcBorders>
            <w:shd w:val="clear" w:color="auto" w:fill="F3F3F4"/>
          </w:tcPr>
          <w:p>
            <w:pPr>
              <w:spacing w:after="0"/>
              <w:rPr>
                <w:sz w:val="21"/>
                <w:szCs w:val="21"/>
                <w:color w:val="auto"/>
              </w:rPr>
            </w:pPr>
          </w:p>
        </w:tc>
        <w:tc>
          <w:tcPr>
            <w:tcW w:w="140" w:type="dxa"/>
            <w:vAlign w:val="bottom"/>
            <w:tcBorders>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9EAEB"/>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37,182</w:t>
            </w:r>
          </w:p>
        </w:tc>
        <w:tc>
          <w:tcPr>
            <w:tcW w:w="100" w:type="dxa"/>
            <w:vAlign w:val="bottom"/>
            <w:tcBorders>
              <w:bottom w:val="single" w:sz="8" w:color="E9EAEB"/>
            </w:tcBorders>
            <w:shd w:val="clear" w:color="auto" w:fill="E9EAEB"/>
          </w:tcPr>
          <w:p>
            <w:pPr>
              <w:spacing w:after="0"/>
              <w:rPr>
                <w:sz w:val="21"/>
                <w:szCs w:val="21"/>
                <w:color w:val="auto"/>
              </w:rPr>
            </w:pPr>
          </w:p>
        </w:tc>
        <w:tc>
          <w:tcPr>
            <w:tcW w:w="100" w:type="dxa"/>
            <w:vAlign w:val="bottom"/>
            <w:tcBorders>
              <w:bottom w:val="single" w:sz="8" w:color="F3F3F4"/>
            </w:tcBorders>
            <w:shd w:val="clear" w:color="auto" w:fill="F3F3F4"/>
          </w:tcPr>
          <w:p>
            <w:pPr>
              <w:spacing w:after="0"/>
              <w:rPr>
                <w:sz w:val="21"/>
                <w:szCs w:val="21"/>
                <w:color w:val="auto"/>
              </w:rPr>
            </w:pPr>
          </w:p>
        </w:tc>
        <w:tc>
          <w:tcPr>
            <w:tcW w:w="220" w:type="dxa"/>
            <w:vAlign w:val="bottom"/>
            <w:tcBorders>
              <w:bottom w:val="single" w:sz="8" w:color="F3F3F4"/>
            </w:tcBorders>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F3F3F4"/>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21"/>
                <w:szCs w:val="21"/>
                <w:color w:val="auto"/>
              </w:rPr>
            </w:pPr>
          </w:p>
        </w:tc>
        <w:tc>
          <w:tcPr>
            <w:tcW w:w="100" w:type="dxa"/>
            <w:vAlign w:val="bottom"/>
            <w:tcBorders>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E9EAEB"/>
            </w:tcBorders>
            <w:shd w:val="clear" w:color="auto" w:fill="E9EAEB"/>
          </w:tcPr>
          <w:p>
            <w:pPr>
              <w:spacing w:after="0"/>
              <w:rPr>
                <w:sz w:val="21"/>
                <w:szCs w:val="21"/>
                <w:color w:val="auto"/>
              </w:rPr>
            </w:pPr>
          </w:p>
        </w:tc>
        <w:tc>
          <w:tcPr>
            <w:tcW w:w="340" w:type="dxa"/>
            <w:vAlign w:val="bottom"/>
            <w:tcBorders>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E9EAEB"/>
            </w:tcBorders>
            <w:shd w:val="clear" w:color="auto" w:fill="E9EAEB"/>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2920" w:type="dxa"/>
            <w:vAlign w:val="bottom"/>
            <w:tcBorders>
              <w:top w:val="single" w:sz="8" w:color="939598"/>
              <w:bottom w:val="single" w:sz="8" w:color="E9EAEB"/>
            </w:tcBorders>
            <w:shd w:val="clear" w:color="auto" w:fill="E9EAEB"/>
          </w:tcPr>
          <w:p>
            <w:pPr>
              <w:ind w:left="100"/>
              <w:spacing w:after="0"/>
              <w:rPr>
                <w:sz w:val="20"/>
                <w:szCs w:val="20"/>
                <w:color w:val="auto"/>
              </w:rPr>
            </w:pPr>
            <w:r>
              <w:rPr>
                <w:rFonts w:ascii="Arial" w:cs="Arial" w:eastAsia="Arial" w:hAnsi="Arial"/>
                <w:sz w:val="13"/>
                <w:szCs w:val="13"/>
                <w:b w:val="1"/>
                <w:bCs w:val="1"/>
                <w:color w:val="auto"/>
              </w:rPr>
              <w:t>Total Incremental Compensation</w:t>
            </w:r>
          </w:p>
        </w:tc>
        <w:tc>
          <w:tcPr>
            <w:tcW w:w="120" w:type="dxa"/>
            <w:vAlign w:val="bottom"/>
            <w:tcBorders>
              <w:top w:val="single" w:sz="8" w:color="939598"/>
              <w:bottom w:val="single" w:sz="8" w:color="F3F3F4"/>
            </w:tcBorders>
            <w:shd w:val="clear" w:color="auto" w:fill="F3F3F4"/>
          </w:tcPr>
          <w:p>
            <w:pPr>
              <w:spacing w:after="0"/>
              <w:rPr>
                <w:sz w:val="24"/>
                <w:szCs w:val="24"/>
                <w:color w:val="auto"/>
              </w:rPr>
            </w:pPr>
          </w:p>
        </w:tc>
        <w:tc>
          <w:tcPr>
            <w:tcW w:w="12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939598"/>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5,828,578</w:t>
            </w:r>
          </w:p>
        </w:tc>
        <w:tc>
          <w:tcPr>
            <w:tcW w:w="240" w:type="dxa"/>
            <w:vAlign w:val="bottom"/>
            <w:tcBorders>
              <w:top w:val="single" w:sz="8" w:color="939598"/>
              <w:bottom w:val="single" w:sz="8" w:color="F3F3F4"/>
              <w:right w:val="single" w:sz="8" w:color="E9EAEB"/>
            </w:tcBorders>
            <w:shd w:val="clear" w:color="auto" w:fill="F3F3F4"/>
          </w:tcPr>
          <w:p>
            <w:pPr>
              <w:spacing w:after="0"/>
              <w:rPr>
                <w:sz w:val="24"/>
                <w:szCs w:val="24"/>
                <w:color w:val="auto"/>
              </w:rPr>
            </w:pPr>
          </w:p>
        </w:tc>
        <w:tc>
          <w:tcPr>
            <w:tcW w:w="170" w:type="dxa"/>
            <w:vAlign w:val="bottom"/>
            <w:tcBorders>
              <w:top w:val="single" w:sz="8" w:color="939598"/>
              <w:bottom w:val="single" w:sz="8" w:color="E9EAEB"/>
            </w:tcBorders>
            <w:shd w:val="clear" w:color="auto" w:fill="E9EAEB"/>
          </w:tcPr>
          <w:p>
            <w:pPr>
              <w:jc w:val="right"/>
              <w:ind w:right="12"/>
              <w:spacing w:after="0"/>
              <w:rPr>
                <w:sz w:val="20"/>
                <w:szCs w:val="20"/>
                <w:color w:val="auto"/>
              </w:rPr>
            </w:pPr>
            <w:r>
              <w:rPr>
                <w:rFonts w:ascii="Arial" w:cs="Arial" w:eastAsia="Arial" w:hAnsi="Arial"/>
                <w:sz w:val="13"/>
                <w:szCs w:val="13"/>
                <w:color w:val="auto"/>
              </w:rPr>
              <w:t>$</w:t>
            </w:r>
          </w:p>
        </w:tc>
        <w:tc>
          <w:tcPr>
            <w:tcW w:w="610" w:type="dxa"/>
            <w:vAlign w:val="bottom"/>
            <w:tcBorders>
              <w:top w:val="single" w:sz="8" w:color="939598"/>
              <w:bottom w:val="single" w:sz="8" w:color="E9EAEB"/>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top w:val="single" w:sz="8" w:color="939598"/>
              <w:bottom w:val="single" w:sz="8" w:color="E9EAEB"/>
              <w:right w:val="single" w:sz="8" w:color="F3F3F4"/>
            </w:tcBorders>
            <w:shd w:val="clear" w:color="auto" w:fill="E9EAEB"/>
          </w:tcPr>
          <w:p>
            <w:pPr>
              <w:spacing w:after="0"/>
              <w:rPr>
                <w:sz w:val="24"/>
                <w:szCs w:val="24"/>
                <w:color w:val="auto"/>
              </w:rPr>
            </w:pPr>
          </w:p>
        </w:tc>
        <w:tc>
          <w:tcPr>
            <w:tcW w:w="220" w:type="dxa"/>
            <w:vAlign w:val="bottom"/>
            <w:tcBorders>
              <w:top w:val="single" w:sz="8" w:color="939598"/>
              <w:bottom w:val="single" w:sz="8" w:color="F3F3F4"/>
            </w:tcBorders>
            <w:shd w:val="clear" w:color="auto" w:fill="F3F3F4"/>
          </w:tcPr>
          <w:p>
            <w:pPr>
              <w:jc w:val="right"/>
              <w:ind w:right="62"/>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939598"/>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149,625</w:t>
            </w:r>
          </w:p>
        </w:tc>
        <w:tc>
          <w:tcPr>
            <w:tcW w:w="220" w:type="dxa"/>
            <w:vAlign w:val="bottom"/>
            <w:tcBorders>
              <w:top w:val="single" w:sz="8" w:color="939598"/>
              <w:bottom w:val="single" w:sz="8" w:color="F3F3F4"/>
              <w:right w:val="single" w:sz="8" w:color="E9EAEB"/>
            </w:tcBorders>
            <w:shd w:val="clear" w:color="auto" w:fill="F3F3F4"/>
          </w:tcPr>
          <w:p>
            <w:pPr>
              <w:spacing w:after="0"/>
              <w:rPr>
                <w:sz w:val="24"/>
                <w:szCs w:val="24"/>
                <w:color w:val="auto"/>
              </w:rPr>
            </w:pPr>
          </w:p>
        </w:tc>
        <w:tc>
          <w:tcPr>
            <w:tcW w:w="140" w:type="dxa"/>
            <w:vAlign w:val="bottom"/>
            <w:tcBorders>
              <w:top w:val="single" w:sz="8" w:color="939598"/>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939598"/>
              <w:bottom w:val="single" w:sz="8" w:color="E9EAEB"/>
              <w:right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2,401,182</w:t>
            </w:r>
          </w:p>
        </w:tc>
        <w:tc>
          <w:tcPr>
            <w:tcW w:w="100" w:type="dxa"/>
            <w:vAlign w:val="bottom"/>
            <w:tcBorders>
              <w:top w:val="single" w:sz="8" w:color="939598"/>
              <w:bottom w:val="single" w:sz="8" w:color="E9EAEB"/>
            </w:tcBorders>
            <w:shd w:val="clear" w:color="auto" w:fill="E9EAEB"/>
          </w:tcPr>
          <w:p>
            <w:pPr>
              <w:spacing w:after="0"/>
              <w:rPr>
                <w:sz w:val="24"/>
                <w:szCs w:val="24"/>
                <w:color w:val="auto"/>
              </w:rPr>
            </w:pPr>
          </w:p>
        </w:tc>
        <w:tc>
          <w:tcPr>
            <w:tcW w:w="100" w:type="dxa"/>
            <w:vAlign w:val="bottom"/>
            <w:tcBorders>
              <w:top w:val="single" w:sz="8" w:color="939598"/>
              <w:bottom w:val="single" w:sz="8" w:color="F3F3F4"/>
            </w:tcBorders>
            <w:shd w:val="clear" w:color="auto" w:fill="F3F3F4"/>
          </w:tcPr>
          <w:p>
            <w:pPr>
              <w:spacing w:after="0"/>
              <w:rPr>
                <w:sz w:val="24"/>
                <w:szCs w:val="24"/>
                <w:color w:val="auto"/>
              </w:rPr>
            </w:pPr>
          </w:p>
        </w:tc>
        <w:tc>
          <w:tcPr>
            <w:tcW w:w="220" w:type="dxa"/>
            <w:vAlign w:val="bottom"/>
            <w:tcBorders>
              <w:top w:val="single" w:sz="8" w:color="939598"/>
              <w:bottom w:val="single" w:sz="8" w:color="F3F3F4"/>
            </w:tcBorders>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939598"/>
              <w:bottom w:val="single" w:sz="8" w:color="F3F3F4"/>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tcBorders>
              <w:top w:val="single" w:sz="8" w:color="939598"/>
              <w:bottom w:val="single" w:sz="8" w:color="E9EAEB"/>
            </w:tcBorders>
            <w:shd w:val="clear" w:color="auto" w:fill="E9EAEB"/>
          </w:tcPr>
          <w:p>
            <w:pPr>
              <w:spacing w:after="0"/>
              <w:rPr>
                <w:sz w:val="24"/>
                <w:szCs w:val="24"/>
                <w:color w:val="auto"/>
              </w:rPr>
            </w:pPr>
          </w:p>
        </w:tc>
        <w:tc>
          <w:tcPr>
            <w:tcW w:w="100" w:type="dxa"/>
            <w:vAlign w:val="bottom"/>
            <w:tcBorders>
              <w:top w:val="single" w:sz="8" w:color="939598"/>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939598"/>
              <w:bottom w:val="single" w:sz="8" w:color="E9EAEB"/>
            </w:tcBorders>
            <w:shd w:val="clear" w:color="auto" w:fill="E9EAEB"/>
          </w:tcPr>
          <w:p>
            <w:pPr>
              <w:spacing w:after="0"/>
              <w:rPr>
                <w:sz w:val="24"/>
                <w:szCs w:val="24"/>
                <w:color w:val="auto"/>
              </w:rPr>
            </w:pPr>
          </w:p>
        </w:tc>
        <w:tc>
          <w:tcPr>
            <w:tcW w:w="340" w:type="dxa"/>
            <w:vAlign w:val="bottom"/>
            <w:tcBorders>
              <w:top w:val="single" w:sz="8" w:color="939598"/>
              <w:bottom w:val="single" w:sz="8" w:color="E9EAEB"/>
            </w:tcBorders>
            <w:shd w:val="clear" w:color="auto" w:fill="E9EAEB"/>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top w:val="single" w:sz="8" w:color="939598"/>
              <w:bottom w:val="single" w:sz="8" w:color="E9EAEB"/>
            </w:tcBorders>
            <w:shd w:val="clear" w:color="auto" w:fill="E9EAEB"/>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920" w:type="dxa"/>
            <w:vAlign w:val="bottom"/>
            <w:tcBorders>
              <w:top w:val="single" w:sz="8" w:color="939598"/>
            </w:tcBorders>
          </w:tcPr>
          <w:p>
            <w:pPr>
              <w:spacing w:after="0"/>
              <w:rPr>
                <w:sz w:val="20"/>
                <w:szCs w:val="20"/>
                <w:color w:val="auto"/>
              </w:rPr>
            </w:pPr>
            <w:r>
              <w:rPr>
                <w:rFonts w:ascii="Arial" w:cs="Arial" w:eastAsia="Arial" w:hAnsi="Arial"/>
                <w:sz w:val="16"/>
                <w:szCs w:val="16"/>
                <w:b w:val="1"/>
                <w:bCs w:val="1"/>
                <w:color w:val="auto"/>
              </w:rPr>
              <w:t>David M. Schatz</w:t>
            </w:r>
          </w:p>
        </w:tc>
        <w:tc>
          <w:tcPr>
            <w:tcW w:w="120" w:type="dxa"/>
            <w:vAlign w:val="bottom"/>
            <w:tcBorders>
              <w:top w:val="single" w:sz="8" w:color="939598"/>
            </w:tcBorders>
          </w:tcPr>
          <w:p>
            <w:pPr>
              <w:spacing w:after="0"/>
              <w:rPr>
                <w:sz w:val="24"/>
                <w:szCs w:val="24"/>
                <w:color w:val="auto"/>
              </w:rPr>
            </w:pPr>
          </w:p>
        </w:tc>
        <w:tc>
          <w:tcPr>
            <w:tcW w:w="120" w:type="dxa"/>
            <w:vAlign w:val="bottom"/>
            <w:tcBorders>
              <w:top w:val="single" w:sz="8" w:color="939598"/>
            </w:tcBorders>
          </w:tcPr>
          <w:p>
            <w:pPr>
              <w:spacing w:after="0"/>
              <w:rPr>
                <w:sz w:val="24"/>
                <w:szCs w:val="24"/>
                <w:color w:val="auto"/>
              </w:rPr>
            </w:pPr>
          </w:p>
        </w:tc>
        <w:tc>
          <w:tcPr>
            <w:tcW w:w="1180" w:type="dxa"/>
            <w:vAlign w:val="bottom"/>
            <w:tcBorders>
              <w:top w:val="single" w:sz="8" w:color="939598"/>
            </w:tcBorders>
          </w:tcPr>
          <w:p>
            <w:pPr>
              <w:spacing w:after="0"/>
              <w:rPr>
                <w:sz w:val="24"/>
                <w:szCs w:val="24"/>
                <w:color w:val="auto"/>
              </w:rPr>
            </w:pPr>
          </w:p>
        </w:tc>
        <w:tc>
          <w:tcPr>
            <w:tcW w:w="240" w:type="dxa"/>
            <w:vAlign w:val="bottom"/>
            <w:tcBorders>
              <w:top w:val="single" w:sz="8" w:color="939598"/>
            </w:tcBorders>
          </w:tcPr>
          <w:p>
            <w:pPr>
              <w:spacing w:after="0"/>
              <w:rPr>
                <w:sz w:val="24"/>
                <w:szCs w:val="24"/>
                <w:color w:val="auto"/>
              </w:rPr>
            </w:pPr>
          </w:p>
        </w:tc>
        <w:tc>
          <w:tcPr>
            <w:tcW w:w="170" w:type="dxa"/>
            <w:vAlign w:val="bottom"/>
            <w:tcBorders>
              <w:top w:val="single" w:sz="8" w:color="939598"/>
            </w:tcBorders>
          </w:tcPr>
          <w:p>
            <w:pPr>
              <w:spacing w:after="0"/>
              <w:rPr>
                <w:sz w:val="24"/>
                <w:szCs w:val="24"/>
                <w:color w:val="auto"/>
              </w:rPr>
            </w:pPr>
          </w:p>
        </w:tc>
        <w:tc>
          <w:tcPr>
            <w:tcW w:w="610" w:type="dxa"/>
            <w:vAlign w:val="bottom"/>
            <w:tcBorders>
              <w:top w:val="single" w:sz="8" w:color="939598"/>
            </w:tcBorders>
          </w:tcPr>
          <w:p>
            <w:pPr>
              <w:spacing w:after="0"/>
              <w:rPr>
                <w:sz w:val="24"/>
                <w:szCs w:val="24"/>
                <w:color w:val="auto"/>
              </w:rPr>
            </w:pPr>
          </w:p>
        </w:tc>
        <w:tc>
          <w:tcPr>
            <w:tcW w:w="240" w:type="dxa"/>
            <w:vAlign w:val="bottom"/>
            <w:tcBorders>
              <w:top w:val="single" w:sz="8" w:color="939598"/>
            </w:tcBorders>
          </w:tcPr>
          <w:p>
            <w:pPr>
              <w:spacing w:after="0"/>
              <w:rPr>
                <w:sz w:val="24"/>
                <w:szCs w:val="24"/>
                <w:color w:val="auto"/>
              </w:rPr>
            </w:pPr>
          </w:p>
        </w:tc>
        <w:tc>
          <w:tcPr>
            <w:tcW w:w="220" w:type="dxa"/>
            <w:vAlign w:val="bottom"/>
            <w:tcBorders>
              <w:top w:val="single" w:sz="8" w:color="939598"/>
            </w:tcBorders>
          </w:tcPr>
          <w:p>
            <w:pPr>
              <w:spacing w:after="0"/>
              <w:rPr>
                <w:sz w:val="24"/>
                <w:szCs w:val="24"/>
                <w:color w:val="auto"/>
              </w:rPr>
            </w:pPr>
          </w:p>
        </w:tc>
        <w:tc>
          <w:tcPr>
            <w:tcW w:w="1020" w:type="dxa"/>
            <w:vAlign w:val="bottom"/>
            <w:tcBorders>
              <w:top w:val="single" w:sz="8" w:color="939598"/>
            </w:tcBorders>
          </w:tcPr>
          <w:p>
            <w:pPr>
              <w:spacing w:after="0"/>
              <w:rPr>
                <w:sz w:val="24"/>
                <w:szCs w:val="24"/>
                <w:color w:val="auto"/>
              </w:rPr>
            </w:pPr>
          </w:p>
        </w:tc>
        <w:tc>
          <w:tcPr>
            <w:tcW w:w="220" w:type="dxa"/>
            <w:vAlign w:val="bottom"/>
            <w:tcBorders>
              <w:top w:val="single" w:sz="8" w:color="939598"/>
            </w:tcBorders>
          </w:tcPr>
          <w:p>
            <w:pPr>
              <w:spacing w:after="0"/>
              <w:rPr>
                <w:sz w:val="24"/>
                <w:szCs w:val="24"/>
                <w:color w:val="auto"/>
              </w:rPr>
            </w:pPr>
          </w:p>
        </w:tc>
        <w:tc>
          <w:tcPr>
            <w:tcW w:w="140" w:type="dxa"/>
            <w:vAlign w:val="bottom"/>
            <w:tcBorders>
              <w:top w:val="single" w:sz="8" w:color="939598"/>
            </w:tcBorders>
          </w:tcPr>
          <w:p>
            <w:pPr>
              <w:spacing w:after="0"/>
              <w:rPr>
                <w:sz w:val="24"/>
                <w:szCs w:val="24"/>
                <w:color w:val="auto"/>
              </w:rPr>
            </w:pPr>
          </w:p>
        </w:tc>
        <w:tc>
          <w:tcPr>
            <w:tcW w:w="1100" w:type="dxa"/>
            <w:vAlign w:val="bottom"/>
            <w:tcBorders>
              <w:top w:val="single" w:sz="8" w:color="939598"/>
            </w:tcBorders>
          </w:tcPr>
          <w:p>
            <w:pPr>
              <w:spacing w:after="0"/>
              <w:rPr>
                <w:sz w:val="24"/>
                <w:szCs w:val="24"/>
                <w:color w:val="auto"/>
              </w:rPr>
            </w:pPr>
          </w:p>
        </w:tc>
        <w:tc>
          <w:tcPr>
            <w:tcW w:w="100" w:type="dxa"/>
            <w:vAlign w:val="bottom"/>
            <w:tcBorders>
              <w:top w:val="single" w:sz="8" w:color="939598"/>
            </w:tcBorders>
          </w:tcPr>
          <w:p>
            <w:pPr>
              <w:spacing w:after="0"/>
              <w:rPr>
                <w:sz w:val="24"/>
                <w:szCs w:val="24"/>
                <w:color w:val="auto"/>
              </w:rPr>
            </w:pPr>
          </w:p>
        </w:tc>
        <w:tc>
          <w:tcPr>
            <w:tcW w:w="100" w:type="dxa"/>
            <w:vAlign w:val="bottom"/>
            <w:tcBorders>
              <w:top w:val="single" w:sz="8" w:color="939598"/>
            </w:tcBorders>
          </w:tcPr>
          <w:p>
            <w:pPr>
              <w:spacing w:after="0"/>
              <w:rPr>
                <w:sz w:val="24"/>
                <w:szCs w:val="24"/>
                <w:color w:val="auto"/>
              </w:rPr>
            </w:pPr>
          </w:p>
        </w:tc>
        <w:tc>
          <w:tcPr>
            <w:tcW w:w="220" w:type="dxa"/>
            <w:vAlign w:val="bottom"/>
            <w:tcBorders>
              <w:top w:val="single" w:sz="8" w:color="939598"/>
            </w:tcBorders>
          </w:tcPr>
          <w:p>
            <w:pPr>
              <w:spacing w:after="0"/>
              <w:rPr>
                <w:sz w:val="24"/>
                <w:szCs w:val="24"/>
                <w:color w:val="auto"/>
              </w:rPr>
            </w:pPr>
          </w:p>
        </w:tc>
        <w:tc>
          <w:tcPr>
            <w:tcW w:w="1100" w:type="dxa"/>
            <w:vAlign w:val="bottom"/>
            <w:tcBorders>
              <w:top w:val="single" w:sz="8" w:color="939598"/>
            </w:tcBorders>
          </w:tcPr>
          <w:p>
            <w:pPr>
              <w:spacing w:after="0"/>
              <w:rPr>
                <w:sz w:val="24"/>
                <w:szCs w:val="24"/>
                <w:color w:val="auto"/>
              </w:rPr>
            </w:pPr>
          </w:p>
        </w:tc>
        <w:tc>
          <w:tcPr>
            <w:tcW w:w="100" w:type="dxa"/>
            <w:vAlign w:val="bottom"/>
            <w:tcBorders>
              <w:top w:val="single" w:sz="8" w:color="939598"/>
            </w:tcBorders>
          </w:tcPr>
          <w:p>
            <w:pPr>
              <w:spacing w:after="0"/>
              <w:rPr>
                <w:sz w:val="24"/>
                <w:szCs w:val="24"/>
                <w:color w:val="auto"/>
              </w:rPr>
            </w:pPr>
          </w:p>
        </w:tc>
        <w:tc>
          <w:tcPr>
            <w:tcW w:w="100" w:type="dxa"/>
            <w:vAlign w:val="bottom"/>
            <w:tcBorders>
              <w:top w:val="single" w:sz="8" w:color="939598"/>
            </w:tcBorders>
          </w:tcPr>
          <w:p>
            <w:pPr>
              <w:spacing w:after="0"/>
              <w:rPr>
                <w:sz w:val="24"/>
                <w:szCs w:val="24"/>
                <w:color w:val="auto"/>
              </w:rPr>
            </w:pPr>
          </w:p>
        </w:tc>
        <w:tc>
          <w:tcPr>
            <w:tcW w:w="780" w:type="dxa"/>
            <w:vAlign w:val="bottom"/>
            <w:tcBorders>
              <w:top w:val="single" w:sz="8" w:color="939598"/>
            </w:tcBorders>
          </w:tcPr>
          <w:p>
            <w:pPr>
              <w:spacing w:after="0"/>
              <w:rPr>
                <w:sz w:val="24"/>
                <w:szCs w:val="24"/>
                <w:color w:val="auto"/>
              </w:rPr>
            </w:pPr>
          </w:p>
        </w:tc>
        <w:tc>
          <w:tcPr>
            <w:tcW w:w="340" w:type="dxa"/>
            <w:vAlign w:val="bottom"/>
            <w:tcBorders>
              <w:top w:val="single" w:sz="8" w:color="939598"/>
            </w:tcBorders>
          </w:tcPr>
          <w:p>
            <w:pPr>
              <w:spacing w:after="0"/>
              <w:rPr>
                <w:sz w:val="24"/>
                <w:szCs w:val="24"/>
                <w:color w:val="auto"/>
              </w:rPr>
            </w:pPr>
          </w:p>
        </w:tc>
        <w:tc>
          <w:tcPr>
            <w:tcW w:w="100" w:type="dxa"/>
            <w:vAlign w:val="bottom"/>
            <w:tcBorders>
              <w:top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70" w:type="dxa"/>
            <w:vAlign w:val="bottom"/>
            <w:tcBorders>
              <w:bottom w:val="single" w:sz="8" w:color="auto"/>
            </w:tcBorders>
          </w:tcPr>
          <w:p>
            <w:pPr>
              <w:spacing w:after="0"/>
              <w:rPr>
                <w:sz w:val="7"/>
                <w:szCs w:val="7"/>
                <w:color w:val="auto"/>
              </w:rPr>
            </w:pPr>
          </w:p>
        </w:tc>
        <w:tc>
          <w:tcPr>
            <w:tcW w:w="61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 w:type="dxa"/>
            <w:vAlign w:val="bottom"/>
          </w:tcPr>
          <w:p>
            <w:pPr>
              <w:spacing w:after="0"/>
              <w:rPr>
                <w:sz w:val="24"/>
                <w:szCs w:val="24"/>
                <w:color w:val="auto"/>
              </w:rPr>
            </w:pPr>
          </w:p>
        </w:tc>
        <w:tc>
          <w:tcPr>
            <w:tcW w:w="61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Termination by</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1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Employee for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Termination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1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Good Reason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by Employee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Termination</w:t>
            </w: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 w:type="dxa"/>
            <w:vAlign w:val="bottom"/>
          </w:tcPr>
          <w:p>
            <w:pPr>
              <w:spacing w:after="0"/>
              <w:rPr>
                <w:sz w:val="13"/>
                <w:szCs w:val="13"/>
                <w:color w:val="auto"/>
              </w:rPr>
            </w:pPr>
          </w:p>
        </w:tc>
        <w:tc>
          <w:tcPr>
            <w:tcW w:w="61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or by Employer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Without Good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by Employer</w:t>
            </w:r>
          </w:p>
        </w:tc>
        <w:tc>
          <w:tcPr>
            <w:tcW w:w="0" w:type="dxa"/>
            <w:vAlign w:val="bottom"/>
          </w:tcPr>
          <w:p>
            <w:pPr>
              <w:spacing w:after="0"/>
              <w:rPr>
                <w:sz w:val="1"/>
                <w:szCs w:val="1"/>
                <w:color w:val="auto"/>
              </w:rPr>
            </w:pPr>
          </w:p>
        </w:tc>
      </w:tr>
      <w:tr>
        <w:trPr>
          <w:trHeight w:val="186"/>
        </w:trPr>
        <w:tc>
          <w:tcPr>
            <w:tcW w:w="2920" w:type="dxa"/>
            <w:vAlign w:val="bottom"/>
          </w:tcPr>
          <w:p>
            <w:pPr>
              <w:ind w:left="100"/>
              <w:spacing w:after="0"/>
              <w:rPr>
                <w:sz w:val="20"/>
                <w:szCs w:val="20"/>
                <w:color w:val="auto"/>
              </w:rPr>
            </w:pPr>
            <w:r>
              <w:rPr>
                <w:rFonts w:ascii="Arial" w:cs="Arial" w:eastAsia="Arial" w:hAnsi="Arial"/>
                <w:sz w:val="13"/>
                <w:szCs w:val="13"/>
                <w:b w:val="1"/>
                <w:bCs w:val="1"/>
                <w:color w:val="auto"/>
              </w:rPr>
              <w:t>Pay Element</w:t>
            </w:r>
          </w:p>
        </w:tc>
        <w:tc>
          <w:tcPr>
            <w:tcW w:w="120" w:type="dxa"/>
            <w:vAlign w:val="bottom"/>
          </w:tcPr>
          <w:p>
            <w:pPr>
              <w:spacing w:after="0"/>
              <w:rPr>
                <w:sz w:val="16"/>
                <w:szCs w:val="16"/>
                <w:color w:val="auto"/>
              </w:rPr>
            </w:pPr>
          </w:p>
        </w:tc>
        <w:tc>
          <w:tcPr>
            <w:tcW w:w="154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Change in Control</w:t>
            </w:r>
          </w:p>
        </w:tc>
        <w:tc>
          <w:tcPr>
            <w:tcW w:w="170" w:type="dxa"/>
            <w:vAlign w:val="bottom"/>
          </w:tcPr>
          <w:p>
            <w:pPr>
              <w:spacing w:after="0"/>
              <w:rPr>
                <w:sz w:val="16"/>
                <w:szCs w:val="16"/>
                <w:color w:val="auto"/>
              </w:rPr>
            </w:pPr>
          </w:p>
        </w:tc>
        <w:tc>
          <w:tcPr>
            <w:tcW w:w="85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Death</w:t>
            </w:r>
          </w:p>
        </w:tc>
        <w:tc>
          <w:tcPr>
            <w:tcW w:w="22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Disability</w:t>
            </w:r>
          </w:p>
        </w:tc>
        <w:tc>
          <w:tcPr>
            <w:tcW w:w="14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Without Cause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3"/>
              <w:spacing w:after="0"/>
              <w:rPr>
                <w:sz w:val="20"/>
                <w:szCs w:val="20"/>
                <w:color w:val="auto"/>
              </w:rPr>
            </w:pPr>
            <w:r>
              <w:rPr>
                <w:rFonts w:ascii="Arial" w:cs="Arial" w:eastAsia="Arial" w:hAnsi="Arial"/>
                <w:sz w:val="13"/>
                <w:szCs w:val="13"/>
                <w:b w:val="1"/>
                <w:bCs w:val="1"/>
                <w:color w:val="auto"/>
              </w:rPr>
              <w:t>Reason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for Cause</w:t>
            </w:r>
          </w:p>
        </w:tc>
        <w:tc>
          <w:tcPr>
            <w:tcW w:w="0" w:type="dxa"/>
            <w:vAlign w:val="bottom"/>
          </w:tcPr>
          <w:p>
            <w:pPr>
              <w:spacing w:after="0"/>
              <w:rPr>
                <w:sz w:val="1"/>
                <w:szCs w:val="1"/>
                <w:color w:val="auto"/>
              </w:rPr>
            </w:pPr>
          </w:p>
        </w:tc>
      </w:tr>
      <w:tr>
        <w:trPr>
          <w:trHeight w:val="51"/>
        </w:trPr>
        <w:tc>
          <w:tcPr>
            <w:tcW w:w="2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0" w:type="dxa"/>
            <w:vAlign w:val="bottom"/>
            <w:tcBorders>
              <w:bottom w:val="single" w:sz="8" w:color="auto"/>
            </w:tcBorders>
          </w:tcPr>
          <w:p>
            <w:pPr>
              <w:spacing w:after="0"/>
              <w:rPr>
                <w:sz w:val="4"/>
                <w:szCs w:val="4"/>
                <w:color w:val="auto"/>
              </w:rPr>
            </w:pPr>
          </w:p>
        </w:tc>
        <w:tc>
          <w:tcPr>
            <w:tcW w:w="61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b w:val="1"/>
                <w:bCs w:val="1"/>
                <w:color w:val="auto"/>
              </w:rPr>
              <w:t>Cash Compensation:</w:t>
            </w:r>
          </w:p>
        </w:tc>
        <w:tc>
          <w:tcPr>
            <w:tcW w:w="120" w:type="dxa"/>
            <w:vAlign w:val="bottom"/>
            <w:shd w:val="clear" w:color="auto" w:fill="F3F3F4"/>
          </w:tcPr>
          <w:p>
            <w:pPr>
              <w:spacing w:after="0"/>
              <w:rPr>
                <w:sz w:val="21"/>
                <w:szCs w:val="21"/>
                <w:color w:val="auto"/>
              </w:rPr>
            </w:pPr>
          </w:p>
        </w:tc>
        <w:tc>
          <w:tcPr>
            <w:tcW w:w="120" w:type="dxa"/>
            <w:vAlign w:val="bottom"/>
            <w:shd w:val="clear" w:color="auto" w:fill="F3F3F4"/>
          </w:tcPr>
          <w:p>
            <w:pPr>
              <w:spacing w:after="0"/>
              <w:rPr>
                <w:sz w:val="21"/>
                <w:szCs w:val="21"/>
                <w:color w:val="auto"/>
              </w:rPr>
            </w:pPr>
          </w:p>
        </w:tc>
        <w:tc>
          <w:tcPr>
            <w:tcW w:w="1180" w:type="dxa"/>
            <w:vAlign w:val="bottom"/>
            <w:tcBorders>
              <w:right w:val="single" w:sz="8" w:color="F3F3F4"/>
            </w:tcBorders>
            <w:shd w:val="clear" w:color="auto" w:fill="F3F3F4"/>
          </w:tcPr>
          <w:p>
            <w:pPr>
              <w:spacing w:after="0"/>
              <w:rPr>
                <w:sz w:val="21"/>
                <w:szCs w:val="21"/>
                <w:color w:val="auto"/>
              </w:rPr>
            </w:pPr>
          </w:p>
        </w:tc>
        <w:tc>
          <w:tcPr>
            <w:tcW w:w="240" w:type="dxa"/>
            <w:vAlign w:val="bottom"/>
            <w:tcBorders>
              <w:right w:val="single" w:sz="8" w:color="F3F3F4"/>
            </w:tcBorders>
            <w:shd w:val="clear" w:color="auto" w:fill="F3F3F4"/>
          </w:tcPr>
          <w:p>
            <w:pPr>
              <w:spacing w:after="0"/>
              <w:rPr>
                <w:sz w:val="21"/>
                <w:szCs w:val="21"/>
                <w:color w:val="auto"/>
              </w:rPr>
            </w:pPr>
          </w:p>
        </w:tc>
        <w:tc>
          <w:tcPr>
            <w:tcW w:w="170" w:type="dxa"/>
            <w:vAlign w:val="bottom"/>
            <w:shd w:val="clear" w:color="auto" w:fill="F3F3F4"/>
          </w:tcPr>
          <w:p>
            <w:pPr>
              <w:spacing w:after="0"/>
              <w:rPr>
                <w:sz w:val="21"/>
                <w:szCs w:val="21"/>
                <w:color w:val="auto"/>
              </w:rPr>
            </w:pPr>
          </w:p>
        </w:tc>
        <w:tc>
          <w:tcPr>
            <w:tcW w:w="610" w:type="dxa"/>
            <w:vAlign w:val="bottom"/>
            <w:tcBorders>
              <w:right w:val="single" w:sz="8" w:color="F3F3F4"/>
            </w:tcBorders>
            <w:shd w:val="clear" w:color="auto" w:fill="F3F3F4"/>
          </w:tcPr>
          <w:p>
            <w:pPr>
              <w:spacing w:after="0"/>
              <w:rPr>
                <w:sz w:val="21"/>
                <w:szCs w:val="21"/>
                <w:color w:val="auto"/>
              </w:rPr>
            </w:pPr>
          </w:p>
        </w:tc>
        <w:tc>
          <w:tcPr>
            <w:tcW w:w="240" w:type="dxa"/>
            <w:vAlign w:val="bottom"/>
            <w:tcBorders>
              <w:right w:val="single" w:sz="8" w:color="F3F3F4"/>
            </w:tcBorders>
            <w:shd w:val="clear" w:color="auto" w:fill="F3F3F4"/>
          </w:tcPr>
          <w:p>
            <w:pPr>
              <w:spacing w:after="0"/>
              <w:rPr>
                <w:sz w:val="21"/>
                <w:szCs w:val="21"/>
                <w:color w:val="auto"/>
              </w:rPr>
            </w:pPr>
          </w:p>
        </w:tc>
        <w:tc>
          <w:tcPr>
            <w:tcW w:w="220" w:type="dxa"/>
            <w:vAlign w:val="bottom"/>
            <w:shd w:val="clear" w:color="auto" w:fill="F3F3F4"/>
          </w:tcPr>
          <w:p>
            <w:pPr>
              <w:spacing w:after="0"/>
              <w:rPr>
                <w:sz w:val="21"/>
                <w:szCs w:val="21"/>
                <w:color w:val="auto"/>
              </w:rPr>
            </w:pPr>
          </w:p>
        </w:tc>
        <w:tc>
          <w:tcPr>
            <w:tcW w:w="1020" w:type="dxa"/>
            <w:vAlign w:val="bottom"/>
            <w:tcBorders>
              <w:right w:val="single" w:sz="8" w:color="F3F3F4"/>
            </w:tcBorders>
            <w:shd w:val="clear" w:color="auto" w:fill="F3F3F4"/>
          </w:tcPr>
          <w:p>
            <w:pPr>
              <w:spacing w:after="0"/>
              <w:rPr>
                <w:sz w:val="21"/>
                <w:szCs w:val="21"/>
                <w:color w:val="auto"/>
              </w:rPr>
            </w:pPr>
          </w:p>
        </w:tc>
        <w:tc>
          <w:tcPr>
            <w:tcW w:w="220" w:type="dxa"/>
            <w:vAlign w:val="bottom"/>
            <w:tcBorders>
              <w:right w:val="single" w:sz="8" w:color="F3F3F4"/>
            </w:tcBorders>
            <w:shd w:val="clear" w:color="auto" w:fill="F3F3F4"/>
          </w:tcPr>
          <w:p>
            <w:pPr>
              <w:spacing w:after="0"/>
              <w:rPr>
                <w:sz w:val="21"/>
                <w:szCs w:val="21"/>
                <w:color w:val="auto"/>
              </w:rPr>
            </w:pPr>
          </w:p>
        </w:tc>
        <w:tc>
          <w:tcPr>
            <w:tcW w:w="140" w:type="dxa"/>
            <w:vAlign w:val="bottom"/>
            <w:shd w:val="clear" w:color="auto" w:fill="F3F3F4"/>
          </w:tcPr>
          <w:p>
            <w:pPr>
              <w:spacing w:after="0"/>
              <w:rPr>
                <w:sz w:val="21"/>
                <w:szCs w:val="21"/>
                <w:color w:val="auto"/>
              </w:rPr>
            </w:pPr>
          </w:p>
        </w:tc>
        <w:tc>
          <w:tcPr>
            <w:tcW w:w="1100" w:type="dxa"/>
            <w:vAlign w:val="bottom"/>
            <w:tcBorders>
              <w:right w:val="single" w:sz="8" w:color="F3F3F4"/>
            </w:tcBorders>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220" w:type="dxa"/>
            <w:vAlign w:val="bottom"/>
            <w:shd w:val="clear" w:color="auto" w:fill="F3F3F4"/>
          </w:tcPr>
          <w:p>
            <w:pPr>
              <w:spacing w:after="0"/>
              <w:rPr>
                <w:sz w:val="21"/>
                <w:szCs w:val="21"/>
                <w:color w:val="auto"/>
              </w:rPr>
            </w:pPr>
          </w:p>
        </w:tc>
        <w:tc>
          <w:tcPr>
            <w:tcW w:w="1100" w:type="dxa"/>
            <w:vAlign w:val="bottom"/>
            <w:tcBorders>
              <w:right w:val="single" w:sz="8" w:color="F3F3F4"/>
            </w:tcBorders>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780" w:type="dxa"/>
            <w:vAlign w:val="bottom"/>
            <w:shd w:val="clear" w:color="auto" w:fill="F3F3F4"/>
          </w:tcPr>
          <w:p>
            <w:pPr>
              <w:spacing w:after="0"/>
              <w:rPr>
                <w:sz w:val="21"/>
                <w:szCs w:val="21"/>
                <w:color w:val="auto"/>
              </w:rPr>
            </w:pPr>
          </w:p>
        </w:tc>
        <w:tc>
          <w:tcPr>
            <w:tcW w:w="340" w:type="dxa"/>
            <w:vAlign w:val="bottom"/>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Base salary</w:t>
            </w:r>
          </w:p>
        </w:tc>
        <w:tc>
          <w:tcPr>
            <w:tcW w:w="120" w:type="dxa"/>
            <w:vAlign w:val="bottom"/>
            <w:shd w:val="clear" w:color="auto" w:fill="F3F3F4"/>
          </w:tcPr>
          <w:p>
            <w:pPr>
              <w:spacing w:after="0"/>
              <w:rPr>
                <w:sz w:val="19"/>
                <w:szCs w:val="19"/>
                <w:color w:val="auto"/>
              </w:rPr>
            </w:pPr>
          </w:p>
        </w:tc>
        <w:tc>
          <w:tcPr>
            <w:tcW w:w="120" w:type="dxa"/>
            <w:vAlign w:val="bottom"/>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F3F3F4"/>
          </w:tcPr>
          <w:p>
            <w:pPr>
              <w:spacing w:after="0"/>
              <w:rPr>
                <w:sz w:val="19"/>
                <w:szCs w:val="19"/>
                <w:color w:val="auto"/>
              </w:rPr>
            </w:pPr>
          </w:p>
        </w:tc>
        <w:tc>
          <w:tcPr>
            <w:tcW w:w="170" w:type="dxa"/>
            <w:vAlign w:val="bottom"/>
            <w:shd w:val="clear" w:color="auto" w:fill="F3F3F4"/>
          </w:tcPr>
          <w:p>
            <w:pPr>
              <w:jc w:val="right"/>
              <w:ind w:right="52"/>
              <w:spacing w:after="0"/>
              <w:rPr>
                <w:sz w:val="20"/>
                <w:szCs w:val="20"/>
                <w:color w:val="auto"/>
              </w:rPr>
            </w:pPr>
            <w:r>
              <w:rPr>
                <w:rFonts w:ascii="Arial" w:cs="Arial" w:eastAsia="Arial" w:hAnsi="Arial"/>
                <w:sz w:val="10"/>
                <w:szCs w:val="10"/>
                <w:color w:val="auto"/>
                <w:w w:val="71"/>
              </w:rPr>
              <w:t>$</w:t>
            </w:r>
          </w:p>
        </w:tc>
        <w:tc>
          <w:tcPr>
            <w:tcW w:w="61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F3F3F4"/>
          </w:tcPr>
          <w:p>
            <w:pPr>
              <w:spacing w:after="0"/>
              <w:rPr>
                <w:sz w:val="19"/>
                <w:szCs w:val="19"/>
                <w:color w:val="auto"/>
              </w:rPr>
            </w:pPr>
          </w:p>
        </w:tc>
        <w:tc>
          <w:tcPr>
            <w:tcW w:w="220" w:type="dxa"/>
            <w:vAlign w:val="bottom"/>
            <w:shd w:val="clear" w:color="auto" w:fill="F3F3F4"/>
          </w:tcPr>
          <w:p>
            <w:pPr>
              <w:jc w:val="right"/>
              <w:ind w:right="102"/>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F3F3F4"/>
            </w:tcBorders>
            <w:shd w:val="clear" w:color="auto" w:fill="F3F3F4"/>
          </w:tcPr>
          <w:p>
            <w:pPr>
              <w:jc w:val="right"/>
              <w:spacing w:after="0" w:line="228" w:lineRule="exact"/>
              <w:rPr>
                <w:sz w:val="20"/>
                <w:szCs w:val="20"/>
                <w:color w:val="auto"/>
              </w:rPr>
            </w:pPr>
            <w:r>
              <w:rPr>
                <w:rFonts w:ascii="Arial" w:cs="Arial" w:eastAsia="Arial" w:hAnsi="Arial"/>
                <w:sz w:val="13"/>
                <w:szCs w:val="13"/>
                <w:color w:val="auto"/>
              </w:rPr>
              <w:t>101,450</w:t>
            </w:r>
            <w:r>
              <w:rPr>
                <w:rFonts w:ascii="Arial" w:cs="Arial" w:eastAsia="Arial" w:hAnsi="Arial"/>
                <w:sz w:val="22"/>
                <w:szCs w:val="22"/>
                <w:color w:val="auto"/>
                <w:vertAlign w:val="superscript"/>
              </w:rPr>
              <w:t>1</w:t>
            </w:r>
          </w:p>
        </w:tc>
        <w:tc>
          <w:tcPr>
            <w:tcW w:w="220" w:type="dxa"/>
            <w:vAlign w:val="bottom"/>
            <w:tcBorders>
              <w:right w:val="single" w:sz="8" w:color="F3F3F4"/>
            </w:tcBorders>
            <w:shd w:val="clear" w:color="auto" w:fill="F3F3F4"/>
          </w:tcPr>
          <w:p>
            <w:pPr>
              <w:spacing w:after="0"/>
              <w:rPr>
                <w:sz w:val="19"/>
                <w:szCs w:val="19"/>
                <w:color w:val="auto"/>
              </w:rPr>
            </w:pPr>
          </w:p>
        </w:tc>
        <w:tc>
          <w:tcPr>
            <w:tcW w:w="140" w:type="dxa"/>
            <w:vAlign w:val="bottom"/>
            <w:shd w:val="clear" w:color="auto" w:fill="F3F3F4"/>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F3F3F4"/>
            </w:tcBorders>
            <w:shd w:val="clear" w:color="auto" w:fill="F3F3F4"/>
          </w:tcPr>
          <w:p>
            <w:pPr>
              <w:jc w:val="right"/>
              <w:spacing w:after="0" w:line="228" w:lineRule="exact"/>
              <w:rPr>
                <w:sz w:val="20"/>
                <w:szCs w:val="20"/>
                <w:color w:val="auto"/>
              </w:rPr>
            </w:pPr>
            <w:r>
              <w:rPr>
                <w:rFonts w:ascii="Arial" w:cs="Arial" w:eastAsia="Arial" w:hAnsi="Arial"/>
                <w:sz w:val="13"/>
                <w:szCs w:val="13"/>
                <w:color w:val="auto"/>
              </w:rPr>
              <w:t>811,600</w:t>
            </w:r>
            <w:r>
              <w:rPr>
                <w:rFonts w:ascii="Arial" w:cs="Arial" w:eastAsia="Arial" w:hAnsi="Arial"/>
                <w:sz w:val="22"/>
                <w:szCs w:val="22"/>
                <w:color w:val="auto"/>
                <w:vertAlign w:val="superscript"/>
              </w:rPr>
              <w:t>2</w:t>
            </w:r>
          </w:p>
        </w:tc>
        <w:tc>
          <w:tcPr>
            <w:tcW w:w="100" w:type="dxa"/>
            <w:vAlign w:val="bottom"/>
            <w:shd w:val="clear" w:color="auto" w:fill="F3F3F4"/>
          </w:tcPr>
          <w:p>
            <w:pPr>
              <w:spacing w:after="0"/>
              <w:rPr>
                <w:sz w:val="19"/>
                <w:szCs w:val="19"/>
                <w:color w:val="auto"/>
              </w:rPr>
            </w:pPr>
          </w:p>
        </w:tc>
        <w:tc>
          <w:tcPr>
            <w:tcW w:w="320" w:type="dxa"/>
            <w:vAlign w:val="bottom"/>
            <w:gridSpan w:val="2"/>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980" w:type="dxa"/>
            <w:vAlign w:val="bottom"/>
            <w:gridSpan w:val="3"/>
            <w:shd w:val="clear" w:color="auto" w:fill="F3F3F4"/>
          </w:tcPr>
          <w:p>
            <w:pPr>
              <w:jc w:val="right"/>
              <w:ind w:right="713"/>
              <w:spacing w:after="0"/>
              <w:rPr>
                <w:sz w:val="20"/>
                <w:szCs w:val="20"/>
                <w:color w:val="auto"/>
              </w:rPr>
            </w:pPr>
            <w:r>
              <w:rPr>
                <w:rFonts w:ascii="Arial" w:cs="Arial" w:eastAsia="Arial" w:hAnsi="Arial"/>
                <w:sz w:val="13"/>
                <w:szCs w:val="13"/>
                <w:color w:val="auto"/>
              </w:rPr>
              <w:t>$</w:t>
            </w:r>
          </w:p>
        </w:tc>
        <w:tc>
          <w:tcPr>
            <w:tcW w:w="3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Cash incentive</w:t>
            </w:r>
          </w:p>
        </w:tc>
        <w:tc>
          <w:tcPr>
            <w:tcW w:w="120" w:type="dxa"/>
            <w:vAlign w:val="bottom"/>
            <w:shd w:val="clear" w:color="auto" w:fill="F3F3F4"/>
          </w:tcPr>
          <w:p>
            <w:pPr>
              <w:spacing w:after="0"/>
              <w:rPr>
                <w:sz w:val="19"/>
                <w:szCs w:val="19"/>
                <w:color w:val="auto"/>
              </w:rPr>
            </w:pPr>
          </w:p>
        </w:tc>
        <w:tc>
          <w:tcPr>
            <w:tcW w:w="120" w:type="dxa"/>
            <w:vAlign w:val="bottom"/>
            <w:shd w:val="clear" w:color="auto" w:fill="F3F3F4"/>
          </w:tcPr>
          <w:p>
            <w:pPr>
              <w:spacing w:after="0"/>
              <w:rPr>
                <w:sz w:val="19"/>
                <w:szCs w:val="19"/>
                <w:color w:val="auto"/>
              </w:rPr>
            </w:pPr>
          </w:p>
        </w:tc>
        <w:tc>
          <w:tcPr>
            <w:tcW w:w="1180" w:type="dxa"/>
            <w:vAlign w:val="bottom"/>
            <w:tcBorders>
              <w:right w:val="single" w:sz="8" w:color="F3F3F4"/>
            </w:tcBorders>
            <w:shd w:val="clear" w:color="auto" w:fill="F3F3F4"/>
          </w:tcPr>
          <w:p>
            <w:pPr>
              <w:jc w:val="right"/>
              <w:spacing w:after="0" w:line="227" w:lineRule="exact"/>
              <w:rPr>
                <w:sz w:val="20"/>
                <w:szCs w:val="20"/>
                <w:color w:val="auto"/>
              </w:rPr>
            </w:pPr>
            <w:r>
              <w:rPr>
                <w:rFonts w:ascii="Arial" w:cs="Arial" w:eastAsia="Arial" w:hAnsi="Arial"/>
                <w:sz w:val="13"/>
                <w:szCs w:val="13"/>
                <w:color w:val="auto"/>
              </w:rPr>
              <w:t>202,900</w:t>
            </w:r>
            <w:r>
              <w:rPr>
                <w:rFonts w:ascii="Arial" w:cs="Arial" w:eastAsia="Arial" w:hAnsi="Arial"/>
                <w:sz w:val="22"/>
                <w:szCs w:val="22"/>
                <w:color w:val="auto"/>
                <w:vertAlign w:val="superscript"/>
              </w:rPr>
              <w:t>3</w:t>
            </w:r>
          </w:p>
        </w:tc>
        <w:tc>
          <w:tcPr>
            <w:tcW w:w="240" w:type="dxa"/>
            <w:vAlign w:val="bottom"/>
            <w:tcBorders>
              <w:right w:val="single" w:sz="8" w:color="F3F3F4"/>
            </w:tcBorders>
            <w:shd w:val="clear" w:color="auto" w:fill="F3F3F4"/>
          </w:tcPr>
          <w:p>
            <w:pPr>
              <w:spacing w:after="0"/>
              <w:rPr>
                <w:sz w:val="19"/>
                <w:szCs w:val="19"/>
                <w:color w:val="auto"/>
              </w:rPr>
            </w:pPr>
          </w:p>
        </w:tc>
        <w:tc>
          <w:tcPr>
            <w:tcW w:w="170" w:type="dxa"/>
            <w:vAlign w:val="bottom"/>
            <w:shd w:val="clear" w:color="auto" w:fill="F3F3F4"/>
          </w:tcPr>
          <w:p>
            <w:pPr>
              <w:spacing w:after="0"/>
              <w:rPr>
                <w:sz w:val="19"/>
                <w:szCs w:val="19"/>
                <w:color w:val="auto"/>
              </w:rPr>
            </w:pPr>
          </w:p>
        </w:tc>
        <w:tc>
          <w:tcPr>
            <w:tcW w:w="61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F3F3F4"/>
          </w:tcPr>
          <w:p>
            <w:pPr>
              <w:spacing w:after="0"/>
              <w:rPr>
                <w:sz w:val="19"/>
                <w:szCs w:val="19"/>
                <w:color w:val="auto"/>
              </w:rPr>
            </w:pPr>
          </w:p>
        </w:tc>
        <w:tc>
          <w:tcPr>
            <w:tcW w:w="220" w:type="dxa"/>
            <w:vAlign w:val="bottom"/>
            <w:shd w:val="clear" w:color="auto" w:fill="F3F3F4"/>
          </w:tcPr>
          <w:p>
            <w:pPr>
              <w:spacing w:after="0"/>
              <w:rPr>
                <w:sz w:val="19"/>
                <w:szCs w:val="19"/>
                <w:color w:val="auto"/>
              </w:rPr>
            </w:pPr>
          </w:p>
        </w:tc>
        <w:tc>
          <w:tcPr>
            <w:tcW w:w="102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right w:val="single" w:sz="8" w:color="F3F3F4"/>
            </w:tcBorders>
            <w:shd w:val="clear" w:color="auto" w:fill="F3F3F4"/>
          </w:tcPr>
          <w:p>
            <w:pPr>
              <w:spacing w:after="0"/>
              <w:rPr>
                <w:sz w:val="19"/>
                <w:szCs w:val="19"/>
                <w:color w:val="auto"/>
              </w:rPr>
            </w:pPr>
          </w:p>
        </w:tc>
        <w:tc>
          <w:tcPr>
            <w:tcW w:w="140" w:type="dxa"/>
            <w:vAlign w:val="bottom"/>
            <w:shd w:val="clear" w:color="auto" w:fill="F3F3F4"/>
          </w:tcPr>
          <w:p>
            <w:pPr>
              <w:spacing w:after="0"/>
              <w:rPr>
                <w:sz w:val="19"/>
                <w:szCs w:val="19"/>
                <w:color w:val="auto"/>
              </w:rPr>
            </w:pPr>
          </w:p>
        </w:tc>
        <w:tc>
          <w:tcPr>
            <w:tcW w:w="1100" w:type="dxa"/>
            <w:vAlign w:val="bottom"/>
            <w:tcBorders>
              <w:right w:val="single" w:sz="8" w:color="F3F3F4"/>
            </w:tcBorders>
            <w:shd w:val="clear" w:color="auto" w:fill="F3F3F4"/>
          </w:tcPr>
          <w:p>
            <w:pPr>
              <w:jc w:val="right"/>
              <w:spacing w:after="0" w:line="227" w:lineRule="exact"/>
              <w:rPr>
                <w:sz w:val="20"/>
                <w:szCs w:val="20"/>
                <w:color w:val="auto"/>
              </w:rPr>
            </w:pPr>
            <w:r>
              <w:rPr>
                <w:rFonts w:ascii="Arial" w:cs="Arial" w:eastAsia="Arial" w:hAnsi="Arial"/>
                <w:sz w:val="13"/>
                <w:szCs w:val="13"/>
                <w:color w:val="auto"/>
              </w:rPr>
              <w:t>608,700</w:t>
            </w:r>
            <w:r>
              <w:rPr>
                <w:rFonts w:ascii="Arial" w:cs="Arial" w:eastAsia="Arial" w:hAnsi="Arial"/>
                <w:sz w:val="22"/>
                <w:szCs w:val="22"/>
                <w:color w:val="auto"/>
                <w:vertAlign w:val="superscript"/>
              </w:rPr>
              <w:t>4</w:t>
            </w:r>
          </w:p>
        </w:tc>
        <w:tc>
          <w:tcPr>
            <w:tcW w:w="100" w:type="dxa"/>
            <w:vAlign w:val="bottom"/>
            <w:shd w:val="clear" w:color="auto" w:fill="F3F3F4"/>
          </w:tcPr>
          <w:p>
            <w:pPr>
              <w:spacing w:after="0"/>
              <w:rPr>
                <w:sz w:val="19"/>
                <w:szCs w:val="19"/>
                <w:color w:val="auto"/>
              </w:rPr>
            </w:pPr>
          </w:p>
        </w:tc>
        <w:tc>
          <w:tcPr>
            <w:tcW w:w="100" w:type="dxa"/>
            <w:vAlign w:val="bottom"/>
            <w:shd w:val="clear" w:color="auto" w:fill="F3F3F4"/>
          </w:tcPr>
          <w:p>
            <w:pPr>
              <w:spacing w:after="0"/>
              <w:rPr>
                <w:sz w:val="19"/>
                <w:szCs w:val="19"/>
                <w:color w:val="auto"/>
              </w:rPr>
            </w:pPr>
          </w:p>
        </w:tc>
        <w:tc>
          <w:tcPr>
            <w:tcW w:w="220" w:type="dxa"/>
            <w:vAlign w:val="bottom"/>
            <w:shd w:val="clear" w:color="auto" w:fill="F3F3F4"/>
          </w:tcPr>
          <w:p>
            <w:pPr>
              <w:spacing w:after="0"/>
              <w:rPr>
                <w:sz w:val="19"/>
                <w:szCs w:val="19"/>
                <w:color w:val="auto"/>
              </w:rPr>
            </w:pPr>
          </w:p>
        </w:tc>
        <w:tc>
          <w:tcPr>
            <w:tcW w:w="1100" w:type="dxa"/>
            <w:vAlign w:val="bottom"/>
            <w:tcBorders>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9"/>
                <w:szCs w:val="19"/>
                <w:color w:val="auto"/>
              </w:rPr>
            </w:pPr>
          </w:p>
        </w:tc>
        <w:tc>
          <w:tcPr>
            <w:tcW w:w="100" w:type="dxa"/>
            <w:vAlign w:val="bottom"/>
            <w:shd w:val="clear" w:color="auto" w:fill="F3F3F4"/>
          </w:tcPr>
          <w:p>
            <w:pPr>
              <w:spacing w:after="0"/>
              <w:rPr>
                <w:sz w:val="19"/>
                <w:szCs w:val="19"/>
                <w:color w:val="auto"/>
              </w:rPr>
            </w:pPr>
          </w:p>
        </w:tc>
        <w:tc>
          <w:tcPr>
            <w:tcW w:w="780" w:type="dxa"/>
            <w:vAlign w:val="bottom"/>
            <w:shd w:val="clear" w:color="auto" w:fill="F3F3F4"/>
          </w:tcPr>
          <w:p>
            <w:pPr>
              <w:spacing w:after="0"/>
              <w:rPr>
                <w:sz w:val="19"/>
                <w:szCs w:val="19"/>
                <w:color w:val="auto"/>
              </w:rPr>
            </w:pPr>
          </w:p>
        </w:tc>
        <w:tc>
          <w:tcPr>
            <w:tcW w:w="3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Severance payment</w:t>
            </w:r>
          </w:p>
        </w:tc>
        <w:tc>
          <w:tcPr>
            <w:tcW w:w="120" w:type="dxa"/>
            <w:vAlign w:val="bottom"/>
            <w:shd w:val="clear" w:color="auto" w:fill="F3F3F4"/>
          </w:tcPr>
          <w:p>
            <w:pPr>
              <w:spacing w:after="0"/>
              <w:rPr>
                <w:sz w:val="19"/>
                <w:szCs w:val="19"/>
                <w:color w:val="auto"/>
              </w:rPr>
            </w:pPr>
          </w:p>
        </w:tc>
        <w:tc>
          <w:tcPr>
            <w:tcW w:w="120" w:type="dxa"/>
            <w:vAlign w:val="bottom"/>
            <w:shd w:val="clear" w:color="auto" w:fill="F3F3F4"/>
          </w:tcPr>
          <w:p>
            <w:pPr>
              <w:spacing w:after="0"/>
              <w:rPr>
                <w:sz w:val="19"/>
                <w:szCs w:val="19"/>
                <w:color w:val="auto"/>
              </w:rPr>
            </w:pPr>
          </w:p>
        </w:tc>
        <w:tc>
          <w:tcPr>
            <w:tcW w:w="1180" w:type="dxa"/>
            <w:vAlign w:val="bottom"/>
            <w:tcBorders>
              <w:right w:val="single" w:sz="8" w:color="F3F3F4"/>
            </w:tcBorders>
            <w:shd w:val="clear" w:color="auto" w:fill="F3F3F4"/>
          </w:tcPr>
          <w:p>
            <w:pPr>
              <w:jc w:val="right"/>
              <w:spacing w:after="0" w:line="227" w:lineRule="exact"/>
              <w:rPr>
                <w:sz w:val="20"/>
                <w:szCs w:val="20"/>
                <w:color w:val="auto"/>
              </w:rPr>
            </w:pPr>
            <w:r>
              <w:rPr>
                <w:rFonts w:ascii="Arial" w:cs="Arial" w:eastAsia="Arial" w:hAnsi="Arial"/>
                <w:sz w:val="13"/>
                <w:szCs w:val="13"/>
                <w:color w:val="auto"/>
              </w:rPr>
              <w:t>1,217,400</w:t>
            </w:r>
            <w:r>
              <w:rPr>
                <w:rFonts w:ascii="Arial" w:cs="Arial" w:eastAsia="Arial" w:hAnsi="Arial"/>
                <w:sz w:val="22"/>
                <w:szCs w:val="22"/>
                <w:color w:val="auto"/>
                <w:vertAlign w:val="superscript"/>
              </w:rPr>
              <w:t>5</w:t>
            </w:r>
          </w:p>
        </w:tc>
        <w:tc>
          <w:tcPr>
            <w:tcW w:w="240" w:type="dxa"/>
            <w:vAlign w:val="bottom"/>
            <w:tcBorders>
              <w:right w:val="single" w:sz="8" w:color="F3F3F4"/>
            </w:tcBorders>
            <w:shd w:val="clear" w:color="auto" w:fill="F3F3F4"/>
          </w:tcPr>
          <w:p>
            <w:pPr>
              <w:spacing w:after="0"/>
              <w:rPr>
                <w:sz w:val="19"/>
                <w:szCs w:val="19"/>
                <w:color w:val="auto"/>
              </w:rPr>
            </w:pPr>
          </w:p>
        </w:tc>
        <w:tc>
          <w:tcPr>
            <w:tcW w:w="170" w:type="dxa"/>
            <w:vAlign w:val="bottom"/>
            <w:shd w:val="clear" w:color="auto" w:fill="F3F3F4"/>
          </w:tcPr>
          <w:p>
            <w:pPr>
              <w:spacing w:after="0"/>
              <w:rPr>
                <w:sz w:val="19"/>
                <w:szCs w:val="19"/>
                <w:color w:val="auto"/>
              </w:rPr>
            </w:pPr>
          </w:p>
        </w:tc>
        <w:tc>
          <w:tcPr>
            <w:tcW w:w="61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F3F3F4"/>
          </w:tcPr>
          <w:p>
            <w:pPr>
              <w:spacing w:after="0"/>
              <w:rPr>
                <w:sz w:val="19"/>
                <w:szCs w:val="19"/>
                <w:color w:val="auto"/>
              </w:rPr>
            </w:pPr>
          </w:p>
        </w:tc>
        <w:tc>
          <w:tcPr>
            <w:tcW w:w="220" w:type="dxa"/>
            <w:vAlign w:val="bottom"/>
            <w:shd w:val="clear" w:color="auto" w:fill="F3F3F4"/>
          </w:tcPr>
          <w:p>
            <w:pPr>
              <w:spacing w:after="0"/>
              <w:rPr>
                <w:sz w:val="19"/>
                <w:szCs w:val="19"/>
                <w:color w:val="auto"/>
              </w:rPr>
            </w:pPr>
          </w:p>
        </w:tc>
        <w:tc>
          <w:tcPr>
            <w:tcW w:w="102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right w:val="single" w:sz="8" w:color="F3F3F4"/>
            </w:tcBorders>
            <w:shd w:val="clear" w:color="auto" w:fill="F3F3F4"/>
          </w:tcPr>
          <w:p>
            <w:pPr>
              <w:spacing w:after="0"/>
              <w:rPr>
                <w:sz w:val="19"/>
                <w:szCs w:val="19"/>
                <w:color w:val="auto"/>
              </w:rPr>
            </w:pPr>
          </w:p>
        </w:tc>
        <w:tc>
          <w:tcPr>
            <w:tcW w:w="140" w:type="dxa"/>
            <w:vAlign w:val="bottom"/>
            <w:shd w:val="clear" w:color="auto" w:fill="F3F3F4"/>
          </w:tcPr>
          <w:p>
            <w:pPr>
              <w:spacing w:after="0"/>
              <w:rPr>
                <w:sz w:val="19"/>
                <w:szCs w:val="19"/>
                <w:color w:val="auto"/>
              </w:rPr>
            </w:pPr>
          </w:p>
        </w:tc>
        <w:tc>
          <w:tcPr>
            <w:tcW w:w="11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9"/>
                <w:szCs w:val="19"/>
                <w:color w:val="auto"/>
              </w:rPr>
            </w:pPr>
          </w:p>
        </w:tc>
        <w:tc>
          <w:tcPr>
            <w:tcW w:w="100" w:type="dxa"/>
            <w:vAlign w:val="bottom"/>
            <w:shd w:val="clear" w:color="auto" w:fill="F3F3F4"/>
          </w:tcPr>
          <w:p>
            <w:pPr>
              <w:spacing w:after="0"/>
              <w:rPr>
                <w:sz w:val="19"/>
                <w:szCs w:val="19"/>
                <w:color w:val="auto"/>
              </w:rPr>
            </w:pPr>
          </w:p>
        </w:tc>
        <w:tc>
          <w:tcPr>
            <w:tcW w:w="220" w:type="dxa"/>
            <w:vAlign w:val="bottom"/>
            <w:shd w:val="clear" w:color="auto" w:fill="F3F3F4"/>
          </w:tcPr>
          <w:p>
            <w:pPr>
              <w:spacing w:after="0"/>
              <w:rPr>
                <w:sz w:val="19"/>
                <w:szCs w:val="19"/>
                <w:color w:val="auto"/>
              </w:rPr>
            </w:pPr>
          </w:p>
        </w:tc>
        <w:tc>
          <w:tcPr>
            <w:tcW w:w="1100" w:type="dxa"/>
            <w:vAlign w:val="bottom"/>
            <w:tcBorders>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9"/>
                <w:szCs w:val="19"/>
                <w:color w:val="auto"/>
              </w:rPr>
            </w:pPr>
          </w:p>
        </w:tc>
        <w:tc>
          <w:tcPr>
            <w:tcW w:w="100" w:type="dxa"/>
            <w:vAlign w:val="bottom"/>
            <w:shd w:val="clear" w:color="auto" w:fill="F3F3F4"/>
          </w:tcPr>
          <w:p>
            <w:pPr>
              <w:spacing w:after="0"/>
              <w:rPr>
                <w:sz w:val="19"/>
                <w:szCs w:val="19"/>
                <w:color w:val="auto"/>
              </w:rPr>
            </w:pPr>
          </w:p>
        </w:tc>
        <w:tc>
          <w:tcPr>
            <w:tcW w:w="780" w:type="dxa"/>
            <w:vAlign w:val="bottom"/>
            <w:shd w:val="clear" w:color="auto" w:fill="F3F3F4"/>
          </w:tcPr>
          <w:p>
            <w:pPr>
              <w:spacing w:after="0"/>
              <w:rPr>
                <w:sz w:val="19"/>
                <w:szCs w:val="19"/>
                <w:color w:val="auto"/>
              </w:rPr>
            </w:pPr>
          </w:p>
        </w:tc>
        <w:tc>
          <w:tcPr>
            <w:tcW w:w="3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20" w:type="dxa"/>
            <w:vAlign w:val="bottom"/>
            <w:tcBorders>
              <w:top w:val="single" w:sz="8" w:color="F3F3F4"/>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Total Cash Compensation</w:t>
            </w:r>
          </w:p>
        </w:tc>
        <w:tc>
          <w:tcPr>
            <w:tcW w:w="120" w:type="dxa"/>
            <w:vAlign w:val="bottom"/>
            <w:tcBorders>
              <w:top w:val="single" w:sz="8" w:color="F3F3F4"/>
              <w:bottom w:val="single" w:sz="8" w:color="F3F3F4"/>
            </w:tcBorders>
            <w:shd w:val="clear" w:color="auto" w:fill="F3F3F4"/>
          </w:tcPr>
          <w:p>
            <w:pPr>
              <w:spacing w:after="0"/>
              <w:rPr>
                <w:sz w:val="21"/>
                <w:szCs w:val="21"/>
                <w:color w:val="auto"/>
              </w:rPr>
            </w:pPr>
          </w:p>
        </w:tc>
        <w:tc>
          <w:tcPr>
            <w:tcW w:w="120" w:type="dxa"/>
            <w:vAlign w:val="bottom"/>
            <w:tcBorders>
              <w:top w:val="single" w:sz="8" w:color="auto"/>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auto"/>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1,420,300</w:t>
            </w:r>
          </w:p>
        </w:tc>
        <w:tc>
          <w:tcPr>
            <w:tcW w:w="240" w:type="dxa"/>
            <w:vAlign w:val="bottom"/>
            <w:tcBorders>
              <w:top w:val="single" w:sz="8" w:color="F3F3F4"/>
              <w:bottom w:val="single" w:sz="8" w:color="F3F3F4"/>
              <w:right w:val="single" w:sz="8" w:color="F3F3F4"/>
            </w:tcBorders>
            <w:shd w:val="clear" w:color="auto" w:fill="F3F3F4"/>
          </w:tcPr>
          <w:p>
            <w:pPr>
              <w:spacing w:after="0"/>
              <w:rPr>
                <w:sz w:val="21"/>
                <w:szCs w:val="21"/>
                <w:color w:val="auto"/>
              </w:rPr>
            </w:pPr>
          </w:p>
        </w:tc>
        <w:tc>
          <w:tcPr>
            <w:tcW w:w="170" w:type="dxa"/>
            <w:vAlign w:val="bottom"/>
            <w:tcBorders>
              <w:top w:val="single" w:sz="8" w:color="auto"/>
              <w:bottom w:val="single" w:sz="8" w:color="F3F3F4"/>
            </w:tcBorders>
            <w:shd w:val="clear" w:color="auto" w:fill="F3F3F4"/>
          </w:tcPr>
          <w:p>
            <w:pPr>
              <w:jc w:val="right"/>
              <w:ind w:right="52"/>
              <w:spacing w:after="0"/>
              <w:rPr>
                <w:sz w:val="20"/>
                <w:szCs w:val="20"/>
                <w:color w:val="auto"/>
              </w:rPr>
            </w:pPr>
            <w:r>
              <w:rPr>
                <w:rFonts w:ascii="Arial" w:cs="Arial" w:eastAsia="Arial" w:hAnsi="Arial"/>
                <w:sz w:val="10"/>
                <w:szCs w:val="10"/>
                <w:color w:val="auto"/>
                <w:w w:val="71"/>
              </w:rPr>
              <w:t>$</w:t>
            </w:r>
          </w:p>
        </w:tc>
        <w:tc>
          <w:tcPr>
            <w:tcW w:w="610" w:type="dxa"/>
            <w:vAlign w:val="bottom"/>
            <w:tcBorders>
              <w:top w:val="single" w:sz="8" w:color="auto"/>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top w:val="single" w:sz="8" w:color="F3F3F4"/>
              <w:bottom w:val="single" w:sz="8" w:color="F3F3F4"/>
              <w:right w:val="single" w:sz="8" w:color="F3F3F4"/>
            </w:tcBorders>
            <w:shd w:val="clear" w:color="auto" w:fill="F3F3F4"/>
          </w:tcPr>
          <w:p>
            <w:pPr>
              <w:spacing w:after="0"/>
              <w:rPr>
                <w:sz w:val="21"/>
                <w:szCs w:val="21"/>
                <w:color w:val="auto"/>
              </w:rPr>
            </w:pPr>
          </w:p>
        </w:tc>
        <w:tc>
          <w:tcPr>
            <w:tcW w:w="220" w:type="dxa"/>
            <w:vAlign w:val="bottom"/>
            <w:tcBorders>
              <w:top w:val="single" w:sz="8" w:color="auto"/>
              <w:bottom w:val="single" w:sz="8" w:color="F3F3F4"/>
            </w:tcBorders>
            <w:shd w:val="clear" w:color="auto" w:fill="F3F3F4"/>
          </w:tcPr>
          <w:p>
            <w:pPr>
              <w:jc w:val="right"/>
              <w:ind w:right="10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101,450</w:t>
            </w:r>
          </w:p>
        </w:tc>
        <w:tc>
          <w:tcPr>
            <w:tcW w:w="220" w:type="dxa"/>
            <w:vAlign w:val="bottom"/>
            <w:tcBorders>
              <w:top w:val="single" w:sz="8" w:color="F3F3F4"/>
              <w:bottom w:val="single" w:sz="8" w:color="F3F3F4"/>
              <w:right w:val="single" w:sz="8" w:color="F3F3F4"/>
            </w:tcBorders>
            <w:shd w:val="clear" w:color="auto" w:fill="F3F3F4"/>
          </w:tcPr>
          <w:p>
            <w:pPr>
              <w:spacing w:after="0"/>
              <w:rPr>
                <w:sz w:val="21"/>
                <w:szCs w:val="21"/>
                <w:color w:val="auto"/>
              </w:rPr>
            </w:pPr>
          </w:p>
        </w:tc>
        <w:tc>
          <w:tcPr>
            <w:tcW w:w="140" w:type="dxa"/>
            <w:vAlign w:val="bottom"/>
            <w:tcBorders>
              <w:top w:val="single" w:sz="8" w:color="auto"/>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1,420,300</w:t>
            </w:r>
          </w:p>
        </w:tc>
        <w:tc>
          <w:tcPr>
            <w:tcW w:w="100" w:type="dxa"/>
            <w:vAlign w:val="bottom"/>
            <w:tcBorders>
              <w:top w:val="single" w:sz="8" w:color="F3F3F4"/>
              <w:bottom w:val="single" w:sz="8" w:color="F3F3F4"/>
            </w:tcBorders>
            <w:shd w:val="clear" w:color="auto" w:fill="F3F3F4"/>
          </w:tcPr>
          <w:p>
            <w:pPr>
              <w:spacing w:after="0"/>
              <w:rPr>
                <w:sz w:val="21"/>
                <w:szCs w:val="21"/>
                <w:color w:val="auto"/>
              </w:rPr>
            </w:pPr>
          </w:p>
        </w:tc>
        <w:tc>
          <w:tcPr>
            <w:tcW w:w="100" w:type="dxa"/>
            <w:vAlign w:val="bottom"/>
            <w:tcBorders>
              <w:top w:val="single" w:sz="8" w:color="F3F3F4"/>
              <w:bottom w:val="single" w:sz="8" w:color="F3F3F4"/>
            </w:tcBorders>
            <w:shd w:val="clear" w:color="auto" w:fill="F3F3F4"/>
          </w:tcPr>
          <w:p>
            <w:pPr>
              <w:spacing w:after="0"/>
              <w:rPr>
                <w:sz w:val="21"/>
                <w:szCs w:val="21"/>
                <w:color w:val="auto"/>
              </w:rPr>
            </w:pPr>
          </w:p>
        </w:tc>
        <w:tc>
          <w:tcPr>
            <w:tcW w:w="220" w:type="dxa"/>
            <w:vAlign w:val="bottom"/>
            <w:tcBorders>
              <w:top w:val="single" w:sz="8" w:color="auto"/>
              <w:bottom w:val="single" w:sz="8" w:color="F3F3F4"/>
            </w:tcBorders>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F3F3F4"/>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tcBorders>
              <w:top w:val="single" w:sz="8" w:color="F3F3F4"/>
              <w:bottom w:val="single" w:sz="8" w:color="F3F3F4"/>
            </w:tcBorders>
            <w:shd w:val="clear" w:color="auto" w:fill="F3F3F4"/>
          </w:tcPr>
          <w:p>
            <w:pPr>
              <w:spacing w:after="0"/>
              <w:rPr>
                <w:sz w:val="21"/>
                <w:szCs w:val="21"/>
                <w:color w:val="auto"/>
              </w:rPr>
            </w:pPr>
          </w:p>
        </w:tc>
        <w:tc>
          <w:tcPr>
            <w:tcW w:w="880" w:type="dxa"/>
            <w:vAlign w:val="bottom"/>
            <w:tcBorders>
              <w:top w:val="single" w:sz="8" w:color="auto"/>
              <w:bottom w:val="single" w:sz="8" w:color="F3F3F4"/>
            </w:tcBorders>
            <w:gridSpan w:val="2"/>
            <w:shd w:val="clear" w:color="auto" w:fill="F3F3F4"/>
          </w:tcPr>
          <w:p>
            <w:pPr>
              <w:jc w:val="right"/>
              <w:ind w:right="713"/>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top w:val="single" w:sz="8" w:color="F3F3F4"/>
              <w:bottom w:val="single" w:sz="8" w:color="F3F3F4"/>
            </w:tcBorders>
            <w:shd w:val="clear" w:color="auto" w:fill="F3F3F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92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Long-Term Equity Incentive</w:t>
            </w:r>
          </w:p>
        </w:tc>
        <w:tc>
          <w:tcPr>
            <w:tcW w:w="120" w:type="dxa"/>
            <w:vAlign w:val="bottom"/>
            <w:tcBorders>
              <w:top w:val="single" w:sz="8" w:color="939598"/>
            </w:tcBorders>
            <w:shd w:val="clear" w:color="auto" w:fill="F3F3F4"/>
          </w:tcPr>
          <w:p>
            <w:pPr>
              <w:spacing w:after="0"/>
              <w:rPr>
                <w:sz w:val="21"/>
                <w:szCs w:val="21"/>
                <w:color w:val="auto"/>
              </w:rPr>
            </w:pPr>
          </w:p>
        </w:tc>
        <w:tc>
          <w:tcPr>
            <w:tcW w:w="120" w:type="dxa"/>
            <w:vAlign w:val="bottom"/>
            <w:tcBorders>
              <w:top w:val="single" w:sz="8" w:color="939598"/>
            </w:tcBorders>
            <w:shd w:val="clear" w:color="auto" w:fill="F3F3F4"/>
          </w:tcPr>
          <w:p>
            <w:pPr>
              <w:spacing w:after="0"/>
              <w:rPr>
                <w:sz w:val="21"/>
                <w:szCs w:val="21"/>
                <w:color w:val="auto"/>
              </w:rPr>
            </w:pPr>
          </w:p>
        </w:tc>
        <w:tc>
          <w:tcPr>
            <w:tcW w:w="1180" w:type="dxa"/>
            <w:vAlign w:val="bottom"/>
            <w:tcBorders>
              <w:top w:val="single" w:sz="8" w:color="939598"/>
              <w:right w:val="single" w:sz="8" w:color="F3F3F4"/>
            </w:tcBorders>
            <w:shd w:val="clear" w:color="auto" w:fill="F3F3F4"/>
          </w:tcPr>
          <w:p>
            <w:pPr>
              <w:spacing w:after="0"/>
              <w:rPr>
                <w:sz w:val="21"/>
                <w:szCs w:val="21"/>
                <w:color w:val="auto"/>
              </w:rPr>
            </w:pPr>
          </w:p>
        </w:tc>
        <w:tc>
          <w:tcPr>
            <w:tcW w:w="240" w:type="dxa"/>
            <w:vAlign w:val="bottom"/>
            <w:tcBorders>
              <w:top w:val="single" w:sz="8" w:color="939598"/>
              <w:right w:val="single" w:sz="8" w:color="F3F3F4"/>
            </w:tcBorders>
            <w:shd w:val="clear" w:color="auto" w:fill="F3F3F4"/>
          </w:tcPr>
          <w:p>
            <w:pPr>
              <w:spacing w:after="0"/>
              <w:rPr>
                <w:sz w:val="21"/>
                <w:szCs w:val="21"/>
                <w:color w:val="auto"/>
              </w:rPr>
            </w:pPr>
          </w:p>
        </w:tc>
        <w:tc>
          <w:tcPr>
            <w:tcW w:w="170" w:type="dxa"/>
            <w:vAlign w:val="bottom"/>
            <w:tcBorders>
              <w:top w:val="single" w:sz="8" w:color="939598"/>
            </w:tcBorders>
            <w:shd w:val="clear" w:color="auto" w:fill="F3F3F4"/>
          </w:tcPr>
          <w:p>
            <w:pPr>
              <w:spacing w:after="0"/>
              <w:rPr>
                <w:sz w:val="21"/>
                <w:szCs w:val="21"/>
                <w:color w:val="auto"/>
              </w:rPr>
            </w:pPr>
          </w:p>
        </w:tc>
        <w:tc>
          <w:tcPr>
            <w:tcW w:w="610" w:type="dxa"/>
            <w:vAlign w:val="bottom"/>
            <w:tcBorders>
              <w:top w:val="single" w:sz="8" w:color="939598"/>
              <w:right w:val="single" w:sz="8" w:color="F3F3F4"/>
            </w:tcBorders>
            <w:shd w:val="clear" w:color="auto" w:fill="F3F3F4"/>
          </w:tcPr>
          <w:p>
            <w:pPr>
              <w:spacing w:after="0"/>
              <w:rPr>
                <w:sz w:val="21"/>
                <w:szCs w:val="21"/>
                <w:color w:val="auto"/>
              </w:rPr>
            </w:pPr>
          </w:p>
        </w:tc>
        <w:tc>
          <w:tcPr>
            <w:tcW w:w="240" w:type="dxa"/>
            <w:vAlign w:val="bottom"/>
            <w:tcBorders>
              <w:top w:val="single" w:sz="8" w:color="939598"/>
              <w:right w:val="single" w:sz="8" w:color="F3F3F4"/>
            </w:tcBorders>
            <w:shd w:val="clear" w:color="auto" w:fill="F3F3F4"/>
          </w:tcPr>
          <w:p>
            <w:pPr>
              <w:spacing w:after="0"/>
              <w:rPr>
                <w:sz w:val="21"/>
                <w:szCs w:val="21"/>
                <w:color w:val="auto"/>
              </w:rPr>
            </w:pPr>
          </w:p>
        </w:tc>
        <w:tc>
          <w:tcPr>
            <w:tcW w:w="220" w:type="dxa"/>
            <w:vAlign w:val="bottom"/>
            <w:tcBorders>
              <w:top w:val="single" w:sz="8" w:color="939598"/>
            </w:tcBorders>
            <w:shd w:val="clear" w:color="auto" w:fill="F3F3F4"/>
          </w:tcPr>
          <w:p>
            <w:pPr>
              <w:spacing w:after="0"/>
              <w:rPr>
                <w:sz w:val="21"/>
                <w:szCs w:val="21"/>
                <w:color w:val="auto"/>
              </w:rPr>
            </w:pPr>
          </w:p>
        </w:tc>
        <w:tc>
          <w:tcPr>
            <w:tcW w:w="1020" w:type="dxa"/>
            <w:vAlign w:val="bottom"/>
            <w:tcBorders>
              <w:top w:val="single" w:sz="8" w:color="939598"/>
              <w:right w:val="single" w:sz="8" w:color="F3F3F4"/>
            </w:tcBorders>
            <w:shd w:val="clear" w:color="auto" w:fill="F3F3F4"/>
          </w:tcPr>
          <w:p>
            <w:pPr>
              <w:spacing w:after="0"/>
              <w:rPr>
                <w:sz w:val="21"/>
                <w:szCs w:val="21"/>
                <w:color w:val="auto"/>
              </w:rPr>
            </w:pPr>
          </w:p>
        </w:tc>
        <w:tc>
          <w:tcPr>
            <w:tcW w:w="220" w:type="dxa"/>
            <w:vAlign w:val="bottom"/>
            <w:tcBorders>
              <w:top w:val="single" w:sz="8" w:color="939598"/>
              <w:right w:val="single" w:sz="8" w:color="F3F3F4"/>
            </w:tcBorders>
            <w:shd w:val="clear" w:color="auto" w:fill="F3F3F4"/>
          </w:tcPr>
          <w:p>
            <w:pPr>
              <w:spacing w:after="0"/>
              <w:rPr>
                <w:sz w:val="21"/>
                <w:szCs w:val="21"/>
                <w:color w:val="auto"/>
              </w:rPr>
            </w:pPr>
          </w:p>
        </w:tc>
        <w:tc>
          <w:tcPr>
            <w:tcW w:w="140" w:type="dxa"/>
            <w:vAlign w:val="bottom"/>
            <w:tcBorders>
              <w:top w:val="single" w:sz="8" w:color="939598"/>
            </w:tcBorders>
            <w:shd w:val="clear" w:color="auto" w:fill="F3F3F4"/>
          </w:tcPr>
          <w:p>
            <w:pPr>
              <w:spacing w:after="0"/>
              <w:rPr>
                <w:sz w:val="21"/>
                <w:szCs w:val="21"/>
                <w:color w:val="auto"/>
              </w:rPr>
            </w:pPr>
          </w:p>
        </w:tc>
        <w:tc>
          <w:tcPr>
            <w:tcW w:w="1100" w:type="dxa"/>
            <w:vAlign w:val="bottom"/>
            <w:tcBorders>
              <w:top w:val="single" w:sz="8" w:color="939598"/>
              <w:right w:val="single" w:sz="8" w:color="F3F3F4"/>
            </w:tcBorders>
            <w:shd w:val="clear" w:color="auto" w:fill="F3F3F4"/>
          </w:tcPr>
          <w:p>
            <w:pPr>
              <w:spacing w:after="0"/>
              <w:rPr>
                <w:sz w:val="21"/>
                <w:szCs w:val="21"/>
                <w:color w:val="auto"/>
              </w:rPr>
            </w:pPr>
          </w:p>
        </w:tc>
        <w:tc>
          <w:tcPr>
            <w:tcW w:w="100" w:type="dxa"/>
            <w:vAlign w:val="bottom"/>
            <w:tcBorders>
              <w:top w:val="single" w:sz="8" w:color="939598"/>
            </w:tcBorders>
            <w:shd w:val="clear" w:color="auto" w:fill="F3F3F4"/>
          </w:tcPr>
          <w:p>
            <w:pPr>
              <w:spacing w:after="0"/>
              <w:rPr>
                <w:sz w:val="21"/>
                <w:szCs w:val="21"/>
                <w:color w:val="auto"/>
              </w:rPr>
            </w:pPr>
          </w:p>
        </w:tc>
        <w:tc>
          <w:tcPr>
            <w:tcW w:w="100" w:type="dxa"/>
            <w:vAlign w:val="bottom"/>
            <w:tcBorders>
              <w:top w:val="single" w:sz="8" w:color="939598"/>
            </w:tcBorders>
            <w:shd w:val="clear" w:color="auto" w:fill="F3F3F4"/>
          </w:tcPr>
          <w:p>
            <w:pPr>
              <w:spacing w:after="0"/>
              <w:rPr>
                <w:sz w:val="21"/>
                <w:szCs w:val="21"/>
                <w:color w:val="auto"/>
              </w:rPr>
            </w:pPr>
          </w:p>
        </w:tc>
        <w:tc>
          <w:tcPr>
            <w:tcW w:w="220" w:type="dxa"/>
            <w:vAlign w:val="bottom"/>
            <w:tcBorders>
              <w:top w:val="single" w:sz="8" w:color="939598"/>
            </w:tcBorders>
            <w:shd w:val="clear" w:color="auto" w:fill="F3F3F4"/>
          </w:tcPr>
          <w:p>
            <w:pPr>
              <w:spacing w:after="0"/>
              <w:rPr>
                <w:sz w:val="21"/>
                <w:szCs w:val="21"/>
                <w:color w:val="auto"/>
              </w:rPr>
            </w:pPr>
          </w:p>
        </w:tc>
        <w:tc>
          <w:tcPr>
            <w:tcW w:w="1100" w:type="dxa"/>
            <w:vAlign w:val="bottom"/>
            <w:tcBorders>
              <w:top w:val="single" w:sz="8" w:color="939598"/>
              <w:right w:val="single" w:sz="8" w:color="F3F3F4"/>
            </w:tcBorders>
            <w:shd w:val="clear" w:color="auto" w:fill="F3F3F4"/>
          </w:tcPr>
          <w:p>
            <w:pPr>
              <w:spacing w:after="0"/>
              <w:rPr>
                <w:sz w:val="21"/>
                <w:szCs w:val="21"/>
                <w:color w:val="auto"/>
              </w:rPr>
            </w:pPr>
          </w:p>
        </w:tc>
        <w:tc>
          <w:tcPr>
            <w:tcW w:w="100" w:type="dxa"/>
            <w:vAlign w:val="bottom"/>
            <w:tcBorders>
              <w:top w:val="single" w:sz="8" w:color="939598"/>
            </w:tcBorders>
            <w:shd w:val="clear" w:color="auto" w:fill="F3F3F4"/>
          </w:tcPr>
          <w:p>
            <w:pPr>
              <w:spacing w:after="0"/>
              <w:rPr>
                <w:sz w:val="21"/>
                <w:szCs w:val="21"/>
                <w:color w:val="auto"/>
              </w:rPr>
            </w:pPr>
          </w:p>
        </w:tc>
        <w:tc>
          <w:tcPr>
            <w:tcW w:w="100" w:type="dxa"/>
            <w:vAlign w:val="bottom"/>
            <w:tcBorders>
              <w:top w:val="single" w:sz="8" w:color="939598"/>
            </w:tcBorders>
            <w:shd w:val="clear" w:color="auto" w:fill="F3F3F4"/>
          </w:tcPr>
          <w:p>
            <w:pPr>
              <w:spacing w:after="0"/>
              <w:rPr>
                <w:sz w:val="21"/>
                <w:szCs w:val="21"/>
                <w:color w:val="auto"/>
              </w:rPr>
            </w:pPr>
          </w:p>
        </w:tc>
        <w:tc>
          <w:tcPr>
            <w:tcW w:w="780" w:type="dxa"/>
            <w:vAlign w:val="bottom"/>
            <w:tcBorders>
              <w:top w:val="single" w:sz="8" w:color="939598"/>
            </w:tcBorders>
            <w:shd w:val="clear" w:color="auto" w:fill="F3F3F4"/>
          </w:tcPr>
          <w:p>
            <w:pPr>
              <w:spacing w:after="0"/>
              <w:rPr>
                <w:sz w:val="21"/>
                <w:szCs w:val="21"/>
                <w:color w:val="auto"/>
              </w:rPr>
            </w:pPr>
          </w:p>
        </w:tc>
        <w:tc>
          <w:tcPr>
            <w:tcW w:w="340" w:type="dxa"/>
            <w:vAlign w:val="bottom"/>
            <w:tcBorders>
              <w:top w:val="single" w:sz="8" w:color="939598"/>
            </w:tcBorders>
            <w:shd w:val="clear" w:color="auto" w:fill="F3F3F4"/>
          </w:tcPr>
          <w:p>
            <w:pPr>
              <w:spacing w:after="0"/>
              <w:rPr>
                <w:sz w:val="21"/>
                <w:szCs w:val="21"/>
                <w:color w:val="auto"/>
              </w:rPr>
            </w:pPr>
          </w:p>
        </w:tc>
        <w:tc>
          <w:tcPr>
            <w:tcW w:w="100" w:type="dxa"/>
            <w:vAlign w:val="bottom"/>
            <w:tcBorders>
              <w:top w:val="single" w:sz="8" w:color="939598"/>
            </w:tcBorders>
            <w:shd w:val="clear" w:color="auto" w:fill="F3F3F4"/>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b w:val="1"/>
                <w:bCs w:val="1"/>
                <w:color w:val="auto"/>
              </w:rPr>
              <w:t>Awards:</w:t>
            </w:r>
          </w:p>
        </w:tc>
        <w:tc>
          <w:tcPr>
            <w:tcW w:w="120" w:type="dxa"/>
            <w:vAlign w:val="bottom"/>
            <w:shd w:val="clear" w:color="auto" w:fill="F3F3F4"/>
          </w:tcPr>
          <w:p>
            <w:pPr>
              <w:spacing w:after="0"/>
              <w:rPr>
                <w:sz w:val="17"/>
                <w:szCs w:val="17"/>
                <w:color w:val="auto"/>
              </w:rPr>
            </w:pPr>
          </w:p>
        </w:tc>
        <w:tc>
          <w:tcPr>
            <w:tcW w:w="120" w:type="dxa"/>
            <w:vAlign w:val="bottom"/>
            <w:shd w:val="clear" w:color="auto" w:fill="F3F3F4"/>
          </w:tcPr>
          <w:p>
            <w:pPr>
              <w:spacing w:after="0"/>
              <w:rPr>
                <w:sz w:val="17"/>
                <w:szCs w:val="17"/>
                <w:color w:val="auto"/>
              </w:rPr>
            </w:pPr>
          </w:p>
        </w:tc>
        <w:tc>
          <w:tcPr>
            <w:tcW w:w="1180" w:type="dxa"/>
            <w:vAlign w:val="bottom"/>
            <w:tcBorders>
              <w:right w:val="single" w:sz="8" w:color="F3F3F4"/>
            </w:tcBorders>
            <w:shd w:val="clear" w:color="auto" w:fill="F3F3F4"/>
          </w:tcPr>
          <w:p>
            <w:pPr>
              <w:spacing w:after="0"/>
              <w:rPr>
                <w:sz w:val="17"/>
                <w:szCs w:val="17"/>
                <w:color w:val="auto"/>
              </w:rPr>
            </w:pPr>
          </w:p>
        </w:tc>
        <w:tc>
          <w:tcPr>
            <w:tcW w:w="240" w:type="dxa"/>
            <w:vAlign w:val="bottom"/>
            <w:tcBorders>
              <w:right w:val="single" w:sz="8" w:color="F3F3F4"/>
            </w:tcBorders>
            <w:shd w:val="clear" w:color="auto" w:fill="F3F3F4"/>
          </w:tcPr>
          <w:p>
            <w:pPr>
              <w:spacing w:after="0"/>
              <w:rPr>
                <w:sz w:val="17"/>
                <w:szCs w:val="17"/>
                <w:color w:val="auto"/>
              </w:rPr>
            </w:pPr>
          </w:p>
        </w:tc>
        <w:tc>
          <w:tcPr>
            <w:tcW w:w="170" w:type="dxa"/>
            <w:vAlign w:val="bottom"/>
            <w:shd w:val="clear" w:color="auto" w:fill="F3F3F4"/>
          </w:tcPr>
          <w:p>
            <w:pPr>
              <w:spacing w:after="0"/>
              <w:rPr>
                <w:sz w:val="17"/>
                <w:szCs w:val="17"/>
                <w:color w:val="auto"/>
              </w:rPr>
            </w:pPr>
          </w:p>
        </w:tc>
        <w:tc>
          <w:tcPr>
            <w:tcW w:w="610" w:type="dxa"/>
            <w:vAlign w:val="bottom"/>
            <w:tcBorders>
              <w:right w:val="single" w:sz="8" w:color="F3F3F4"/>
            </w:tcBorders>
            <w:shd w:val="clear" w:color="auto" w:fill="F3F3F4"/>
          </w:tcPr>
          <w:p>
            <w:pPr>
              <w:spacing w:after="0"/>
              <w:rPr>
                <w:sz w:val="17"/>
                <w:szCs w:val="17"/>
                <w:color w:val="auto"/>
              </w:rPr>
            </w:pPr>
          </w:p>
        </w:tc>
        <w:tc>
          <w:tcPr>
            <w:tcW w:w="240" w:type="dxa"/>
            <w:vAlign w:val="bottom"/>
            <w:tcBorders>
              <w:right w:val="single" w:sz="8" w:color="F3F3F4"/>
            </w:tcBorders>
            <w:shd w:val="clear" w:color="auto" w:fill="F3F3F4"/>
          </w:tcPr>
          <w:p>
            <w:pPr>
              <w:spacing w:after="0"/>
              <w:rPr>
                <w:sz w:val="17"/>
                <w:szCs w:val="17"/>
                <w:color w:val="auto"/>
              </w:rPr>
            </w:pPr>
          </w:p>
        </w:tc>
        <w:tc>
          <w:tcPr>
            <w:tcW w:w="220" w:type="dxa"/>
            <w:vAlign w:val="bottom"/>
            <w:shd w:val="clear" w:color="auto" w:fill="F3F3F4"/>
          </w:tcPr>
          <w:p>
            <w:pPr>
              <w:spacing w:after="0"/>
              <w:rPr>
                <w:sz w:val="17"/>
                <w:szCs w:val="17"/>
                <w:color w:val="auto"/>
              </w:rPr>
            </w:pPr>
          </w:p>
        </w:tc>
        <w:tc>
          <w:tcPr>
            <w:tcW w:w="1020" w:type="dxa"/>
            <w:vAlign w:val="bottom"/>
            <w:tcBorders>
              <w:right w:val="single" w:sz="8" w:color="F3F3F4"/>
            </w:tcBorders>
            <w:shd w:val="clear" w:color="auto" w:fill="F3F3F4"/>
          </w:tcPr>
          <w:p>
            <w:pPr>
              <w:spacing w:after="0"/>
              <w:rPr>
                <w:sz w:val="17"/>
                <w:szCs w:val="17"/>
                <w:color w:val="auto"/>
              </w:rPr>
            </w:pPr>
          </w:p>
        </w:tc>
        <w:tc>
          <w:tcPr>
            <w:tcW w:w="220" w:type="dxa"/>
            <w:vAlign w:val="bottom"/>
            <w:tcBorders>
              <w:right w:val="single" w:sz="8" w:color="F3F3F4"/>
            </w:tcBorders>
            <w:shd w:val="clear" w:color="auto" w:fill="F3F3F4"/>
          </w:tcPr>
          <w:p>
            <w:pPr>
              <w:spacing w:after="0"/>
              <w:rPr>
                <w:sz w:val="17"/>
                <w:szCs w:val="17"/>
                <w:color w:val="auto"/>
              </w:rPr>
            </w:pPr>
          </w:p>
        </w:tc>
        <w:tc>
          <w:tcPr>
            <w:tcW w:w="140" w:type="dxa"/>
            <w:vAlign w:val="bottom"/>
            <w:shd w:val="clear" w:color="auto" w:fill="F3F3F4"/>
          </w:tcPr>
          <w:p>
            <w:pPr>
              <w:spacing w:after="0"/>
              <w:rPr>
                <w:sz w:val="17"/>
                <w:szCs w:val="17"/>
                <w:color w:val="auto"/>
              </w:rPr>
            </w:pPr>
          </w:p>
        </w:tc>
        <w:tc>
          <w:tcPr>
            <w:tcW w:w="1100" w:type="dxa"/>
            <w:vAlign w:val="bottom"/>
            <w:tcBorders>
              <w:right w:val="single" w:sz="8" w:color="F3F3F4"/>
            </w:tcBorders>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220" w:type="dxa"/>
            <w:vAlign w:val="bottom"/>
            <w:shd w:val="clear" w:color="auto" w:fill="F3F3F4"/>
          </w:tcPr>
          <w:p>
            <w:pPr>
              <w:spacing w:after="0"/>
              <w:rPr>
                <w:sz w:val="17"/>
                <w:szCs w:val="17"/>
                <w:color w:val="auto"/>
              </w:rPr>
            </w:pPr>
          </w:p>
        </w:tc>
        <w:tc>
          <w:tcPr>
            <w:tcW w:w="1100" w:type="dxa"/>
            <w:vAlign w:val="bottom"/>
            <w:tcBorders>
              <w:right w:val="single" w:sz="8" w:color="F3F3F4"/>
            </w:tcBorders>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780" w:type="dxa"/>
            <w:vAlign w:val="bottom"/>
            <w:shd w:val="clear" w:color="auto" w:fill="F3F3F4"/>
          </w:tcPr>
          <w:p>
            <w:pPr>
              <w:spacing w:after="0"/>
              <w:rPr>
                <w:sz w:val="17"/>
                <w:szCs w:val="17"/>
                <w:color w:val="auto"/>
              </w:rPr>
            </w:pPr>
          </w:p>
        </w:tc>
        <w:tc>
          <w:tcPr>
            <w:tcW w:w="340" w:type="dxa"/>
            <w:vAlign w:val="bottom"/>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RSUs and PSUs</w:t>
            </w:r>
          </w:p>
        </w:tc>
        <w:tc>
          <w:tcPr>
            <w:tcW w:w="120" w:type="dxa"/>
            <w:vAlign w:val="bottom"/>
            <w:shd w:val="clear" w:color="auto" w:fill="F3F3F4"/>
          </w:tcPr>
          <w:p>
            <w:pPr>
              <w:spacing w:after="0"/>
              <w:rPr>
                <w:sz w:val="19"/>
                <w:szCs w:val="19"/>
                <w:color w:val="auto"/>
              </w:rPr>
            </w:pPr>
          </w:p>
        </w:tc>
        <w:tc>
          <w:tcPr>
            <w:tcW w:w="120" w:type="dxa"/>
            <w:vAlign w:val="bottom"/>
            <w:shd w:val="clear" w:color="auto" w:fill="F3F3F4"/>
          </w:tcPr>
          <w:p>
            <w:pPr>
              <w:spacing w:after="0"/>
              <w:rPr>
                <w:sz w:val="19"/>
                <w:szCs w:val="19"/>
                <w:color w:val="auto"/>
              </w:rPr>
            </w:pPr>
          </w:p>
        </w:tc>
        <w:tc>
          <w:tcPr>
            <w:tcW w:w="1180" w:type="dxa"/>
            <w:vAlign w:val="bottom"/>
            <w:tcBorders>
              <w:right w:val="single" w:sz="8" w:color="F3F3F4"/>
            </w:tcBorders>
            <w:shd w:val="clear" w:color="auto" w:fill="F3F3F4"/>
          </w:tcPr>
          <w:p>
            <w:pPr>
              <w:jc w:val="right"/>
              <w:spacing w:after="0" w:line="228" w:lineRule="exact"/>
              <w:rPr>
                <w:sz w:val="20"/>
                <w:szCs w:val="20"/>
                <w:color w:val="auto"/>
              </w:rPr>
            </w:pPr>
            <w:r>
              <w:rPr>
                <w:rFonts w:ascii="Arial" w:cs="Arial" w:eastAsia="Arial" w:hAnsi="Arial"/>
                <w:sz w:val="13"/>
                <w:szCs w:val="13"/>
                <w:color w:val="auto"/>
              </w:rPr>
              <w:t>1,528,608</w:t>
            </w:r>
            <w:r>
              <w:rPr>
                <w:rFonts w:ascii="Arial" w:cs="Arial" w:eastAsia="Arial" w:hAnsi="Arial"/>
                <w:sz w:val="22"/>
                <w:szCs w:val="22"/>
                <w:color w:val="auto"/>
                <w:vertAlign w:val="superscript"/>
              </w:rPr>
              <w:t>6</w:t>
            </w:r>
          </w:p>
        </w:tc>
        <w:tc>
          <w:tcPr>
            <w:tcW w:w="240" w:type="dxa"/>
            <w:vAlign w:val="bottom"/>
            <w:tcBorders>
              <w:right w:val="single" w:sz="8" w:color="F3F3F4"/>
            </w:tcBorders>
            <w:shd w:val="clear" w:color="auto" w:fill="F3F3F4"/>
          </w:tcPr>
          <w:p>
            <w:pPr>
              <w:spacing w:after="0"/>
              <w:rPr>
                <w:sz w:val="19"/>
                <w:szCs w:val="19"/>
                <w:color w:val="auto"/>
              </w:rPr>
            </w:pPr>
          </w:p>
        </w:tc>
        <w:tc>
          <w:tcPr>
            <w:tcW w:w="170" w:type="dxa"/>
            <w:vAlign w:val="bottom"/>
            <w:shd w:val="clear" w:color="auto" w:fill="F3F3F4"/>
          </w:tcPr>
          <w:p>
            <w:pPr>
              <w:spacing w:after="0"/>
              <w:rPr>
                <w:sz w:val="19"/>
                <w:szCs w:val="19"/>
                <w:color w:val="auto"/>
              </w:rPr>
            </w:pPr>
          </w:p>
        </w:tc>
        <w:tc>
          <w:tcPr>
            <w:tcW w:w="61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F3F3F4"/>
          </w:tcPr>
          <w:p>
            <w:pPr>
              <w:spacing w:after="0"/>
              <w:rPr>
                <w:sz w:val="19"/>
                <w:szCs w:val="19"/>
                <w:color w:val="auto"/>
              </w:rPr>
            </w:pPr>
          </w:p>
        </w:tc>
        <w:tc>
          <w:tcPr>
            <w:tcW w:w="220" w:type="dxa"/>
            <w:vAlign w:val="bottom"/>
            <w:shd w:val="clear" w:color="auto" w:fill="F3F3F4"/>
          </w:tcPr>
          <w:p>
            <w:pPr>
              <w:spacing w:after="0"/>
              <w:rPr>
                <w:sz w:val="19"/>
                <w:szCs w:val="19"/>
                <w:color w:val="auto"/>
              </w:rPr>
            </w:pPr>
          </w:p>
        </w:tc>
        <w:tc>
          <w:tcPr>
            <w:tcW w:w="102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right w:val="single" w:sz="8" w:color="F3F3F4"/>
            </w:tcBorders>
            <w:shd w:val="clear" w:color="auto" w:fill="F3F3F4"/>
          </w:tcPr>
          <w:p>
            <w:pPr>
              <w:spacing w:after="0"/>
              <w:rPr>
                <w:sz w:val="19"/>
                <w:szCs w:val="19"/>
                <w:color w:val="auto"/>
              </w:rPr>
            </w:pPr>
          </w:p>
        </w:tc>
        <w:tc>
          <w:tcPr>
            <w:tcW w:w="140" w:type="dxa"/>
            <w:vAlign w:val="bottom"/>
            <w:shd w:val="clear" w:color="auto" w:fill="F3F3F4"/>
          </w:tcPr>
          <w:p>
            <w:pPr>
              <w:spacing w:after="0"/>
              <w:rPr>
                <w:sz w:val="19"/>
                <w:szCs w:val="19"/>
                <w:color w:val="auto"/>
              </w:rPr>
            </w:pPr>
          </w:p>
        </w:tc>
        <w:tc>
          <w:tcPr>
            <w:tcW w:w="11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9"/>
                <w:szCs w:val="19"/>
                <w:color w:val="auto"/>
              </w:rPr>
            </w:pPr>
          </w:p>
        </w:tc>
        <w:tc>
          <w:tcPr>
            <w:tcW w:w="100" w:type="dxa"/>
            <w:vAlign w:val="bottom"/>
            <w:shd w:val="clear" w:color="auto" w:fill="F3F3F4"/>
          </w:tcPr>
          <w:p>
            <w:pPr>
              <w:spacing w:after="0"/>
              <w:rPr>
                <w:sz w:val="19"/>
                <w:szCs w:val="19"/>
                <w:color w:val="auto"/>
              </w:rPr>
            </w:pPr>
          </w:p>
        </w:tc>
        <w:tc>
          <w:tcPr>
            <w:tcW w:w="220" w:type="dxa"/>
            <w:vAlign w:val="bottom"/>
            <w:shd w:val="clear" w:color="auto" w:fill="F3F3F4"/>
          </w:tcPr>
          <w:p>
            <w:pPr>
              <w:spacing w:after="0"/>
              <w:rPr>
                <w:sz w:val="19"/>
                <w:szCs w:val="19"/>
                <w:color w:val="auto"/>
              </w:rPr>
            </w:pPr>
          </w:p>
        </w:tc>
        <w:tc>
          <w:tcPr>
            <w:tcW w:w="1100" w:type="dxa"/>
            <w:vAlign w:val="bottom"/>
            <w:tcBorders>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9"/>
                <w:szCs w:val="19"/>
                <w:color w:val="auto"/>
              </w:rPr>
            </w:pPr>
          </w:p>
        </w:tc>
        <w:tc>
          <w:tcPr>
            <w:tcW w:w="100" w:type="dxa"/>
            <w:vAlign w:val="bottom"/>
            <w:shd w:val="clear" w:color="auto" w:fill="F3F3F4"/>
          </w:tcPr>
          <w:p>
            <w:pPr>
              <w:spacing w:after="0"/>
              <w:rPr>
                <w:sz w:val="19"/>
                <w:szCs w:val="19"/>
                <w:color w:val="auto"/>
              </w:rPr>
            </w:pPr>
          </w:p>
        </w:tc>
        <w:tc>
          <w:tcPr>
            <w:tcW w:w="780" w:type="dxa"/>
            <w:vAlign w:val="bottom"/>
            <w:shd w:val="clear" w:color="auto" w:fill="F3F3F4"/>
          </w:tcPr>
          <w:p>
            <w:pPr>
              <w:spacing w:after="0"/>
              <w:rPr>
                <w:sz w:val="19"/>
                <w:szCs w:val="19"/>
                <w:color w:val="auto"/>
              </w:rPr>
            </w:pPr>
          </w:p>
        </w:tc>
        <w:tc>
          <w:tcPr>
            <w:tcW w:w="3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F3F3F4"/>
          </w:tcPr>
          <w:p>
            <w:pPr>
              <w:spacing w:after="0" w:line="20" w:lineRule="exact"/>
              <w:rPr>
                <w:sz w:val="1"/>
                <w:szCs w:val="1"/>
                <w:color w:val="auto"/>
              </w:rPr>
            </w:pPr>
          </w:p>
        </w:tc>
        <w:tc>
          <w:tcPr>
            <w:tcW w:w="120" w:type="dxa"/>
            <w:vAlign w:val="bottom"/>
            <w:shd w:val="clear" w:color="auto" w:fill="F3F3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tcBorders>
              <w:right w:val="single" w:sz="8" w:color="F3F3F4"/>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F3F3F4"/>
          </w:tcPr>
          <w:p>
            <w:pPr>
              <w:spacing w:after="0" w:line="20" w:lineRule="exact"/>
              <w:rPr>
                <w:sz w:val="1"/>
                <w:szCs w:val="1"/>
                <w:color w:val="auto"/>
              </w:rPr>
            </w:pPr>
          </w:p>
        </w:tc>
        <w:tc>
          <w:tcPr>
            <w:tcW w:w="170" w:type="dxa"/>
            <w:vAlign w:val="bottom"/>
            <w:shd w:val="clear" w:color="auto" w:fill="000000"/>
          </w:tcPr>
          <w:p>
            <w:pPr>
              <w:spacing w:after="0" w:line="20" w:lineRule="exact"/>
              <w:rPr>
                <w:sz w:val="1"/>
                <w:szCs w:val="1"/>
                <w:color w:val="auto"/>
              </w:rPr>
            </w:pPr>
          </w:p>
        </w:tc>
        <w:tc>
          <w:tcPr>
            <w:tcW w:w="610" w:type="dxa"/>
            <w:vAlign w:val="bottom"/>
            <w:tcBorders>
              <w:right w:val="single" w:sz="8" w:color="F3F3F4"/>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F3F3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F3F3F4"/>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F3F3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F3F3F4"/>
            </w:tcBorders>
            <w:shd w:val="clear" w:color="auto" w:fill="000000"/>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tcBorders>
              <w:right w:val="single" w:sz="8" w:color="F3F3F4"/>
            </w:tcBorders>
            <w:shd w:val="clear" w:color="auto" w:fill="000000"/>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Total Awards</w:t>
            </w:r>
          </w:p>
        </w:tc>
        <w:tc>
          <w:tcPr>
            <w:tcW w:w="120" w:type="dxa"/>
            <w:vAlign w:val="bottom"/>
            <w:tcBorders>
              <w:bottom w:val="single" w:sz="8" w:color="F3F3F4"/>
            </w:tcBorders>
            <w:shd w:val="clear" w:color="auto" w:fill="F3F3F4"/>
          </w:tcPr>
          <w:p>
            <w:pPr>
              <w:spacing w:after="0"/>
              <w:rPr>
                <w:sz w:val="21"/>
                <w:szCs w:val="21"/>
                <w:color w:val="auto"/>
              </w:rPr>
            </w:pPr>
          </w:p>
        </w:tc>
        <w:tc>
          <w:tcPr>
            <w:tcW w:w="12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1,528,608</w:t>
            </w:r>
          </w:p>
        </w:tc>
        <w:tc>
          <w:tcPr>
            <w:tcW w:w="240" w:type="dxa"/>
            <w:vAlign w:val="bottom"/>
            <w:tcBorders>
              <w:bottom w:val="single" w:sz="8" w:color="F3F3F4"/>
              <w:right w:val="single" w:sz="8" w:color="F3F3F4"/>
            </w:tcBorders>
            <w:shd w:val="clear" w:color="auto" w:fill="F3F3F4"/>
          </w:tcPr>
          <w:p>
            <w:pPr>
              <w:spacing w:after="0"/>
              <w:rPr>
                <w:sz w:val="21"/>
                <w:szCs w:val="21"/>
                <w:color w:val="auto"/>
              </w:rPr>
            </w:pPr>
          </w:p>
        </w:tc>
        <w:tc>
          <w:tcPr>
            <w:tcW w:w="170" w:type="dxa"/>
            <w:vAlign w:val="bottom"/>
            <w:tcBorders>
              <w:bottom w:val="single" w:sz="8" w:color="F3F3F4"/>
            </w:tcBorders>
            <w:shd w:val="clear" w:color="auto" w:fill="F3F3F4"/>
          </w:tcPr>
          <w:p>
            <w:pPr>
              <w:jc w:val="right"/>
              <w:ind w:right="52"/>
              <w:spacing w:after="0"/>
              <w:rPr>
                <w:sz w:val="20"/>
                <w:szCs w:val="20"/>
                <w:color w:val="auto"/>
              </w:rPr>
            </w:pPr>
            <w:r>
              <w:rPr>
                <w:rFonts w:ascii="Arial" w:cs="Arial" w:eastAsia="Arial" w:hAnsi="Arial"/>
                <w:sz w:val="10"/>
                <w:szCs w:val="10"/>
                <w:color w:val="auto"/>
                <w:w w:val="71"/>
              </w:rPr>
              <w:t>$</w:t>
            </w:r>
          </w:p>
        </w:tc>
        <w:tc>
          <w:tcPr>
            <w:tcW w:w="61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bottom w:val="single" w:sz="8" w:color="F3F3F4"/>
              <w:right w:val="single" w:sz="8" w:color="F3F3F4"/>
            </w:tcBorders>
            <w:shd w:val="clear" w:color="auto" w:fill="F3F3F4"/>
          </w:tcPr>
          <w:p>
            <w:pPr>
              <w:spacing w:after="0"/>
              <w:rPr>
                <w:sz w:val="21"/>
                <w:szCs w:val="21"/>
                <w:color w:val="auto"/>
              </w:rPr>
            </w:pPr>
          </w:p>
        </w:tc>
        <w:tc>
          <w:tcPr>
            <w:tcW w:w="220" w:type="dxa"/>
            <w:vAlign w:val="bottom"/>
            <w:tcBorders>
              <w:bottom w:val="single" w:sz="8" w:color="F3F3F4"/>
            </w:tcBorders>
            <w:shd w:val="clear" w:color="auto" w:fill="F3F3F4"/>
          </w:tcPr>
          <w:p>
            <w:pPr>
              <w:jc w:val="right"/>
              <w:ind w:right="10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bottom w:val="single" w:sz="8" w:color="F3F3F4"/>
              <w:right w:val="single" w:sz="8" w:color="F3F3F4"/>
            </w:tcBorders>
            <w:shd w:val="clear" w:color="auto" w:fill="F3F3F4"/>
          </w:tcPr>
          <w:p>
            <w:pPr>
              <w:spacing w:after="0"/>
              <w:rPr>
                <w:sz w:val="21"/>
                <w:szCs w:val="21"/>
                <w:color w:val="auto"/>
              </w:rPr>
            </w:pPr>
          </w:p>
        </w:tc>
        <w:tc>
          <w:tcPr>
            <w:tcW w:w="1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F3F3F4"/>
            </w:tcBorders>
            <w:shd w:val="clear" w:color="auto" w:fill="F3F3F4"/>
          </w:tcPr>
          <w:p>
            <w:pPr>
              <w:spacing w:after="0"/>
              <w:rPr>
                <w:sz w:val="21"/>
                <w:szCs w:val="21"/>
                <w:color w:val="auto"/>
              </w:rPr>
            </w:pPr>
          </w:p>
        </w:tc>
        <w:tc>
          <w:tcPr>
            <w:tcW w:w="320" w:type="dxa"/>
            <w:vAlign w:val="bottom"/>
            <w:tcBorders>
              <w:bottom w:val="single" w:sz="8" w:color="F3F3F4"/>
            </w:tcBorders>
            <w:gridSpan w:val="2"/>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F3F3F4"/>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980" w:type="dxa"/>
            <w:vAlign w:val="bottom"/>
            <w:tcBorders>
              <w:bottom w:val="single" w:sz="8" w:color="F3F3F4"/>
            </w:tcBorders>
            <w:gridSpan w:val="3"/>
            <w:shd w:val="clear" w:color="auto" w:fill="F3F3F4"/>
          </w:tcPr>
          <w:p>
            <w:pPr>
              <w:jc w:val="right"/>
              <w:ind w:right="713"/>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F3F3F4"/>
            </w:tcBorders>
            <w:shd w:val="clear" w:color="auto" w:fill="F3F3F4"/>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29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Total Direct Compensation</w:t>
            </w:r>
          </w:p>
        </w:tc>
        <w:tc>
          <w:tcPr>
            <w:tcW w:w="120" w:type="dxa"/>
            <w:vAlign w:val="bottom"/>
            <w:tcBorders>
              <w:top w:val="single" w:sz="8" w:color="939598"/>
              <w:bottom w:val="single" w:sz="8" w:color="F3F3F4"/>
            </w:tcBorders>
            <w:shd w:val="clear" w:color="auto" w:fill="F3F3F4"/>
          </w:tcPr>
          <w:p>
            <w:pPr>
              <w:spacing w:after="0"/>
              <w:rPr>
                <w:sz w:val="24"/>
                <w:szCs w:val="24"/>
                <w:color w:val="auto"/>
              </w:rPr>
            </w:pPr>
          </w:p>
        </w:tc>
        <w:tc>
          <w:tcPr>
            <w:tcW w:w="12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939598"/>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2,948,908</w:t>
            </w:r>
          </w:p>
        </w:tc>
        <w:tc>
          <w:tcPr>
            <w:tcW w:w="240" w:type="dxa"/>
            <w:vAlign w:val="bottom"/>
            <w:tcBorders>
              <w:top w:val="single" w:sz="8" w:color="939598"/>
              <w:bottom w:val="single" w:sz="8" w:color="F3F3F4"/>
              <w:right w:val="single" w:sz="8" w:color="F3F3F4"/>
            </w:tcBorders>
            <w:shd w:val="clear" w:color="auto" w:fill="F3F3F4"/>
          </w:tcPr>
          <w:p>
            <w:pPr>
              <w:spacing w:after="0"/>
              <w:rPr>
                <w:sz w:val="24"/>
                <w:szCs w:val="24"/>
                <w:color w:val="auto"/>
              </w:rPr>
            </w:pPr>
          </w:p>
        </w:tc>
        <w:tc>
          <w:tcPr>
            <w:tcW w:w="170" w:type="dxa"/>
            <w:vAlign w:val="bottom"/>
            <w:tcBorders>
              <w:top w:val="single" w:sz="8" w:color="939598"/>
              <w:bottom w:val="single" w:sz="8" w:color="F3F3F4"/>
            </w:tcBorders>
            <w:shd w:val="clear" w:color="auto" w:fill="F3F3F4"/>
          </w:tcPr>
          <w:p>
            <w:pPr>
              <w:jc w:val="right"/>
              <w:ind w:right="52"/>
              <w:spacing w:after="0"/>
              <w:rPr>
                <w:sz w:val="20"/>
                <w:szCs w:val="20"/>
                <w:color w:val="auto"/>
              </w:rPr>
            </w:pPr>
            <w:r>
              <w:rPr>
                <w:rFonts w:ascii="Arial" w:cs="Arial" w:eastAsia="Arial" w:hAnsi="Arial"/>
                <w:sz w:val="10"/>
                <w:szCs w:val="10"/>
                <w:color w:val="auto"/>
                <w:w w:val="71"/>
              </w:rPr>
              <w:t>$</w:t>
            </w:r>
          </w:p>
        </w:tc>
        <w:tc>
          <w:tcPr>
            <w:tcW w:w="610" w:type="dxa"/>
            <w:vAlign w:val="bottom"/>
            <w:tcBorders>
              <w:top w:val="single" w:sz="8" w:color="939598"/>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top w:val="single" w:sz="8" w:color="939598"/>
              <w:bottom w:val="single" w:sz="8" w:color="F3F3F4"/>
              <w:right w:val="single" w:sz="8" w:color="F3F3F4"/>
            </w:tcBorders>
            <w:shd w:val="clear" w:color="auto" w:fill="F3F3F4"/>
          </w:tcPr>
          <w:p>
            <w:pPr>
              <w:spacing w:after="0"/>
              <w:rPr>
                <w:sz w:val="24"/>
                <w:szCs w:val="24"/>
                <w:color w:val="auto"/>
              </w:rPr>
            </w:pPr>
          </w:p>
        </w:tc>
        <w:tc>
          <w:tcPr>
            <w:tcW w:w="220" w:type="dxa"/>
            <w:vAlign w:val="bottom"/>
            <w:tcBorders>
              <w:top w:val="single" w:sz="8" w:color="939598"/>
              <w:bottom w:val="single" w:sz="8" w:color="F3F3F4"/>
            </w:tcBorders>
            <w:shd w:val="clear" w:color="auto" w:fill="F3F3F4"/>
          </w:tcPr>
          <w:p>
            <w:pPr>
              <w:jc w:val="right"/>
              <w:ind w:right="10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939598"/>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101,450</w:t>
            </w:r>
          </w:p>
        </w:tc>
        <w:tc>
          <w:tcPr>
            <w:tcW w:w="220" w:type="dxa"/>
            <w:vAlign w:val="bottom"/>
            <w:tcBorders>
              <w:top w:val="single" w:sz="8" w:color="939598"/>
              <w:bottom w:val="single" w:sz="8" w:color="F3F3F4"/>
              <w:right w:val="single" w:sz="8" w:color="F3F3F4"/>
            </w:tcBorders>
            <w:shd w:val="clear" w:color="auto" w:fill="F3F3F4"/>
          </w:tcPr>
          <w:p>
            <w:pPr>
              <w:spacing w:after="0"/>
              <w:rPr>
                <w:sz w:val="24"/>
                <w:szCs w:val="24"/>
                <w:color w:val="auto"/>
              </w:rPr>
            </w:pPr>
          </w:p>
        </w:tc>
        <w:tc>
          <w:tcPr>
            <w:tcW w:w="14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939598"/>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1,420,300</w:t>
            </w:r>
          </w:p>
        </w:tc>
        <w:tc>
          <w:tcPr>
            <w:tcW w:w="100" w:type="dxa"/>
            <w:vAlign w:val="bottom"/>
            <w:tcBorders>
              <w:top w:val="single" w:sz="8" w:color="939598"/>
              <w:bottom w:val="single" w:sz="8" w:color="F3F3F4"/>
            </w:tcBorders>
            <w:shd w:val="clear" w:color="auto" w:fill="F3F3F4"/>
          </w:tcPr>
          <w:p>
            <w:pPr>
              <w:spacing w:after="0"/>
              <w:rPr>
                <w:sz w:val="24"/>
                <w:szCs w:val="24"/>
                <w:color w:val="auto"/>
              </w:rPr>
            </w:pPr>
          </w:p>
        </w:tc>
        <w:tc>
          <w:tcPr>
            <w:tcW w:w="320" w:type="dxa"/>
            <w:vAlign w:val="bottom"/>
            <w:tcBorders>
              <w:top w:val="single" w:sz="8" w:color="939598"/>
              <w:bottom w:val="single" w:sz="8" w:color="F3F3F4"/>
            </w:tcBorders>
            <w:gridSpan w:val="2"/>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939598"/>
              <w:bottom w:val="single" w:sz="8" w:color="F3F3F4"/>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980" w:type="dxa"/>
            <w:vAlign w:val="bottom"/>
            <w:tcBorders>
              <w:top w:val="single" w:sz="8" w:color="939598"/>
              <w:bottom w:val="single" w:sz="8" w:color="F3F3F4"/>
            </w:tcBorders>
            <w:gridSpan w:val="3"/>
            <w:shd w:val="clear" w:color="auto" w:fill="F3F3F4"/>
          </w:tcPr>
          <w:p>
            <w:pPr>
              <w:jc w:val="right"/>
              <w:ind w:right="713"/>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top w:val="single" w:sz="8" w:color="939598"/>
              <w:bottom w:val="single" w:sz="8" w:color="F3F3F4"/>
            </w:tcBorders>
            <w:shd w:val="clear" w:color="auto" w:fill="F3F3F4"/>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2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Benefits:</w:t>
            </w:r>
            <w:r>
              <w:rPr>
                <w:rFonts w:ascii="Arial" w:cs="Arial" w:eastAsia="Arial" w:hAnsi="Arial"/>
                <w:sz w:val="22"/>
                <w:szCs w:val="22"/>
                <w:b w:val="1"/>
                <w:bCs w:val="1"/>
                <w:color w:val="auto"/>
                <w:vertAlign w:val="superscript"/>
              </w:rPr>
              <w:t>7</w:t>
            </w:r>
          </w:p>
        </w:tc>
        <w:tc>
          <w:tcPr>
            <w:tcW w:w="120" w:type="dxa"/>
            <w:vAlign w:val="bottom"/>
            <w:tcBorders>
              <w:top w:val="single" w:sz="8" w:color="939598"/>
            </w:tcBorders>
            <w:shd w:val="clear" w:color="auto" w:fill="F3F3F4"/>
          </w:tcPr>
          <w:p>
            <w:pPr>
              <w:spacing w:after="0"/>
              <w:rPr>
                <w:sz w:val="23"/>
                <w:szCs w:val="23"/>
                <w:color w:val="auto"/>
              </w:rPr>
            </w:pPr>
          </w:p>
        </w:tc>
        <w:tc>
          <w:tcPr>
            <w:tcW w:w="120" w:type="dxa"/>
            <w:vAlign w:val="bottom"/>
            <w:tcBorders>
              <w:top w:val="single" w:sz="8" w:color="939598"/>
            </w:tcBorders>
            <w:shd w:val="clear" w:color="auto" w:fill="F3F3F4"/>
          </w:tcPr>
          <w:p>
            <w:pPr>
              <w:spacing w:after="0"/>
              <w:rPr>
                <w:sz w:val="23"/>
                <w:szCs w:val="23"/>
                <w:color w:val="auto"/>
              </w:rPr>
            </w:pPr>
          </w:p>
        </w:tc>
        <w:tc>
          <w:tcPr>
            <w:tcW w:w="1180" w:type="dxa"/>
            <w:vAlign w:val="bottom"/>
            <w:tcBorders>
              <w:top w:val="single" w:sz="8" w:color="939598"/>
              <w:right w:val="single" w:sz="8" w:color="F3F3F4"/>
            </w:tcBorders>
            <w:shd w:val="clear" w:color="auto" w:fill="F3F3F4"/>
          </w:tcPr>
          <w:p>
            <w:pPr>
              <w:spacing w:after="0"/>
              <w:rPr>
                <w:sz w:val="23"/>
                <w:szCs w:val="23"/>
                <w:color w:val="auto"/>
              </w:rPr>
            </w:pPr>
          </w:p>
        </w:tc>
        <w:tc>
          <w:tcPr>
            <w:tcW w:w="240" w:type="dxa"/>
            <w:vAlign w:val="bottom"/>
            <w:tcBorders>
              <w:top w:val="single" w:sz="8" w:color="939598"/>
              <w:right w:val="single" w:sz="8" w:color="F3F3F4"/>
            </w:tcBorders>
            <w:shd w:val="clear" w:color="auto" w:fill="F3F3F4"/>
          </w:tcPr>
          <w:p>
            <w:pPr>
              <w:spacing w:after="0"/>
              <w:rPr>
                <w:sz w:val="23"/>
                <w:szCs w:val="23"/>
                <w:color w:val="auto"/>
              </w:rPr>
            </w:pPr>
          </w:p>
        </w:tc>
        <w:tc>
          <w:tcPr>
            <w:tcW w:w="170" w:type="dxa"/>
            <w:vAlign w:val="bottom"/>
            <w:tcBorders>
              <w:top w:val="single" w:sz="8" w:color="939598"/>
            </w:tcBorders>
            <w:shd w:val="clear" w:color="auto" w:fill="F3F3F4"/>
          </w:tcPr>
          <w:p>
            <w:pPr>
              <w:spacing w:after="0"/>
              <w:rPr>
                <w:sz w:val="23"/>
                <w:szCs w:val="23"/>
                <w:color w:val="auto"/>
              </w:rPr>
            </w:pPr>
          </w:p>
        </w:tc>
        <w:tc>
          <w:tcPr>
            <w:tcW w:w="610" w:type="dxa"/>
            <w:vAlign w:val="bottom"/>
            <w:tcBorders>
              <w:top w:val="single" w:sz="8" w:color="939598"/>
              <w:right w:val="single" w:sz="8" w:color="F3F3F4"/>
            </w:tcBorders>
            <w:shd w:val="clear" w:color="auto" w:fill="F3F3F4"/>
          </w:tcPr>
          <w:p>
            <w:pPr>
              <w:spacing w:after="0"/>
              <w:rPr>
                <w:sz w:val="23"/>
                <w:szCs w:val="23"/>
                <w:color w:val="auto"/>
              </w:rPr>
            </w:pPr>
          </w:p>
        </w:tc>
        <w:tc>
          <w:tcPr>
            <w:tcW w:w="240" w:type="dxa"/>
            <w:vAlign w:val="bottom"/>
            <w:tcBorders>
              <w:top w:val="single" w:sz="8" w:color="939598"/>
              <w:right w:val="single" w:sz="8" w:color="F3F3F4"/>
            </w:tcBorders>
            <w:shd w:val="clear" w:color="auto" w:fill="F3F3F4"/>
          </w:tcPr>
          <w:p>
            <w:pPr>
              <w:spacing w:after="0"/>
              <w:rPr>
                <w:sz w:val="23"/>
                <w:szCs w:val="23"/>
                <w:color w:val="auto"/>
              </w:rPr>
            </w:pPr>
          </w:p>
        </w:tc>
        <w:tc>
          <w:tcPr>
            <w:tcW w:w="220" w:type="dxa"/>
            <w:vAlign w:val="bottom"/>
            <w:tcBorders>
              <w:top w:val="single" w:sz="8" w:color="939598"/>
            </w:tcBorders>
            <w:shd w:val="clear" w:color="auto" w:fill="F3F3F4"/>
          </w:tcPr>
          <w:p>
            <w:pPr>
              <w:spacing w:after="0"/>
              <w:rPr>
                <w:sz w:val="23"/>
                <w:szCs w:val="23"/>
                <w:color w:val="auto"/>
              </w:rPr>
            </w:pPr>
          </w:p>
        </w:tc>
        <w:tc>
          <w:tcPr>
            <w:tcW w:w="1020" w:type="dxa"/>
            <w:vAlign w:val="bottom"/>
            <w:tcBorders>
              <w:top w:val="single" w:sz="8" w:color="939598"/>
              <w:right w:val="single" w:sz="8" w:color="F3F3F4"/>
            </w:tcBorders>
            <w:shd w:val="clear" w:color="auto" w:fill="F3F3F4"/>
          </w:tcPr>
          <w:p>
            <w:pPr>
              <w:spacing w:after="0"/>
              <w:rPr>
                <w:sz w:val="23"/>
                <w:szCs w:val="23"/>
                <w:color w:val="auto"/>
              </w:rPr>
            </w:pPr>
          </w:p>
        </w:tc>
        <w:tc>
          <w:tcPr>
            <w:tcW w:w="220" w:type="dxa"/>
            <w:vAlign w:val="bottom"/>
            <w:tcBorders>
              <w:top w:val="single" w:sz="8" w:color="939598"/>
              <w:right w:val="single" w:sz="8" w:color="F3F3F4"/>
            </w:tcBorders>
            <w:shd w:val="clear" w:color="auto" w:fill="F3F3F4"/>
          </w:tcPr>
          <w:p>
            <w:pPr>
              <w:spacing w:after="0"/>
              <w:rPr>
                <w:sz w:val="23"/>
                <w:szCs w:val="23"/>
                <w:color w:val="auto"/>
              </w:rPr>
            </w:pPr>
          </w:p>
        </w:tc>
        <w:tc>
          <w:tcPr>
            <w:tcW w:w="140" w:type="dxa"/>
            <w:vAlign w:val="bottom"/>
            <w:tcBorders>
              <w:top w:val="single" w:sz="8" w:color="939598"/>
            </w:tcBorders>
            <w:shd w:val="clear" w:color="auto" w:fill="F3F3F4"/>
          </w:tcPr>
          <w:p>
            <w:pPr>
              <w:spacing w:after="0"/>
              <w:rPr>
                <w:sz w:val="23"/>
                <w:szCs w:val="23"/>
                <w:color w:val="auto"/>
              </w:rPr>
            </w:pPr>
          </w:p>
        </w:tc>
        <w:tc>
          <w:tcPr>
            <w:tcW w:w="1100" w:type="dxa"/>
            <w:vAlign w:val="bottom"/>
            <w:tcBorders>
              <w:top w:val="single" w:sz="8" w:color="939598"/>
              <w:right w:val="single" w:sz="8" w:color="F3F3F4"/>
            </w:tcBorders>
            <w:shd w:val="clear" w:color="auto" w:fill="F3F3F4"/>
          </w:tcPr>
          <w:p>
            <w:pPr>
              <w:spacing w:after="0"/>
              <w:rPr>
                <w:sz w:val="23"/>
                <w:szCs w:val="23"/>
                <w:color w:val="auto"/>
              </w:rPr>
            </w:pPr>
          </w:p>
        </w:tc>
        <w:tc>
          <w:tcPr>
            <w:tcW w:w="100" w:type="dxa"/>
            <w:vAlign w:val="bottom"/>
            <w:tcBorders>
              <w:top w:val="single" w:sz="8" w:color="939598"/>
            </w:tcBorders>
            <w:shd w:val="clear" w:color="auto" w:fill="F3F3F4"/>
          </w:tcPr>
          <w:p>
            <w:pPr>
              <w:spacing w:after="0"/>
              <w:rPr>
                <w:sz w:val="23"/>
                <w:szCs w:val="23"/>
                <w:color w:val="auto"/>
              </w:rPr>
            </w:pPr>
          </w:p>
        </w:tc>
        <w:tc>
          <w:tcPr>
            <w:tcW w:w="100" w:type="dxa"/>
            <w:vAlign w:val="bottom"/>
            <w:tcBorders>
              <w:top w:val="single" w:sz="8" w:color="939598"/>
            </w:tcBorders>
            <w:shd w:val="clear" w:color="auto" w:fill="F3F3F4"/>
          </w:tcPr>
          <w:p>
            <w:pPr>
              <w:spacing w:after="0"/>
              <w:rPr>
                <w:sz w:val="23"/>
                <w:szCs w:val="23"/>
                <w:color w:val="auto"/>
              </w:rPr>
            </w:pPr>
          </w:p>
        </w:tc>
        <w:tc>
          <w:tcPr>
            <w:tcW w:w="220" w:type="dxa"/>
            <w:vAlign w:val="bottom"/>
            <w:tcBorders>
              <w:top w:val="single" w:sz="8" w:color="939598"/>
            </w:tcBorders>
            <w:shd w:val="clear" w:color="auto" w:fill="F3F3F4"/>
          </w:tcPr>
          <w:p>
            <w:pPr>
              <w:spacing w:after="0"/>
              <w:rPr>
                <w:sz w:val="23"/>
                <w:szCs w:val="23"/>
                <w:color w:val="auto"/>
              </w:rPr>
            </w:pPr>
          </w:p>
        </w:tc>
        <w:tc>
          <w:tcPr>
            <w:tcW w:w="1100" w:type="dxa"/>
            <w:vAlign w:val="bottom"/>
            <w:tcBorders>
              <w:top w:val="single" w:sz="8" w:color="939598"/>
              <w:right w:val="single" w:sz="8" w:color="F3F3F4"/>
            </w:tcBorders>
            <w:shd w:val="clear" w:color="auto" w:fill="F3F3F4"/>
          </w:tcPr>
          <w:p>
            <w:pPr>
              <w:spacing w:after="0"/>
              <w:rPr>
                <w:sz w:val="23"/>
                <w:szCs w:val="23"/>
                <w:color w:val="auto"/>
              </w:rPr>
            </w:pPr>
          </w:p>
        </w:tc>
        <w:tc>
          <w:tcPr>
            <w:tcW w:w="100" w:type="dxa"/>
            <w:vAlign w:val="bottom"/>
            <w:tcBorders>
              <w:top w:val="single" w:sz="8" w:color="939598"/>
            </w:tcBorders>
            <w:shd w:val="clear" w:color="auto" w:fill="F3F3F4"/>
          </w:tcPr>
          <w:p>
            <w:pPr>
              <w:spacing w:after="0"/>
              <w:rPr>
                <w:sz w:val="23"/>
                <w:szCs w:val="23"/>
                <w:color w:val="auto"/>
              </w:rPr>
            </w:pPr>
          </w:p>
        </w:tc>
        <w:tc>
          <w:tcPr>
            <w:tcW w:w="100" w:type="dxa"/>
            <w:vAlign w:val="bottom"/>
            <w:tcBorders>
              <w:top w:val="single" w:sz="8" w:color="939598"/>
            </w:tcBorders>
            <w:shd w:val="clear" w:color="auto" w:fill="F3F3F4"/>
          </w:tcPr>
          <w:p>
            <w:pPr>
              <w:spacing w:after="0"/>
              <w:rPr>
                <w:sz w:val="23"/>
                <w:szCs w:val="23"/>
                <w:color w:val="auto"/>
              </w:rPr>
            </w:pPr>
          </w:p>
        </w:tc>
        <w:tc>
          <w:tcPr>
            <w:tcW w:w="780" w:type="dxa"/>
            <w:vAlign w:val="bottom"/>
            <w:tcBorders>
              <w:top w:val="single" w:sz="8" w:color="939598"/>
            </w:tcBorders>
            <w:shd w:val="clear" w:color="auto" w:fill="F3F3F4"/>
          </w:tcPr>
          <w:p>
            <w:pPr>
              <w:spacing w:after="0"/>
              <w:rPr>
                <w:sz w:val="23"/>
                <w:szCs w:val="23"/>
                <w:color w:val="auto"/>
              </w:rPr>
            </w:pPr>
          </w:p>
        </w:tc>
        <w:tc>
          <w:tcPr>
            <w:tcW w:w="340" w:type="dxa"/>
            <w:vAlign w:val="bottom"/>
            <w:tcBorders>
              <w:top w:val="single" w:sz="8" w:color="939598"/>
            </w:tcBorders>
            <w:shd w:val="clear" w:color="auto" w:fill="F3F3F4"/>
          </w:tcPr>
          <w:p>
            <w:pPr>
              <w:spacing w:after="0"/>
              <w:rPr>
                <w:sz w:val="23"/>
                <w:szCs w:val="23"/>
                <w:color w:val="auto"/>
              </w:rPr>
            </w:pPr>
          </w:p>
        </w:tc>
        <w:tc>
          <w:tcPr>
            <w:tcW w:w="100" w:type="dxa"/>
            <w:vAlign w:val="bottom"/>
            <w:tcBorders>
              <w:top w:val="single" w:sz="8" w:color="939598"/>
            </w:tcBorders>
            <w:shd w:val="clear" w:color="auto" w:fill="F3F3F4"/>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Broad-based benefits</w:t>
            </w:r>
          </w:p>
        </w:tc>
        <w:tc>
          <w:tcPr>
            <w:tcW w:w="120" w:type="dxa"/>
            <w:vAlign w:val="bottom"/>
            <w:shd w:val="clear" w:color="auto" w:fill="F3F3F4"/>
          </w:tcPr>
          <w:p>
            <w:pPr>
              <w:spacing w:after="0"/>
              <w:rPr>
                <w:sz w:val="16"/>
                <w:szCs w:val="16"/>
                <w:color w:val="auto"/>
              </w:rPr>
            </w:pPr>
          </w:p>
        </w:tc>
        <w:tc>
          <w:tcPr>
            <w:tcW w:w="120" w:type="dxa"/>
            <w:vAlign w:val="bottom"/>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87,396</w:t>
            </w:r>
          </w:p>
        </w:tc>
        <w:tc>
          <w:tcPr>
            <w:tcW w:w="240" w:type="dxa"/>
            <w:vAlign w:val="bottom"/>
            <w:tcBorders>
              <w:right w:val="single" w:sz="8" w:color="F3F3F4"/>
            </w:tcBorders>
            <w:shd w:val="clear" w:color="auto" w:fill="F3F3F4"/>
          </w:tcPr>
          <w:p>
            <w:pPr>
              <w:spacing w:after="0"/>
              <w:rPr>
                <w:sz w:val="16"/>
                <w:szCs w:val="16"/>
                <w:color w:val="auto"/>
              </w:rPr>
            </w:pPr>
          </w:p>
        </w:tc>
        <w:tc>
          <w:tcPr>
            <w:tcW w:w="170" w:type="dxa"/>
            <w:vAlign w:val="bottom"/>
            <w:shd w:val="clear" w:color="auto" w:fill="F3F3F4"/>
          </w:tcPr>
          <w:p>
            <w:pPr>
              <w:jc w:val="right"/>
              <w:ind w:right="52"/>
              <w:spacing w:after="0"/>
              <w:rPr>
                <w:sz w:val="20"/>
                <w:szCs w:val="20"/>
                <w:color w:val="auto"/>
              </w:rPr>
            </w:pPr>
            <w:r>
              <w:rPr>
                <w:rFonts w:ascii="Arial" w:cs="Arial" w:eastAsia="Arial" w:hAnsi="Arial"/>
                <w:sz w:val="10"/>
                <w:szCs w:val="10"/>
                <w:color w:val="auto"/>
                <w:w w:val="71"/>
              </w:rPr>
              <w:t>$</w:t>
            </w:r>
          </w:p>
        </w:tc>
        <w:tc>
          <w:tcPr>
            <w:tcW w:w="61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F3F3F4"/>
          </w:tcPr>
          <w:p>
            <w:pPr>
              <w:spacing w:after="0"/>
              <w:rPr>
                <w:sz w:val="16"/>
                <w:szCs w:val="16"/>
                <w:color w:val="auto"/>
              </w:rPr>
            </w:pPr>
          </w:p>
        </w:tc>
        <w:tc>
          <w:tcPr>
            <w:tcW w:w="220" w:type="dxa"/>
            <w:vAlign w:val="bottom"/>
            <w:shd w:val="clear" w:color="auto" w:fill="F3F3F4"/>
          </w:tcPr>
          <w:p>
            <w:pPr>
              <w:jc w:val="right"/>
              <w:ind w:right="102"/>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right w:val="single" w:sz="8" w:color="F3F3F4"/>
            </w:tcBorders>
            <w:shd w:val="clear" w:color="auto" w:fill="F3F3F4"/>
          </w:tcPr>
          <w:p>
            <w:pPr>
              <w:spacing w:after="0"/>
              <w:rPr>
                <w:sz w:val="16"/>
                <w:szCs w:val="16"/>
                <w:color w:val="auto"/>
              </w:rPr>
            </w:pPr>
          </w:p>
        </w:tc>
        <w:tc>
          <w:tcPr>
            <w:tcW w:w="140" w:type="dxa"/>
            <w:vAlign w:val="bottom"/>
            <w:shd w:val="clear" w:color="auto" w:fill="F3F3F4"/>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11,182</w:t>
            </w:r>
          </w:p>
        </w:tc>
        <w:tc>
          <w:tcPr>
            <w:tcW w:w="100" w:type="dxa"/>
            <w:vAlign w:val="bottom"/>
            <w:shd w:val="clear" w:color="auto" w:fill="F3F3F4"/>
          </w:tcPr>
          <w:p>
            <w:pPr>
              <w:spacing w:after="0"/>
              <w:rPr>
                <w:sz w:val="16"/>
                <w:szCs w:val="16"/>
                <w:color w:val="auto"/>
              </w:rPr>
            </w:pPr>
          </w:p>
        </w:tc>
        <w:tc>
          <w:tcPr>
            <w:tcW w:w="320" w:type="dxa"/>
            <w:vAlign w:val="bottom"/>
            <w:gridSpan w:val="2"/>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980" w:type="dxa"/>
            <w:vAlign w:val="bottom"/>
            <w:gridSpan w:val="3"/>
            <w:shd w:val="clear" w:color="auto" w:fill="F3F3F4"/>
          </w:tcPr>
          <w:p>
            <w:pPr>
              <w:jc w:val="right"/>
              <w:ind w:right="713"/>
              <w:spacing w:after="0"/>
              <w:rPr>
                <w:sz w:val="20"/>
                <w:szCs w:val="20"/>
                <w:color w:val="auto"/>
              </w:rPr>
            </w:pPr>
            <w:r>
              <w:rPr>
                <w:rFonts w:ascii="Arial" w:cs="Arial" w:eastAsia="Arial" w:hAnsi="Arial"/>
                <w:sz w:val="13"/>
                <w:szCs w:val="13"/>
                <w:color w:val="auto"/>
              </w:rPr>
              <w:t>$</w:t>
            </w:r>
          </w:p>
        </w:tc>
        <w:tc>
          <w:tcPr>
            <w:tcW w:w="3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Pension benefits</w:t>
            </w:r>
          </w:p>
        </w:tc>
        <w:tc>
          <w:tcPr>
            <w:tcW w:w="120" w:type="dxa"/>
            <w:vAlign w:val="bottom"/>
            <w:shd w:val="clear" w:color="auto" w:fill="F3F3F4"/>
          </w:tcPr>
          <w:p>
            <w:pPr>
              <w:spacing w:after="0"/>
              <w:rPr>
                <w:sz w:val="17"/>
                <w:szCs w:val="17"/>
                <w:color w:val="auto"/>
              </w:rPr>
            </w:pPr>
          </w:p>
        </w:tc>
        <w:tc>
          <w:tcPr>
            <w:tcW w:w="120" w:type="dxa"/>
            <w:vAlign w:val="bottom"/>
            <w:shd w:val="clear" w:color="auto" w:fill="F3F3F4"/>
          </w:tcPr>
          <w:p>
            <w:pPr>
              <w:spacing w:after="0"/>
              <w:rPr>
                <w:sz w:val="17"/>
                <w:szCs w:val="17"/>
                <w:color w:val="auto"/>
              </w:rPr>
            </w:pPr>
          </w:p>
        </w:tc>
        <w:tc>
          <w:tcPr>
            <w:tcW w:w="118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F3F3F4"/>
          </w:tcPr>
          <w:p>
            <w:pPr>
              <w:spacing w:after="0"/>
              <w:rPr>
                <w:sz w:val="17"/>
                <w:szCs w:val="17"/>
                <w:color w:val="auto"/>
              </w:rPr>
            </w:pPr>
          </w:p>
        </w:tc>
        <w:tc>
          <w:tcPr>
            <w:tcW w:w="170" w:type="dxa"/>
            <w:vAlign w:val="bottom"/>
            <w:shd w:val="clear" w:color="auto" w:fill="F3F3F4"/>
          </w:tcPr>
          <w:p>
            <w:pPr>
              <w:spacing w:after="0"/>
              <w:rPr>
                <w:sz w:val="17"/>
                <w:szCs w:val="17"/>
                <w:color w:val="auto"/>
              </w:rPr>
            </w:pPr>
          </w:p>
        </w:tc>
        <w:tc>
          <w:tcPr>
            <w:tcW w:w="61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F3F3F4"/>
          </w:tcPr>
          <w:p>
            <w:pPr>
              <w:spacing w:after="0"/>
              <w:rPr>
                <w:sz w:val="17"/>
                <w:szCs w:val="17"/>
                <w:color w:val="auto"/>
              </w:rPr>
            </w:pPr>
          </w:p>
        </w:tc>
        <w:tc>
          <w:tcPr>
            <w:tcW w:w="220" w:type="dxa"/>
            <w:vAlign w:val="bottom"/>
            <w:shd w:val="clear" w:color="auto" w:fill="F3F3F4"/>
          </w:tcPr>
          <w:p>
            <w:pPr>
              <w:spacing w:after="0"/>
              <w:rPr>
                <w:sz w:val="17"/>
                <w:szCs w:val="17"/>
                <w:color w:val="auto"/>
              </w:rPr>
            </w:pPr>
          </w:p>
        </w:tc>
        <w:tc>
          <w:tcPr>
            <w:tcW w:w="102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right w:val="single" w:sz="8" w:color="F3F3F4"/>
            </w:tcBorders>
            <w:shd w:val="clear" w:color="auto" w:fill="F3F3F4"/>
          </w:tcPr>
          <w:p>
            <w:pPr>
              <w:spacing w:after="0"/>
              <w:rPr>
                <w:sz w:val="17"/>
                <w:szCs w:val="17"/>
                <w:color w:val="auto"/>
              </w:rPr>
            </w:pPr>
          </w:p>
        </w:tc>
        <w:tc>
          <w:tcPr>
            <w:tcW w:w="140" w:type="dxa"/>
            <w:vAlign w:val="bottom"/>
            <w:shd w:val="clear" w:color="auto" w:fill="F3F3F4"/>
          </w:tcPr>
          <w:p>
            <w:pPr>
              <w:spacing w:after="0"/>
              <w:rPr>
                <w:sz w:val="17"/>
                <w:szCs w:val="17"/>
                <w:color w:val="auto"/>
              </w:rPr>
            </w:pPr>
          </w:p>
        </w:tc>
        <w:tc>
          <w:tcPr>
            <w:tcW w:w="11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220" w:type="dxa"/>
            <w:vAlign w:val="bottom"/>
            <w:shd w:val="clear" w:color="auto" w:fill="F3F3F4"/>
          </w:tcPr>
          <w:p>
            <w:pPr>
              <w:spacing w:after="0"/>
              <w:rPr>
                <w:sz w:val="17"/>
                <w:szCs w:val="17"/>
                <w:color w:val="auto"/>
              </w:rPr>
            </w:pPr>
          </w:p>
        </w:tc>
        <w:tc>
          <w:tcPr>
            <w:tcW w:w="1100" w:type="dxa"/>
            <w:vAlign w:val="bottom"/>
            <w:tcBorders>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780" w:type="dxa"/>
            <w:vAlign w:val="bottom"/>
            <w:shd w:val="clear" w:color="auto" w:fill="F3F3F4"/>
          </w:tcPr>
          <w:p>
            <w:pPr>
              <w:spacing w:after="0"/>
              <w:rPr>
                <w:sz w:val="17"/>
                <w:szCs w:val="17"/>
                <w:color w:val="auto"/>
              </w:rPr>
            </w:pPr>
          </w:p>
        </w:tc>
        <w:tc>
          <w:tcPr>
            <w:tcW w:w="3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Other executive benefits/</w:t>
            </w:r>
          </w:p>
        </w:tc>
        <w:tc>
          <w:tcPr>
            <w:tcW w:w="120" w:type="dxa"/>
            <w:vAlign w:val="bottom"/>
            <w:shd w:val="clear" w:color="auto" w:fill="F3F3F4"/>
          </w:tcPr>
          <w:p>
            <w:pPr>
              <w:spacing w:after="0"/>
              <w:rPr>
                <w:sz w:val="17"/>
                <w:szCs w:val="17"/>
                <w:color w:val="auto"/>
              </w:rPr>
            </w:pPr>
          </w:p>
        </w:tc>
        <w:tc>
          <w:tcPr>
            <w:tcW w:w="120" w:type="dxa"/>
            <w:vAlign w:val="bottom"/>
            <w:shd w:val="clear" w:color="auto" w:fill="F3F3F4"/>
          </w:tcPr>
          <w:p>
            <w:pPr>
              <w:spacing w:after="0"/>
              <w:rPr>
                <w:sz w:val="17"/>
                <w:szCs w:val="17"/>
                <w:color w:val="auto"/>
              </w:rPr>
            </w:pPr>
          </w:p>
        </w:tc>
        <w:tc>
          <w:tcPr>
            <w:tcW w:w="118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12,000</w:t>
            </w:r>
          </w:p>
        </w:tc>
        <w:tc>
          <w:tcPr>
            <w:tcW w:w="240" w:type="dxa"/>
            <w:vAlign w:val="bottom"/>
            <w:tcBorders>
              <w:right w:val="single" w:sz="8" w:color="F3F3F4"/>
            </w:tcBorders>
            <w:shd w:val="clear" w:color="auto" w:fill="F3F3F4"/>
          </w:tcPr>
          <w:p>
            <w:pPr>
              <w:spacing w:after="0"/>
              <w:rPr>
                <w:sz w:val="17"/>
                <w:szCs w:val="17"/>
                <w:color w:val="auto"/>
              </w:rPr>
            </w:pPr>
          </w:p>
        </w:tc>
        <w:tc>
          <w:tcPr>
            <w:tcW w:w="170" w:type="dxa"/>
            <w:vAlign w:val="bottom"/>
            <w:shd w:val="clear" w:color="auto" w:fill="F3F3F4"/>
          </w:tcPr>
          <w:p>
            <w:pPr>
              <w:spacing w:after="0"/>
              <w:rPr>
                <w:sz w:val="17"/>
                <w:szCs w:val="17"/>
                <w:color w:val="auto"/>
              </w:rPr>
            </w:pPr>
          </w:p>
        </w:tc>
        <w:tc>
          <w:tcPr>
            <w:tcW w:w="61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F3F3F4"/>
          </w:tcPr>
          <w:p>
            <w:pPr>
              <w:spacing w:after="0"/>
              <w:rPr>
                <w:sz w:val="17"/>
                <w:szCs w:val="17"/>
                <w:color w:val="auto"/>
              </w:rPr>
            </w:pPr>
          </w:p>
        </w:tc>
        <w:tc>
          <w:tcPr>
            <w:tcW w:w="220" w:type="dxa"/>
            <w:vAlign w:val="bottom"/>
            <w:shd w:val="clear" w:color="auto" w:fill="F3F3F4"/>
          </w:tcPr>
          <w:p>
            <w:pPr>
              <w:spacing w:after="0"/>
              <w:rPr>
                <w:sz w:val="17"/>
                <w:szCs w:val="17"/>
                <w:color w:val="auto"/>
              </w:rPr>
            </w:pPr>
          </w:p>
        </w:tc>
        <w:tc>
          <w:tcPr>
            <w:tcW w:w="102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right w:val="single" w:sz="8" w:color="F3F3F4"/>
            </w:tcBorders>
            <w:shd w:val="clear" w:color="auto" w:fill="F3F3F4"/>
          </w:tcPr>
          <w:p>
            <w:pPr>
              <w:spacing w:after="0"/>
              <w:rPr>
                <w:sz w:val="17"/>
                <w:szCs w:val="17"/>
                <w:color w:val="auto"/>
              </w:rPr>
            </w:pPr>
          </w:p>
        </w:tc>
        <w:tc>
          <w:tcPr>
            <w:tcW w:w="140" w:type="dxa"/>
            <w:vAlign w:val="bottom"/>
            <w:shd w:val="clear" w:color="auto" w:fill="F3F3F4"/>
          </w:tcPr>
          <w:p>
            <w:pPr>
              <w:spacing w:after="0"/>
              <w:rPr>
                <w:sz w:val="17"/>
                <w:szCs w:val="17"/>
                <w:color w:val="auto"/>
              </w:rPr>
            </w:pPr>
          </w:p>
        </w:tc>
        <w:tc>
          <w:tcPr>
            <w:tcW w:w="11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26,000</w:t>
            </w:r>
          </w:p>
        </w:tc>
        <w:tc>
          <w:tcPr>
            <w:tcW w:w="100" w:type="dxa"/>
            <w:vAlign w:val="bottom"/>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220" w:type="dxa"/>
            <w:vAlign w:val="bottom"/>
            <w:shd w:val="clear" w:color="auto" w:fill="F3F3F4"/>
          </w:tcPr>
          <w:p>
            <w:pPr>
              <w:spacing w:after="0"/>
              <w:rPr>
                <w:sz w:val="17"/>
                <w:szCs w:val="17"/>
                <w:color w:val="auto"/>
              </w:rPr>
            </w:pPr>
          </w:p>
        </w:tc>
        <w:tc>
          <w:tcPr>
            <w:tcW w:w="1100" w:type="dxa"/>
            <w:vAlign w:val="bottom"/>
            <w:tcBorders>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7"/>
                <w:szCs w:val="17"/>
                <w:color w:val="auto"/>
              </w:rPr>
            </w:pPr>
          </w:p>
        </w:tc>
        <w:tc>
          <w:tcPr>
            <w:tcW w:w="100" w:type="dxa"/>
            <w:vAlign w:val="bottom"/>
            <w:shd w:val="clear" w:color="auto" w:fill="F3F3F4"/>
          </w:tcPr>
          <w:p>
            <w:pPr>
              <w:spacing w:after="0"/>
              <w:rPr>
                <w:sz w:val="17"/>
                <w:szCs w:val="17"/>
                <w:color w:val="auto"/>
              </w:rPr>
            </w:pPr>
          </w:p>
        </w:tc>
        <w:tc>
          <w:tcPr>
            <w:tcW w:w="780" w:type="dxa"/>
            <w:vAlign w:val="bottom"/>
            <w:shd w:val="clear" w:color="auto" w:fill="F3F3F4"/>
          </w:tcPr>
          <w:p>
            <w:pPr>
              <w:spacing w:after="0"/>
              <w:rPr>
                <w:sz w:val="17"/>
                <w:szCs w:val="17"/>
                <w:color w:val="auto"/>
              </w:rPr>
            </w:pPr>
          </w:p>
        </w:tc>
        <w:tc>
          <w:tcPr>
            <w:tcW w:w="3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F3F3F4"/>
          </w:tcPr>
          <w:p>
            <w:pPr>
              <w:spacing w:after="0" w:line="20" w:lineRule="exact"/>
              <w:rPr>
                <w:sz w:val="1"/>
                <w:szCs w:val="1"/>
                <w:color w:val="auto"/>
              </w:rPr>
            </w:pPr>
          </w:p>
        </w:tc>
        <w:tc>
          <w:tcPr>
            <w:tcW w:w="120" w:type="dxa"/>
            <w:vAlign w:val="bottom"/>
            <w:shd w:val="clear" w:color="auto" w:fill="F3F3F4"/>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tcBorders>
              <w:right w:val="single" w:sz="8" w:color="F3F3F4"/>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F3F3F4"/>
          </w:tcPr>
          <w:p>
            <w:pPr>
              <w:spacing w:after="0" w:line="20" w:lineRule="exact"/>
              <w:rPr>
                <w:sz w:val="1"/>
                <w:szCs w:val="1"/>
                <w:color w:val="auto"/>
              </w:rPr>
            </w:pPr>
          </w:p>
        </w:tc>
        <w:tc>
          <w:tcPr>
            <w:tcW w:w="170" w:type="dxa"/>
            <w:vAlign w:val="bottom"/>
            <w:shd w:val="clear" w:color="auto" w:fill="000000"/>
          </w:tcPr>
          <w:p>
            <w:pPr>
              <w:spacing w:after="0" w:line="20" w:lineRule="exact"/>
              <w:rPr>
                <w:sz w:val="1"/>
                <w:szCs w:val="1"/>
                <w:color w:val="auto"/>
              </w:rPr>
            </w:pPr>
          </w:p>
        </w:tc>
        <w:tc>
          <w:tcPr>
            <w:tcW w:w="610" w:type="dxa"/>
            <w:vAlign w:val="bottom"/>
            <w:tcBorders>
              <w:right w:val="single" w:sz="8" w:color="F3F3F4"/>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F3F3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tcBorders>
              <w:right w:val="single" w:sz="8" w:color="F3F3F4"/>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F3F3F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Borders>
              <w:right w:val="single" w:sz="8" w:color="F3F3F4"/>
            </w:tcBorders>
            <w:shd w:val="clear" w:color="auto" w:fill="000000"/>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tcBorders>
              <w:right w:val="single" w:sz="8" w:color="F3F3F4"/>
            </w:tcBorders>
            <w:shd w:val="clear" w:color="auto" w:fill="000000"/>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F3F3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color w:val="auto"/>
              </w:rPr>
              <w:t>perquisites</w:t>
            </w:r>
          </w:p>
        </w:tc>
        <w:tc>
          <w:tcPr>
            <w:tcW w:w="120" w:type="dxa"/>
            <w:vAlign w:val="bottom"/>
            <w:shd w:val="clear" w:color="auto" w:fill="F3F3F4"/>
          </w:tcPr>
          <w:p>
            <w:pPr>
              <w:spacing w:after="0"/>
              <w:rPr>
                <w:sz w:val="16"/>
                <w:szCs w:val="16"/>
                <w:color w:val="auto"/>
              </w:rPr>
            </w:pPr>
          </w:p>
        </w:tc>
        <w:tc>
          <w:tcPr>
            <w:tcW w:w="120" w:type="dxa"/>
            <w:vAlign w:val="bottom"/>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99,396</w:t>
            </w:r>
          </w:p>
        </w:tc>
        <w:tc>
          <w:tcPr>
            <w:tcW w:w="240" w:type="dxa"/>
            <w:vAlign w:val="bottom"/>
            <w:tcBorders>
              <w:right w:val="single" w:sz="8" w:color="F3F3F4"/>
            </w:tcBorders>
            <w:shd w:val="clear" w:color="auto" w:fill="F3F3F4"/>
          </w:tcPr>
          <w:p>
            <w:pPr>
              <w:spacing w:after="0"/>
              <w:rPr>
                <w:sz w:val="16"/>
                <w:szCs w:val="16"/>
                <w:color w:val="auto"/>
              </w:rPr>
            </w:pPr>
          </w:p>
        </w:tc>
        <w:tc>
          <w:tcPr>
            <w:tcW w:w="170" w:type="dxa"/>
            <w:vAlign w:val="bottom"/>
            <w:shd w:val="clear" w:color="auto" w:fill="F3F3F4"/>
          </w:tcPr>
          <w:p>
            <w:pPr>
              <w:jc w:val="right"/>
              <w:ind w:right="52"/>
              <w:spacing w:after="0"/>
              <w:rPr>
                <w:sz w:val="20"/>
                <w:szCs w:val="20"/>
                <w:color w:val="auto"/>
              </w:rPr>
            </w:pPr>
            <w:r>
              <w:rPr>
                <w:rFonts w:ascii="Arial" w:cs="Arial" w:eastAsia="Arial" w:hAnsi="Arial"/>
                <w:sz w:val="10"/>
                <w:szCs w:val="10"/>
                <w:color w:val="auto"/>
                <w:w w:val="71"/>
              </w:rPr>
              <w:t>$</w:t>
            </w:r>
          </w:p>
        </w:tc>
        <w:tc>
          <w:tcPr>
            <w:tcW w:w="61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right w:val="single" w:sz="8" w:color="F3F3F4"/>
            </w:tcBorders>
            <w:shd w:val="clear" w:color="auto" w:fill="F3F3F4"/>
          </w:tcPr>
          <w:p>
            <w:pPr>
              <w:spacing w:after="0"/>
              <w:rPr>
                <w:sz w:val="16"/>
                <w:szCs w:val="16"/>
                <w:color w:val="auto"/>
              </w:rPr>
            </w:pPr>
          </w:p>
        </w:tc>
        <w:tc>
          <w:tcPr>
            <w:tcW w:w="220" w:type="dxa"/>
            <w:vAlign w:val="bottom"/>
            <w:shd w:val="clear" w:color="auto" w:fill="F3F3F4"/>
          </w:tcPr>
          <w:p>
            <w:pPr>
              <w:jc w:val="right"/>
              <w:ind w:right="102"/>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right w:val="single" w:sz="8" w:color="F3F3F4"/>
            </w:tcBorders>
            <w:shd w:val="clear" w:color="auto" w:fill="F3F3F4"/>
          </w:tcPr>
          <w:p>
            <w:pPr>
              <w:spacing w:after="0"/>
              <w:rPr>
                <w:sz w:val="16"/>
                <w:szCs w:val="16"/>
                <w:color w:val="auto"/>
              </w:rPr>
            </w:pPr>
          </w:p>
        </w:tc>
        <w:tc>
          <w:tcPr>
            <w:tcW w:w="140" w:type="dxa"/>
            <w:vAlign w:val="bottom"/>
            <w:shd w:val="clear" w:color="auto" w:fill="F3F3F4"/>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37,182</w:t>
            </w:r>
          </w:p>
        </w:tc>
        <w:tc>
          <w:tcPr>
            <w:tcW w:w="100" w:type="dxa"/>
            <w:vAlign w:val="bottom"/>
            <w:shd w:val="clear" w:color="auto" w:fill="F3F3F4"/>
          </w:tcPr>
          <w:p>
            <w:pPr>
              <w:spacing w:after="0"/>
              <w:rPr>
                <w:sz w:val="16"/>
                <w:szCs w:val="16"/>
                <w:color w:val="auto"/>
              </w:rPr>
            </w:pPr>
          </w:p>
        </w:tc>
        <w:tc>
          <w:tcPr>
            <w:tcW w:w="320" w:type="dxa"/>
            <w:vAlign w:val="bottom"/>
            <w:gridSpan w:val="2"/>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980" w:type="dxa"/>
            <w:vAlign w:val="bottom"/>
            <w:gridSpan w:val="3"/>
            <w:shd w:val="clear" w:color="auto" w:fill="F3F3F4"/>
          </w:tcPr>
          <w:p>
            <w:pPr>
              <w:jc w:val="right"/>
              <w:ind w:right="713"/>
              <w:spacing w:after="0"/>
              <w:rPr>
                <w:sz w:val="20"/>
                <w:szCs w:val="20"/>
                <w:color w:val="auto"/>
              </w:rPr>
            </w:pPr>
            <w:r>
              <w:rPr>
                <w:rFonts w:ascii="Arial" w:cs="Arial" w:eastAsia="Arial" w:hAnsi="Arial"/>
                <w:sz w:val="13"/>
                <w:szCs w:val="13"/>
                <w:color w:val="auto"/>
              </w:rPr>
              <w:t>$</w:t>
            </w:r>
          </w:p>
        </w:tc>
        <w:tc>
          <w:tcPr>
            <w:tcW w:w="340" w:type="dxa"/>
            <w:vAlign w:val="bottom"/>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F3F3F4"/>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9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Total Benefits</w:t>
            </w:r>
          </w:p>
        </w:tc>
        <w:tc>
          <w:tcPr>
            <w:tcW w:w="120" w:type="dxa"/>
            <w:vAlign w:val="bottom"/>
            <w:tcBorders>
              <w:bottom w:val="single" w:sz="8" w:color="F3F3F4"/>
            </w:tcBorders>
            <w:shd w:val="clear" w:color="auto" w:fill="F3F3F4"/>
          </w:tcPr>
          <w:p>
            <w:pPr>
              <w:spacing w:after="0"/>
              <w:rPr>
                <w:sz w:val="22"/>
                <w:szCs w:val="22"/>
                <w:color w:val="auto"/>
              </w:rPr>
            </w:pPr>
          </w:p>
        </w:tc>
        <w:tc>
          <w:tcPr>
            <w:tcW w:w="120" w:type="dxa"/>
            <w:vAlign w:val="bottom"/>
            <w:tcBorders>
              <w:bottom w:val="single" w:sz="8" w:color="F3F3F4"/>
            </w:tcBorders>
            <w:shd w:val="clear" w:color="auto" w:fill="F3F3F4"/>
          </w:tcPr>
          <w:p>
            <w:pPr>
              <w:spacing w:after="0"/>
              <w:rPr>
                <w:sz w:val="22"/>
                <w:szCs w:val="22"/>
                <w:color w:val="auto"/>
              </w:rPr>
            </w:pPr>
          </w:p>
        </w:tc>
        <w:tc>
          <w:tcPr>
            <w:tcW w:w="1180" w:type="dxa"/>
            <w:vAlign w:val="bottom"/>
            <w:tcBorders>
              <w:bottom w:val="single" w:sz="8" w:color="F3F3F4"/>
              <w:right w:val="single" w:sz="8" w:color="F3F3F4"/>
            </w:tcBorders>
            <w:shd w:val="clear" w:color="auto" w:fill="F3F3F4"/>
          </w:tcPr>
          <w:p>
            <w:pPr>
              <w:spacing w:after="0"/>
              <w:rPr>
                <w:sz w:val="22"/>
                <w:szCs w:val="22"/>
                <w:color w:val="auto"/>
              </w:rPr>
            </w:pPr>
          </w:p>
        </w:tc>
        <w:tc>
          <w:tcPr>
            <w:tcW w:w="240" w:type="dxa"/>
            <w:vAlign w:val="bottom"/>
            <w:tcBorders>
              <w:bottom w:val="single" w:sz="8" w:color="F3F3F4"/>
              <w:right w:val="single" w:sz="8" w:color="F3F3F4"/>
            </w:tcBorders>
            <w:shd w:val="clear" w:color="auto" w:fill="F3F3F4"/>
          </w:tcPr>
          <w:p>
            <w:pPr>
              <w:spacing w:after="0"/>
              <w:rPr>
                <w:sz w:val="22"/>
                <w:szCs w:val="22"/>
                <w:color w:val="auto"/>
              </w:rPr>
            </w:pPr>
          </w:p>
        </w:tc>
        <w:tc>
          <w:tcPr>
            <w:tcW w:w="170" w:type="dxa"/>
            <w:vAlign w:val="bottom"/>
            <w:tcBorders>
              <w:bottom w:val="single" w:sz="8" w:color="F3F3F4"/>
            </w:tcBorders>
            <w:shd w:val="clear" w:color="auto" w:fill="F3F3F4"/>
          </w:tcPr>
          <w:p>
            <w:pPr>
              <w:spacing w:after="0"/>
              <w:rPr>
                <w:sz w:val="22"/>
                <w:szCs w:val="22"/>
                <w:color w:val="auto"/>
              </w:rPr>
            </w:pPr>
          </w:p>
        </w:tc>
        <w:tc>
          <w:tcPr>
            <w:tcW w:w="610" w:type="dxa"/>
            <w:vAlign w:val="bottom"/>
            <w:tcBorders>
              <w:bottom w:val="single" w:sz="8" w:color="F3F3F4"/>
              <w:right w:val="single" w:sz="8" w:color="F3F3F4"/>
            </w:tcBorders>
            <w:shd w:val="clear" w:color="auto" w:fill="F3F3F4"/>
          </w:tcPr>
          <w:p>
            <w:pPr>
              <w:spacing w:after="0"/>
              <w:rPr>
                <w:sz w:val="22"/>
                <w:szCs w:val="22"/>
                <w:color w:val="auto"/>
              </w:rPr>
            </w:pPr>
          </w:p>
        </w:tc>
        <w:tc>
          <w:tcPr>
            <w:tcW w:w="240" w:type="dxa"/>
            <w:vAlign w:val="bottom"/>
            <w:tcBorders>
              <w:bottom w:val="single" w:sz="8" w:color="F3F3F4"/>
              <w:right w:val="single" w:sz="8" w:color="F3F3F4"/>
            </w:tcBorders>
            <w:shd w:val="clear" w:color="auto" w:fill="F3F3F4"/>
          </w:tcPr>
          <w:p>
            <w:pPr>
              <w:spacing w:after="0"/>
              <w:rPr>
                <w:sz w:val="22"/>
                <w:szCs w:val="22"/>
                <w:color w:val="auto"/>
              </w:rPr>
            </w:pPr>
          </w:p>
        </w:tc>
        <w:tc>
          <w:tcPr>
            <w:tcW w:w="220" w:type="dxa"/>
            <w:vAlign w:val="bottom"/>
            <w:tcBorders>
              <w:bottom w:val="single" w:sz="8" w:color="F3F3F4"/>
            </w:tcBorders>
            <w:shd w:val="clear" w:color="auto" w:fill="F3F3F4"/>
          </w:tcPr>
          <w:p>
            <w:pPr>
              <w:spacing w:after="0"/>
              <w:rPr>
                <w:sz w:val="22"/>
                <w:szCs w:val="22"/>
                <w:color w:val="auto"/>
              </w:rPr>
            </w:pPr>
          </w:p>
        </w:tc>
        <w:tc>
          <w:tcPr>
            <w:tcW w:w="1020" w:type="dxa"/>
            <w:vAlign w:val="bottom"/>
            <w:tcBorders>
              <w:bottom w:val="single" w:sz="8" w:color="F3F3F4"/>
              <w:right w:val="single" w:sz="8" w:color="F3F3F4"/>
            </w:tcBorders>
            <w:shd w:val="clear" w:color="auto" w:fill="F3F3F4"/>
          </w:tcPr>
          <w:p>
            <w:pPr>
              <w:spacing w:after="0"/>
              <w:rPr>
                <w:sz w:val="22"/>
                <w:szCs w:val="22"/>
                <w:color w:val="auto"/>
              </w:rPr>
            </w:pPr>
          </w:p>
        </w:tc>
        <w:tc>
          <w:tcPr>
            <w:tcW w:w="220" w:type="dxa"/>
            <w:vAlign w:val="bottom"/>
            <w:tcBorders>
              <w:bottom w:val="single" w:sz="8" w:color="F3F3F4"/>
              <w:right w:val="single" w:sz="8" w:color="F3F3F4"/>
            </w:tcBorders>
            <w:shd w:val="clear" w:color="auto" w:fill="F3F3F4"/>
          </w:tcPr>
          <w:p>
            <w:pPr>
              <w:spacing w:after="0"/>
              <w:rPr>
                <w:sz w:val="22"/>
                <w:szCs w:val="22"/>
                <w:color w:val="auto"/>
              </w:rPr>
            </w:pPr>
          </w:p>
        </w:tc>
        <w:tc>
          <w:tcPr>
            <w:tcW w:w="140" w:type="dxa"/>
            <w:vAlign w:val="bottom"/>
            <w:tcBorders>
              <w:bottom w:val="single" w:sz="8" w:color="F3F3F4"/>
            </w:tcBorders>
            <w:shd w:val="clear" w:color="auto" w:fill="F3F3F4"/>
          </w:tcPr>
          <w:p>
            <w:pPr>
              <w:spacing w:after="0"/>
              <w:rPr>
                <w:sz w:val="22"/>
                <w:szCs w:val="22"/>
                <w:color w:val="auto"/>
              </w:rPr>
            </w:pPr>
          </w:p>
        </w:tc>
        <w:tc>
          <w:tcPr>
            <w:tcW w:w="1100" w:type="dxa"/>
            <w:vAlign w:val="bottom"/>
            <w:tcBorders>
              <w:bottom w:val="single" w:sz="8" w:color="F3F3F4"/>
              <w:right w:val="single" w:sz="8" w:color="F3F3F4"/>
            </w:tcBorders>
            <w:shd w:val="clear" w:color="auto" w:fill="F3F3F4"/>
          </w:tcPr>
          <w:p>
            <w:pPr>
              <w:spacing w:after="0"/>
              <w:rPr>
                <w:sz w:val="22"/>
                <w:szCs w:val="22"/>
                <w:color w:val="auto"/>
              </w:rPr>
            </w:pPr>
          </w:p>
        </w:tc>
        <w:tc>
          <w:tcPr>
            <w:tcW w:w="100" w:type="dxa"/>
            <w:vAlign w:val="bottom"/>
            <w:tcBorders>
              <w:bottom w:val="single" w:sz="8" w:color="F3F3F4"/>
            </w:tcBorders>
            <w:shd w:val="clear" w:color="auto" w:fill="F3F3F4"/>
          </w:tcPr>
          <w:p>
            <w:pPr>
              <w:spacing w:after="0"/>
              <w:rPr>
                <w:sz w:val="22"/>
                <w:szCs w:val="22"/>
                <w:color w:val="auto"/>
              </w:rPr>
            </w:pPr>
          </w:p>
        </w:tc>
        <w:tc>
          <w:tcPr>
            <w:tcW w:w="100" w:type="dxa"/>
            <w:vAlign w:val="bottom"/>
            <w:tcBorders>
              <w:bottom w:val="single" w:sz="8" w:color="F3F3F4"/>
            </w:tcBorders>
            <w:shd w:val="clear" w:color="auto" w:fill="F3F3F4"/>
          </w:tcPr>
          <w:p>
            <w:pPr>
              <w:spacing w:after="0"/>
              <w:rPr>
                <w:sz w:val="22"/>
                <w:szCs w:val="22"/>
                <w:color w:val="auto"/>
              </w:rPr>
            </w:pPr>
          </w:p>
        </w:tc>
        <w:tc>
          <w:tcPr>
            <w:tcW w:w="220" w:type="dxa"/>
            <w:vAlign w:val="bottom"/>
            <w:tcBorders>
              <w:bottom w:val="single" w:sz="8" w:color="F3F3F4"/>
            </w:tcBorders>
            <w:shd w:val="clear" w:color="auto" w:fill="F3F3F4"/>
          </w:tcPr>
          <w:p>
            <w:pPr>
              <w:spacing w:after="0"/>
              <w:rPr>
                <w:sz w:val="22"/>
                <w:szCs w:val="22"/>
                <w:color w:val="auto"/>
              </w:rPr>
            </w:pPr>
          </w:p>
        </w:tc>
        <w:tc>
          <w:tcPr>
            <w:tcW w:w="1100" w:type="dxa"/>
            <w:vAlign w:val="bottom"/>
            <w:tcBorders>
              <w:bottom w:val="single" w:sz="8" w:color="F3F3F4"/>
              <w:right w:val="single" w:sz="8" w:color="F3F3F4"/>
            </w:tcBorders>
            <w:shd w:val="clear" w:color="auto" w:fill="F3F3F4"/>
          </w:tcPr>
          <w:p>
            <w:pPr>
              <w:spacing w:after="0"/>
              <w:rPr>
                <w:sz w:val="22"/>
                <w:szCs w:val="22"/>
                <w:color w:val="auto"/>
              </w:rPr>
            </w:pPr>
          </w:p>
        </w:tc>
        <w:tc>
          <w:tcPr>
            <w:tcW w:w="100" w:type="dxa"/>
            <w:vAlign w:val="bottom"/>
            <w:tcBorders>
              <w:bottom w:val="single" w:sz="8" w:color="F3F3F4"/>
            </w:tcBorders>
            <w:shd w:val="clear" w:color="auto" w:fill="F3F3F4"/>
          </w:tcPr>
          <w:p>
            <w:pPr>
              <w:spacing w:after="0"/>
              <w:rPr>
                <w:sz w:val="22"/>
                <w:szCs w:val="22"/>
                <w:color w:val="auto"/>
              </w:rPr>
            </w:pPr>
          </w:p>
        </w:tc>
        <w:tc>
          <w:tcPr>
            <w:tcW w:w="100" w:type="dxa"/>
            <w:vAlign w:val="bottom"/>
            <w:tcBorders>
              <w:bottom w:val="single" w:sz="8" w:color="F3F3F4"/>
            </w:tcBorders>
            <w:shd w:val="clear" w:color="auto" w:fill="F3F3F4"/>
          </w:tcPr>
          <w:p>
            <w:pPr>
              <w:spacing w:after="0"/>
              <w:rPr>
                <w:sz w:val="22"/>
                <w:szCs w:val="22"/>
                <w:color w:val="auto"/>
              </w:rPr>
            </w:pPr>
          </w:p>
        </w:tc>
        <w:tc>
          <w:tcPr>
            <w:tcW w:w="780" w:type="dxa"/>
            <w:vAlign w:val="bottom"/>
            <w:tcBorders>
              <w:bottom w:val="single" w:sz="8" w:color="F3F3F4"/>
            </w:tcBorders>
            <w:shd w:val="clear" w:color="auto" w:fill="F3F3F4"/>
          </w:tcPr>
          <w:p>
            <w:pPr>
              <w:spacing w:after="0"/>
              <w:rPr>
                <w:sz w:val="22"/>
                <w:szCs w:val="22"/>
                <w:color w:val="auto"/>
              </w:rPr>
            </w:pPr>
          </w:p>
        </w:tc>
        <w:tc>
          <w:tcPr>
            <w:tcW w:w="340" w:type="dxa"/>
            <w:vAlign w:val="bottom"/>
            <w:tcBorders>
              <w:bottom w:val="single" w:sz="8" w:color="F3F3F4"/>
            </w:tcBorders>
            <w:shd w:val="clear" w:color="auto" w:fill="F3F3F4"/>
          </w:tcPr>
          <w:p>
            <w:pPr>
              <w:spacing w:after="0"/>
              <w:rPr>
                <w:sz w:val="22"/>
                <w:szCs w:val="22"/>
                <w:color w:val="auto"/>
              </w:rPr>
            </w:pPr>
          </w:p>
        </w:tc>
        <w:tc>
          <w:tcPr>
            <w:tcW w:w="100" w:type="dxa"/>
            <w:vAlign w:val="bottom"/>
            <w:tcBorders>
              <w:bottom w:val="single" w:sz="8" w:color="F3F3F4"/>
            </w:tcBorders>
            <w:shd w:val="clear" w:color="auto" w:fill="F3F3F4"/>
          </w:tcPr>
          <w:p>
            <w:pPr>
              <w:spacing w:after="0"/>
              <w:rPr>
                <w:sz w:val="22"/>
                <w:szCs w:val="22"/>
                <w:color w:val="auto"/>
              </w:rPr>
            </w:pPr>
          </w:p>
        </w:tc>
        <w:tc>
          <w:tcPr>
            <w:tcW w:w="0" w:type="dxa"/>
            <w:vAlign w:val="bottom"/>
          </w:tcPr>
          <w:p>
            <w:pPr>
              <w:spacing w:after="0"/>
              <w:rPr>
                <w:sz w:val="1"/>
                <w:szCs w:val="1"/>
                <w:color w:val="auto"/>
              </w:rPr>
            </w:pPr>
          </w:p>
        </w:tc>
      </w:tr>
      <w:tr>
        <w:trPr>
          <w:trHeight w:val="321"/>
        </w:trPr>
        <w:tc>
          <w:tcPr>
            <w:tcW w:w="2920" w:type="dxa"/>
            <w:vAlign w:val="bottom"/>
            <w:tcBorders>
              <w:top w:val="single" w:sz="8" w:color="939598"/>
              <w:bottom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Section 280G Reduction</w:t>
            </w:r>
            <w:r>
              <w:rPr>
                <w:rFonts w:ascii="Arial" w:cs="Arial" w:eastAsia="Arial" w:hAnsi="Arial"/>
                <w:sz w:val="22"/>
                <w:szCs w:val="22"/>
                <w:b w:val="1"/>
                <w:bCs w:val="1"/>
                <w:color w:val="auto"/>
                <w:vertAlign w:val="superscript"/>
              </w:rPr>
              <w:t>8</w:t>
            </w:r>
          </w:p>
        </w:tc>
        <w:tc>
          <w:tcPr>
            <w:tcW w:w="120" w:type="dxa"/>
            <w:vAlign w:val="bottom"/>
            <w:tcBorders>
              <w:top w:val="single" w:sz="8" w:color="939598"/>
              <w:bottom w:val="single" w:sz="8" w:color="939598"/>
            </w:tcBorders>
            <w:shd w:val="clear" w:color="auto" w:fill="F3F3F4"/>
          </w:tcPr>
          <w:p>
            <w:pPr>
              <w:spacing w:after="0"/>
              <w:rPr>
                <w:sz w:val="24"/>
                <w:szCs w:val="24"/>
                <w:color w:val="auto"/>
              </w:rPr>
            </w:pPr>
          </w:p>
        </w:tc>
        <w:tc>
          <w:tcPr>
            <w:tcW w:w="120" w:type="dxa"/>
            <w:vAlign w:val="bottom"/>
            <w:tcBorders>
              <w:top w:val="single" w:sz="8" w:color="939598"/>
              <w:bottom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top w:val="single" w:sz="8" w:color="939598"/>
              <w:bottom w:val="single" w:sz="8" w:color="939598"/>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(32,588)</w:t>
            </w:r>
          </w:p>
        </w:tc>
        <w:tc>
          <w:tcPr>
            <w:tcW w:w="240" w:type="dxa"/>
            <w:vAlign w:val="bottom"/>
            <w:tcBorders>
              <w:top w:val="single" w:sz="8" w:color="939598"/>
              <w:bottom w:val="single" w:sz="8" w:color="939598"/>
              <w:right w:val="single" w:sz="8" w:color="F3F3F4"/>
            </w:tcBorders>
            <w:shd w:val="clear" w:color="auto" w:fill="F3F3F4"/>
          </w:tcPr>
          <w:p>
            <w:pPr>
              <w:spacing w:after="0"/>
              <w:rPr>
                <w:sz w:val="24"/>
                <w:szCs w:val="24"/>
                <w:color w:val="auto"/>
              </w:rPr>
            </w:pPr>
          </w:p>
        </w:tc>
        <w:tc>
          <w:tcPr>
            <w:tcW w:w="170" w:type="dxa"/>
            <w:vAlign w:val="bottom"/>
            <w:tcBorders>
              <w:top w:val="single" w:sz="8" w:color="939598"/>
              <w:bottom w:val="single" w:sz="8" w:color="939598"/>
            </w:tcBorders>
            <w:shd w:val="clear" w:color="auto" w:fill="F3F3F4"/>
          </w:tcPr>
          <w:p>
            <w:pPr>
              <w:jc w:val="right"/>
              <w:ind w:right="52"/>
              <w:spacing w:after="0"/>
              <w:rPr>
                <w:sz w:val="20"/>
                <w:szCs w:val="20"/>
                <w:color w:val="auto"/>
              </w:rPr>
            </w:pPr>
            <w:r>
              <w:rPr>
                <w:rFonts w:ascii="Arial" w:cs="Arial" w:eastAsia="Arial" w:hAnsi="Arial"/>
                <w:sz w:val="10"/>
                <w:szCs w:val="10"/>
                <w:color w:val="auto"/>
                <w:w w:val="71"/>
              </w:rPr>
              <w:t>$</w:t>
            </w:r>
          </w:p>
        </w:tc>
        <w:tc>
          <w:tcPr>
            <w:tcW w:w="610" w:type="dxa"/>
            <w:vAlign w:val="bottom"/>
            <w:tcBorders>
              <w:top w:val="single" w:sz="8" w:color="939598"/>
              <w:bottom w:val="single" w:sz="8" w:color="939598"/>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top w:val="single" w:sz="8" w:color="939598"/>
              <w:bottom w:val="single" w:sz="8" w:color="939598"/>
              <w:right w:val="single" w:sz="8" w:color="F3F3F4"/>
            </w:tcBorders>
            <w:shd w:val="clear" w:color="auto" w:fill="F3F3F4"/>
          </w:tcPr>
          <w:p>
            <w:pPr>
              <w:spacing w:after="0"/>
              <w:rPr>
                <w:sz w:val="24"/>
                <w:szCs w:val="24"/>
                <w:color w:val="auto"/>
              </w:rPr>
            </w:pPr>
          </w:p>
        </w:tc>
        <w:tc>
          <w:tcPr>
            <w:tcW w:w="220" w:type="dxa"/>
            <w:vAlign w:val="bottom"/>
            <w:tcBorders>
              <w:top w:val="single" w:sz="8" w:color="939598"/>
              <w:bottom w:val="single" w:sz="8" w:color="939598"/>
            </w:tcBorders>
            <w:shd w:val="clear" w:color="auto" w:fill="F3F3F4"/>
          </w:tcPr>
          <w:p>
            <w:pPr>
              <w:jc w:val="right"/>
              <w:ind w:right="10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939598"/>
              <w:bottom w:val="single" w:sz="8" w:color="939598"/>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20" w:type="dxa"/>
            <w:vAlign w:val="bottom"/>
            <w:tcBorders>
              <w:top w:val="single" w:sz="8" w:color="939598"/>
              <w:bottom w:val="single" w:sz="8" w:color="939598"/>
              <w:right w:val="single" w:sz="8" w:color="F3F3F4"/>
            </w:tcBorders>
            <w:shd w:val="clear" w:color="auto" w:fill="F3F3F4"/>
          </w:tcPr>
          <w:p>
            <w:pPr>
              <w:spacing w:after="0"/>
              <w:rPr>
                <w:sz w:val="24"/>
                <w:szCs w:val="24"/>
                <w:color w:val="auto"/>
              </w:rPr>
            </w:pPr>
          </w:p>
        </w:tc>
        <w:tc>
          <w:tcPr>
            <w:tcW w:w="140" w:type="dxa"/>
            <w:vAlign w:val="bottom"/>
            <w:tcBorders>
              <w:top w:val="single" w:sz="8" w:color="939598"/>
              <w:bottom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939598"/>
              <w:bottom w:val="single" w:sz="8" w:color="939598"/>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top w:val="single" w:sz="8" w:color="939598"/>
              <w:bottom w:val="single" w:sz="8" w:color="939598"/>
            </w:tcBorders>
            <w:shd w:val="clear" w:color="auto" w:fill="F3F3F4"/>
          </w:tcPr>
          <w:p>
            <w:pPr>
              <w:spacing w:after="0"/>
              <w:rPr>
                <w:sz w:val="24"/>
                <w:szCs w:val="24"/>
                <w:color w:val="auto"/>
              </w:rPr>
            </w:pPr>
          </w:p>
        </w:tc>
        <w:tc>
          <w:tcPr>
            <w:tcW w:w="320" w:type="dxa"/>
            <w:vAlign w:val="bottom"/>
            <w:tcBorders>
              <w:top w:val="single" w:sz="8" w:color="939598"/>
              <w:bottom w:val="single" w:sz="8" w:color="939598"/>
            </w:tcBorders>
            <w:gridSpan w:val="2"/>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939598"/>
              <w:bottom w:val="single" w:sz="8" w:color="939598"/>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980" w:type="dxa"/>
            <w:vAlign w:val="bottom"/>
            <w:tcBorders>
              <w:top w:val="single" w:sz="8" w:color="939598"/>
              <w:bottom w:val="single" w:sz="8" w:color="939598"/>
            </w:tcBorders>
            <w:gridSpan w:val="3"/>
            <w:shd w:val="clear" w:color="auto" w:fill="F3F3F4"/>
          </w:tcPr>
          <w:p>
            <w:pPr>
              <w:jc w:val="right"/>
              <w:ind w:right="713"/>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939598"/>
              <w:bottom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top w:val="single" w:sz="8" w:color="939598"/>
              <w:bottom w:val="single" w:sz="8" w:color="939598"/>
            </w:tcBorders>
            <w:shd w:val="clear" w:color="auto" w:fill="F3F3F4"/>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920" w:type="dxa"/>
            <w:vAlign w:val="bottom"/>
            <w:shd w:val="clear" w:color="auto" w:fill="F3F3F4"/>
          </w:tcPr>
          <w:p>
            <w:pPr>
              <w:ind w:left="100"/>
              <w:spacing w:after="0"/>
              <w:rPr>
                <w:sz w:val="20"/>
                <w:szCs w:val="20"/>
                <w:color w:val="auto"/>
              </w:rPr>
            </w:pPr>
            <w:r>
              <w:rPr>
                <w:rFonts w:ascii="Arial" w:cs="Arial" w:eastAsia="Arial" w:hAnsi="Arial"/>
                <w:sz w:val="13"/>
                <w:szCs w:val="13"/>
                <w:b w:val="1"/>
                <w:bCs w:val="1"/>
                <w:color w:val="auto"/>
              </w:rPr>
              <w:t>Total Incremental Compensation</w:t>
            </w:r>
          </w:p>
        </w:tc>
        <w:tc>
          <w:tcPr>
            <w:tcW w:w="120" w:type="dxa"/>
            <w:vAlign w:val="bottom"/>
            <w:shd w:val="clear" w:color="auto" w:fill="F3F3F4"/>
          </w:tcPr>
          <w:p>
            <w:pPr>
              <w:spacing w:after="0"/>
              <w:rPr>
                <w:sz w:val="21"/>
                <w:szCs w:val="21"/>
                <w:color w:val="auto"/>
              </w:rPr>
            </w:pPr>
          </w:p>
        </w:tc>
        <w:tc>
          <w:tcPr>
            <w:tcW w:w="120" w:type="dxa"/>
            <w:vAlign w:val="bottom"/>
            <w:shd w:val="clear" w:color="auto" w:fill="F3F3F4"/>
          </w:tcPr>
          <w:p>
            <w:pPr>
              <w:spacing w:after="0"/>
              <w:rPr>
                <w:sz w:val="21"/>
                <w:szCs w:val="21"/>
                <w:color w:val="auto"/>
              </w:rPr>
            </w:pPr>
          </w:p>
        </w:tc>
        <w:tc>
          <w:tcPr>
            <w:tcW w:w="1180" w:type="dxa"/>
            <w:vAlign w:val="bottom"/>
            <w:tcBorders>
              <w:right w:val="single" w:sz="8" w:color="F3F3F4"/>
            </w:tcBorders>
            <w:shd w:val="clear" w:color="auto" w:fill="F3F3F4"/>
          </w:tcPr>
          <w:p>
            <w:pPr>
              <w:spacing w:after="0"/>
              <w:rPr>
                <w:sz w:val="21"/>
                <w:szCs w:val="21"/>
                <w:color w:val="auto"/>
              </w:rPr>
            </w:pPr>
          </w:p>
        </w:tc>
        <w:tc>
          <w:tcPr>
            <w:tcW w:w="240" w:type="dxa"/>
            <w:vAlign w:val="bottom"/>
            <w:tcBorders>
              <w:right w:val="single" w:sz="8" w:color="F3F3F4"/>
            </w:tcBorders>
            <w:shd w:val="clear" w:color="auto" w:fill="F3F3F4"/>
          </w:tcPr>
          <w:p>
            <w:pPr>
              <w:spacing w:after="0"/>
              <w:rPr>
                <w:sz w:val="21"/>
                <w:szCs w:val="21"/>
                <w:color w:val="auto"/>
              </w:rPr>
            </w:pPr>
          </w:p>
        </w:tc>
        <w:tc>
          <w:tcPr>
            <w:tcW w:w="170" w:type="dxa"/>
            <w:vAlign w:val="bottom"/>
            <w:shd w:val="clear" w:color="auto" w:fill="F3F3F4"/>
          </w:tcPr>
          <w:p>
            <w:pPr>
              <w:spacing w:after="0"/>
              <w:rPr>
                <w:sz w:val="21"/>
                <w:szCs w:val="21"/>
                <w:color w:val="auto"/>
              </w:rPr>
            </w:pPr>
          </w:p>
        </w:tc>
        <w:tc>
          <w:tcPr>
            <w:tcW w:w="610" w:type="dxa"/>
            <w:vAlign w:val="bottom"/>
            <w:tcBorders>
              <w:right w:val="single" w:sz="8" w:color="F3F3F4"/>
            </w:tcBorders>
            <w:shd w:val="clear" w:color="auto" w:fill="F3F3F4"/>
          </w:tcPr>
          <w:p>
            <w:pPr>
              <w:spacing w:after="0"/>
              <w:rPr>
                <w:sz w:val="21"/>
                <w:szCs w:val="21"/>
                <w:color w:val="auto"/>
              </w:rPr>
            </w:pPr>
          </w:p>
        </w:tc>
        <w:tc>
          <w:tcPr>
            <w:tcW w:w="240" w:type="dxa"/>
            <w:vAlign w:val="bottom"/>
            <w:tcBorders>
              <w:right w:val="single" w:sz="8" w:color="F3F3F4"/>
            </w:tcBorders>
            <w:shd w:val="clear" w:color="auto" w:fill="F3F3F4"/>
          </w:tcPr>
          <w:p>
            <w:pPr>
              <w:spacing w:after="0"/>
              <w:rPr>
                <w:sz w:val="21"/>
                <w:szCs w:val="21"/>
                <w:color w:val="auto"/>
              </w:rPr>
            </w:pPr>
          </w:p>
        </w:tc>
        <w:tc>
          <w:tcPr>
            <w:tcW w:w="220" w:type="dxa"/>
            <w:vAlign w:val="bottom"/>
            <w:shd w:val="clear" w:color="auto" w:fill="F3F3F4"/>
          </w:tcPr>
          <w:p>
            <w:pPr>
              <w:spacing w:after="0"/>
              <w:rPr>
                <w:sz w:val="21"/>
                <w:szCs w:val="21"/>
                <w:color w:val="auto"/>
              </w:rPr>
            </w:pPr>
          </w:p>
        </w:tc>
        <w:tc>
          <w:tcPr>
            <w:tcW w:w="1020" w:type="dxa"/>
            <w:vAlign w:val="bottom"/>
            <w:tcBorders>
              <w:right w:val="single" w:sz="8" w:color="F3F3F4"/>
            </w:tcBorders>
            <w:shd w:val="clear" w:color="auto" w:fill="F3F3F4"/>
          </w:tcPr>
          <w:p>
            <w:pPr>
              <w:spacing w:after="0"/>
              <w:rPr>
                <w:sz w:val="21"/>
                <w:szCs w:val="21"/>
                <w:color w:val="auto"/>
              </w:rPr>
            </w:pPr>
          </w:p>
        </w:tc>
        <w:tc>
          <w:tcPr>
            <w:tcW w:w="220" w:type="dxa"/>
            <w:vAlign w:val="bottom"/>
            <w:tcBorders>
              <w:right w:val="single" w:sz="8" w:color="F3F3F4"/>
            </w:tcBorders>
            <w:shd w:val="clear" w:color="auto" w:fill="F3F3F4"/>
          </w:tcPr>
          <w:p>
            <w:pPr>
              <w:spacing w:after="0"/>
              <w:rPr>
                <w:sz w:val="21"/>
                <w:szCs w:val="21"/>
                <w:color w:val="auto"/>
              </w:rPr>
            </w:pPr>
          </w:p>
        </w:tc>
        <w:tc>
          <w:tcPr>
            <w:tcW w:w="140" w:type="dxa"/>
            <w:vAlign w:val="bottom"/>
            <w:shd w:val="clear" w:color="auto" w:fill="F3F3F4"/>
          </w:tcPr>
          <w:p>
            <w:pPr>
              <w:spacing w:after="0"/>
              <w:rPr>
                <w:sz w:val="21"/>
                <w:szCs w:val="21"/>
                <w:color w:val="auto"/>
              </w:rPr>
            </w:pPr>
          </w:p>
        </w:tc>
        <w:tc>
          <w:tcPr>
            <w:tcW w:w="1100" w:type="dxa"/>
            <w:vAlign w:val="bottom"/>
            <w:tcBorders>
              <w:right w:val="single" w:sz="8" w:color="F3F3F4"/>
            </w:tcBorders>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220" w:type="dxa"/>
            <w:vAlign w:val="bottom"/>
            <w:shd w:val="clear" w:color="auto" w:fill="F3F3F4"/>
          </w:tcPr>
          <w:p>
            <w:pPr>
              <w:spacing w:after="0"/>
              <w:rPr>
                <w:sz w:val="21"/>
                <w:szCs w:val="21"/>
                <w:color w:val="auto"/>
              </w:rPr>
            </w:pPr>
          </w:p>
        </w:tc>
        <w:tc>
          <w:tcPr>
            <w:tcW w:w="1100" w:type="dxa"/>
            <w:vAlign w:val="bottom"/>
            <w:tcBorders>
              <w:right w:val="single" w:sz="8" w:color="F3F3F4"/>
            </w:tcBorders>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780" w:type="dxa"/>
            <w:vAlign w:val="bottom"/>
            <w:shd w:val="clear" w:color="auto" w:fill="F3F3F4"/>
          </w:tcPr>
          <w:p>
            <w:pPr>
              <w:spacing w:after="0"/>
              <w:rPr>
                <w:sz w:val="21"/>
                <w:szCs w:val="21"/>
                <w:color w:val="auto"/>
              </w:rPr>
            </w:pPr>
          </w:p>
        </w:tc>
        <w:tc>
          <w:tcPr>
            <w:tcW w:w="340" w:type="dxa"/>
            <w:vAlign w:val="bottom"/>
            <w:shd w:val="clear" w:color="auto" w:fill="F3F3F4"/>
          </w:tcPr>
          <w:p>
            <w:pPr>
              <w:spacing w:after="0"/>
              <w:rPr>
                <w:sz w:val="21"/>
                <w:szCs w:val="21"/>
                <w:color w:val="auto"/>
              </w:rPr>
            </w:pPr>
          </w:p>
        </w:tc>
        <w:tc>
          <w:tcPr>
            <w:tcW w:w="100" w:type="dxa"/>
            <w:vAlign w:val="bottom"/>
            <w:shd w:val="clear" w:color="auto" w:fill="F3F3F4"/>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9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After Reduction</w:t>
            </w:r>
          </w:p>
        </w:tc>
        <w:tc>
          <w:tcPr>
            <w:tcW w:w="120" w:type="dxa"/>
            <w:vAlign w:val="bottom"/>
            <w:tcBorders>
              <w:bottom w:val="single" w:sz="8" w:color="F3F3F4"/>
            </w:tcBorders>
            <w:shd w:val="clear" w:color="auto" w:fill="F3F3F4"/>
          </w:tcPr>
          <w:p>
            <w:pPr>
              <w:spacing w:after="0"/>
              <w:rPr>
                <w:sz w:val="21"/>
                <w:szCs w:val="21"/>
                <w:color w:val="auto"/>
              </w:rPr>
            </w:pPr>
          </w:p>
        </w:tc>
        <w:tc>
          <w:tcPr>
            <w:tcW w:w="12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3,015,716</w:t>
            </w:r>
          </w:p>
        </w:tc>
        <w:tc>
          <w:tcPr>
            <w:tcW w:w="240" w:type="dxa"/>
            <w:vAlign w:val="bottom"/>
            <w:tcBorders>
              <w:bottom w:val="single" w:sz="8" w:color="F3F3F4"/>
              <w:right w:val="single" w:sz="8" w:color="F3F3F4"/>
            </w:tcBorders>
            <w:shd w:val="clear" w:color="auto" w:fill="F3F3F4"/>
          </w:tcPr>
          <w:p>
            <w:pPr>
              <w:spacing w:after="0"/>
              <w:rPr>
                <w:sz w:val="21"/>
                <w:szCs w:val="21"/>
                <w:color w:val="auto"/>
              </w:rPr>
            </w:pPr>
          </w:p>
        </w:tc>
        <w:tc>
          <w:tcPr>
            <w:tcW w:w="170" w:type="dxa"/>
            <w:vAlign w:val="bottom"/>
            <w:tcBorders>
              <w:bottom w:val="single" w:sz="8" w:color="F3F3F4"/>
            </w:tcBorders>
            <w:shd w:val="clear" w:color="auto" w:fill="F3F3F4"/>
          </w:tcPr>
          <w:p>
            <w:pPr>
              <w:jc w:val="right"/>
              <w:ind w:right="52"/>
              <w:spacing w:after="0"/>
              <w:rPr>
                <w:sz w:val="20"/>
                <w:szCs w:val="20"/>
                <w:color w:val="auto"/>
              </w:rPr>
            </w:pPr>
            <w:r>
              <w:rPr>
                <w:rFonts w:ascii="Arial" w:cs="Arial" w:eastAsia="Arial" w:hAnsi="Arial"/>
                <w:sz w:val="10"/>
                <w:szCs w:val="10"/>
                <w:color w:val="auto"/>
                <w:w w:val="71"/>
              </w:rPr>
              <w:t>$</w:t>
            </w:r>
          </w:p>
        </w:tc>
        <w:tc>
          <w:tcPr>
            <w:tcW w:w="61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bottom w:val="single" w:sz="8" w:color="F3F3F4"/>
              <w:right w:val="single" w:sz="8" w:color="F3F3F4"/>
            </w:tcBorders>
            <w:shd w:val="clear" w:color="auto" w:fill="F3F3F4"/>
          </w:tcPr>
          <w:p>
            <w:pPr>
              <w:spacing w:after="0"/>
              <w:rPr>
                <w:sz w:val="21"/>
                <w:szCs w:val="21"/>
                <w:color w:val="auto"/>
              </w:rPr>
            </w:pPr>
          </w:p>
        </w:tc>
        <w:tc>
          <w:tcPr>
            <w:tcW w:w="220" w:type="dxa"/>
            <w:vAlign w:val="bottom"/>
            <w:tcBorders>
              <w:bottom w:val="single" w:sz="8" w:color="F3F3F4"/>
            </w:tcBorders>
            <w:shd w:val="clear" w:color="auto" w:fill="F3F3F4"/>
          </w:tcPr>
          <w:p>
            <w:pPr>
              <w:jc w:val="right"/>
              <w:ind w:right="10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101,450</w:t>
            </w:r>
          </w:p>
        </w:tc>
        <w:tc>
          <w:tcPr>
            <w:tcW w:w="220" w:type="dxa"/>
            <w:vAlign w:val="bottom"/>
            <w:tcBorders>
              <w:bottom w:val="single" w:sz="8" w:color="F3F3F4"/>
              <w:right w:val="single" w:sz="8" w:color="F3F3F4"/>
            </w:tcBorders>
            <w:shd w:val="clear" w:color="auto" w:fill="F3F3F4"/>
          </w:tcPr>
          <w:p>
            <w:pPr>
              <w:spacing w:after="0"/>
              <w:rPr>
                <w:sz w:val="21"/>
                <w:szCs w:val="21"/>
                <w:color w:val="auto"/>
              </w:rPr>
            </w:pPr>
          </w:p>
        </w:tc>
        <w:tc>
          <w:tcPr>
            <w:tcW w:w="1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F3F3F4"/>
              <w:right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1,457,482</w:t>
            </w:r>
          </w:p>
        </w:tc>
        <w:tc>
          <w:tcPr>
            <w:tcW w:w="100" w:type="dxa"/>
            <w:vAlign w:val="bottom"/>
            <w:tcBorders>
              <w:bottom w:val="single" w:sz="8" w:color="F3F3F4"/>
            </w:tcBorders>
            <w:shd w:val="clear" w:color="auto" w:fill="F3F3F4"/>
          </w:tcPr>
          <w:p>
            <w:pPr>
              <w:spacing w:after="0"/>
              <w:rPr>
                <w:sz w:val="21"/>
                <w:szCs w:val="21"/>
                <w:color w:val="auto"/>
              </w:rPr>
            </w:pPr>
          </w:p>
        </w:tc>
        <w:tc>
          <w:tcPr>
            <w:tcW w:w="100" w:type="dxa"/>
            <w:vAlign w:val="bottom"/>
            <w:tcBorders>
              <w:bottom w:val="single" w:sz="8" w:color="F3F3F4"/>
            </w:tcBorders>
            <w:shd w:val="clear" w:color="auto" w:fill="F3F3F4"/>
          </w:tcPr>
          <w:p>
            <w:pPr>
              <w:spacing w:after="0"/>
              <w:rPr>
                <w:sz w:val="21"/>
                <w:szCs w:val="21"/>
                <w:color w:val="auto"/>
              </w:rPr>
            </w:pPr>
          </w:p>
        </w:tc>
        <w:tc>
          <w:tcPr>
            <w:tcW w:w="220" w:type="dxa"/>
            <w:vAlign w:val="bottom"/>
            <w:tcBorders>
              <w:bottom w:val="single" w:sz="8" w:color="F3F3F4"/>
            </w:tcBorders>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F3F3F4"/>
              <w:right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980" w:type="dxa"/>
            <w:vAlign w:val="bottom"/>
            <w:tcBorders>
              <w:bottom w:val="single" w:sz="8" w:color="F3F3F4"/>
            </w:tcBorders>
            <w:gridSpan w:val="3"/>
            <w:shd w:val="clear" w:color="auto" w:fill="F3F3F4"/>
          </w:tcPr>
          <w:p>
            <w:pPr>
              <w:jc w:val="right"/>
              <w:ind w:right="713"/>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F3F3F4"/>
            </w:tcBorders>
            <w:shd w:val="clear" w:color="auto" w:fill="F3F3F4"/>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5600" w:type="dxa"/>
            <w:vAlign w:val="bottom"/>
            <w:tcBorders>
              <w:top w:val="single" w:sz="8" w:color="939598"/>
              <w:bottom w:val="single" w:sz="8" w:color="D1D2D4"/>
            </w:tcBorders>
            <w:gridSpan w:val="8"/>
          </w:tcPr>
          <w:p>
            <w:pPr>
              <w:spacing w:after="0"/>
              <w:rPr>
                <w:sz w:val="24"/>
                <w:szCs w:val="24"/>
                <w:color w:val="auto"/>
              </w:rPr>
            </w:pPr>
          </w:p>
        </w:tc>
        <w:tc>
          <w:tcPr>
            <w:tcW w:w="220" w:type="dxa"/>
            <w:vAlign w:val="bottom"/>
            <w:tcBorders>
              <w:top w:val="single" w:sz="8" w:color="939598"/>
              <w:bottom w:val="single" w:sz="8" w:color="D1D2D4"/>
            </w:tcBorders>
          </w:tcPr>
          <w:p>
            <w:pPr>
              <w:spacing w:after="0"/>
              <w:rPr>
                <w:sz w:val="24"/>
                <w:szCs w:val="24"/>
                <w:color w:val="auto"/>
              </w:rPr>
            </w:pPr>
          </w:p>
        </w:tc>
        <w:tc>
          <w:tcPr>
            <w:tcW w:w="1020" w:type="dxa"/>
            <w:vAlign w:val="bottom"/>
            <w:tcBorders>
              <w:top w:val="single" w:sz="8" w:color="939598"/>
              <w:bottom w:val="single" w:sz="8" w:color="D1D2D4"/>
            </w:tcBorders>
          </w:tcPr>
          <w:p>
            <w:pPr>
              <w:spacing w:after="0"/>
              <w:rPr>
                <w:sz w:val="24"/>
                <w:szCs w:val="24"/>
                <w:color w:val="auto"/>
              </w:rPr>
            </w:pPr>
          </w:p>
        </w:tc>
        <w:tc>
          <w:tcPr>
            <w:tcW w:w="220" w:type="dxa"/>
            <w:vAlign w:val="bottom"/>
            <w:tcBorders>
              <w:top w:val="single" w:sz="8" w:color="939598"/>
              <w:bottom w:val="single" w:sz="8" w:color="D1D2D4"/>
            </w:tcBorders>
          </w:tcPr>
          <w:p>
            <w:pPr>
              <w:spacing w:after="0"/>
              <w:rPr>
                <w:sz w:val="24"/>
                <w:szCs w:val="24"/>
                <w:color w:val="auto"/>
              </w:rPr>
            </w:pPr>
          </w:p>
        </w:tc>
        <w:tc>
          <w:tcPr>
            <w:tcW w:w="140" w:type="dxa"/>
            <w:vAlign w:val="bottom"/>
            <w:tcBorders>
              <w:top w:val="single" w:sz="8" w:color="939598"/>
              <w:bottom w:val="single" w:sz="8" w:color="D1D2D4"/>
            </w:tcBorders>
          </w:tcPr>
          <w:p>
            <w:pPr>
              <w:spacing w:after="0"/>
              <w:rPr>
                <w:sz w:val="24"/>
                <w:szCs w:val="24"/>
                <w:color w:val="auto"/>
              </w:rPr>
            </w:pPr>
          </w:p>
        </w:tc>
        <w:tc>
          <w:tcPr>
            <w:tcW w:w="1100" w:type="dxa"/>
            <w:vAlign w:val="bottom"/>
            <w:tcBorders>
              <w:top w:val="single" w:sz="8" w:color="939598"/>
              <w:bottom w:val="single" w:sz="8" w:color="D1D2D4"/>
            </w:tcBorders>
          </w:tcPr>
          <w:p>
            <w:pPr>
              <w:spacing w:after="0"/>
              <w:rPr>
                <w:sz w:val="24"/>
                <w:szCs w:val="24"/>
                <w:color w:val="auto"/>
              </w:rPr>
            </w:pPr>
          </w:p>
        </w:tc>
        <w:tc>
          <w:tcPr>
            <w:tcW w:w="100" w:type="dxa"/>
            <w:vAlign w:val="bottom"/>
            <w:tcBorders>
              <w:top w:val="single" w:sz="8" w:color="939598"/>
              <w:bottom w:val="single" w:sz="8" w:color="D1D2D4"/>
            </w:tcBorders>
          </w:tcPr>
          <w:p>
            <w:pPr>
              <w:spacing w:after="0"/>
              <w:rPr>
                <w:sz w:val="24"/>
                <w:szCs w:val="24"/>
                <w:color w:val="auto"/>
              </w:rPr>
            </w:pPr>
          </w:p>
        </w:tc>
        <w:tc>
          <w:tcPr>
            <w:tcW w:w="100" w:type="dxa"/>
            <w:vAlign w:val="bottom"/>
            <w:tcBorders>
              <w:top w:val="single" w:sz="8" w:color="939598"/>
              <w:bottom w:val="single" w:sz="8" w:color="D1D2D4"/>
            </w:tcBorders>
          </w:tcPr>
          <w:p>
            <w:pPr>
              <w:spacing w:after="0"/>
              <w:rPr>
                <w:sz w:val="24"/>
                <w:szCs w:val="24"/>
                <w:color w:val="auto"/>
              </w:rPr>
            </w:pPr>
          </w:p>
        </w:tc>
        <w:tc>
          <w:tcPr>
            <w:tcW w:w="220" w:type="dxa"/>
            <w:vAlign w:val="bottom"/>
            <w:tcBorders>
              <w:top w:val="single" w:sz="8" w:color="939598"/>
              <w:bottom w:val="single" w:sz="8" w:color="D1D2D4"/>
            </w:tcBorders>
          </w:tcPr>
          <w:p>
            <w:pPr>
              <w:spacing w:after="0"/>
              <w:rPr>
                <w:sz w:val="24"/>
                <w:szCs w:val="24"/>
                <w:color w:val="auto"/>
              </w:rPr>
            </w:pPr>
          </w:p>
        </w:tc>
        <w:tc>
          <w:tcPr>
            <w:tcW w:w="1100" w:type="dxa"/>
            <w:vAlign w:val="bottom"/>
            <w:tcBorders>
              <w:top w:val="single" w:sz="8" w:color="939598"/>
              <w:bottom w:val="single" w:sz="8" w:color="D1D2D4"/>
            </w:tcBorders>
          </w:tcPr>
          <w:p>
            <w:pPr>
              <w:spacing w:after="0"/>
              <w:rPr>
                <w:sz w:val="24"/>
                <w:szCs w:val="24"/>
                <w:color w:val="auto"/>
              </w:rPr>
            </w:pPr>
          </w:p>
        </w:tc>
        <w:tc>
          <w:tcPr>
            <w:tcW w:w="980" w:type="dxa"/>
            <w:vAlign w:val="bottom"/>
            <w:tcBorders>
              <w:top w:val="single" w:sz="8" w:color="939598"/>
              <w:bottom w:val="single" w:sz="8" w:color="D1D2D4"/>
            </w:tcBorders>
            <w:gridSpan w:val="3"/>
          </w:tcPr>
          <w:p>
            <w:pPr>
              <w:spacing w:after="0"/>
              <w:rPr>
                <w:sz w:val="24"/>
                <w:szCs w:val="24"/>
                <w:color w:val="auto"/>
              </w:rPr>
            </w:pPr>
          </w:p>
        </w:tc>
        <w:tc>
          <w:tcPr>
            <w:tcW w:w="440" w:type="dxa"/>
            <w:vAlign w:val="bottom"/>
            <w:tcBorders>
              <w:top w:val="single" w:sz="8" w:color="939598"/>
              <w:bottom w:val="single" w:sz="8" w:color="D1D2D4"/>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600" w:type="dxa"/>
            <w:vAlign w:val="bottom"/>
            <w:tcBorders>
              <w:bottom w:val="single" w:sz="8" w:color="auto"/>
            </w:tcBorders>
            <w:gridSpan w:val="8"/>
          </w:tcPr>
          <w:p>
            <w:pPr>
              <w:spacing w:after="0"/>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2"/>
                <w:szCs w:val="12"/>
                <w:color w:val="auto"/>
                <w:w w:val="92"/>
              </w:rPr>
              <w:t>PROPOSAL 2</w:t>
            </w: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42</w:t>
            </w: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sectPr>
      </w:pPr>
    </w:p>
    <w:bookmarkStart w:id="47" w:name="page48"/>
    <w:bookmarkEnd w:id="47"/>
    <w:p>
      <w:pPr>
        <w:ind w:left="220" w:hanging="219"/>
        <w:spacing w:after="0"/>
        <w:tabs>
          <w:tab w:leader="none" w:pos="2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Represents three months’ base salary, which we have the discretion to provide to the executive officers in order to cover the waiting period under our group long-term disability insurance policy.</w:t>
      </w:r>
    </w:p>
    <w:p>
      <w:pPr>
        <w:spacing w:after="0" w:line="139"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2   As calculated under the terms of the executive officer’s employment agreement. The amount shown represents the annual base salary in effect at September 30, 2024 multiplied by two.</w:t>
      </w:r>
    </w:p>
    <w:p>
      <w:pPr>
        <w:spacing w:after="0" w:line="128" w:lineRule="exact"/>
        <w:rPr>
          <w:rFonts w:ascii="Arial" w:cs="Arial" w:eastAsia="Arial" w:hAnsi="Arial"/>
          <w:sz w:val="12"/>
          <w:szCs w:val="12"/>
          <w:color w:val="auto"/>
        </w:rPr>
      </w:pPr>
    </w:p>
    <w:p>
      <w:pPr>
        <w:ind w:right="300"/>
        <w:spacing w:after="0" w:line="445" w:lineRule="auto"/>
        <w:rPr>
          <w:rFonts w:ascii="Arial" w:cs="Arial" w:eastAsia="Arial" w:hAnsi="Arial"/>
          <w:sz w:val="12"/>
          <w:szCs w:val="12"/>
          <w:color w:val="auto"/>
        </w:rPr>
      </w:pPr>
      <w:r>
        <w:rPr>
          <w:rFonts w:ascii="Arial" w:cs="Arial" w:eastAsia="Arial" w:hAnsi="Arial"/>
          <w:sz w:val="13"/>
          <w:szCs w:val="13"/>
          <w:color w:val="auto"/>
        </w:rPr>
        <w:t>3 As calculated under the terms of the Severance Plan. The amount shown is in lieu of any annual cash incentive for fiscal 2024 which would have otherwise been paid except for the termination. 4 As calculated under the terms of the executive officer’s employment agreement.</w:t>
      </w:r>
    </w:p>
    <w:p>
      <w:pPr>
        <w:spacing w:after="0"/>
        <w:rPr>
          <w:rFonts w:ascii="Arial" w:cs="Arial" w:eastAsia="Arial" w:hAnsi="Arial"/>
          <w:sz w:val="12"/>
          <w:szCs w:val="12"/>
          <w:color w:val="auto"/>
        </w:rPr>
      </w:pPr>
      <w:r>
        <w:rPr>
          <w:rFonts w:ascii="Arial" w:cs="Arial" w:eastAsia="Arial" w:hAnsi="Arial"/>
          <w:sz w:val="13"/>
          <w:szCs w:val="13"/>
          <w:color w:val="auto"/>
        </w:rPr>
        <w:t>5   As calculated under the terms of the Severance Plan.</w:t>
      </w:r>
    </w:p>
    <w:p>
      <w:pPr>
        <w:spacing w:after="0" w:line="128" w:lineRule="exact"/>
        <w:rPr>
          <w:sz w:val="20"/>
          <w:szCs w:val="20"/>
          <w:color w:val="auto"/>
        </w:rPr>
      </w:pPr>
    </w:p>
    <w:p>
      <w:pPr>
        <w:jc w:val="both"/>
        <w:ind w:left="220" w:hanging="219"/>
        <w:spacing w:after="0" w:line="236" w:lineRule="auto"/>
        <w:tabs>
          <w:tab w:leader="none" w:pos="2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Represents the value of shares that would be distributed upon the occurrence of a change in control and in the event the awards are not assumed by the successor company, based on the average NYSE closing price of our common stock of $125.58 for the ten trading days preceding and including September 30, 2024, the last trading day of our 2024 fiscal year, pursuant to the Severance Plan and the award agreements. These amounts would become payable to the executive officer even if the officer’s employment were not terminated in connection with the change in control. See </w:t>
      </w:r>
      <w:r>
        <w:rPr>
          <w:rFonts w:ascii="Arial" w:cs="Arial" w:eastAsia="Arial" w:hAnsi="Arial"/>
          <w:sz w:val="13"/>
          <w:szCs w:val="13"/>
          <w:b w:val="1"/>
          <w:bCs w:val="1"/>
          <w:i w:val="1"/>
          <w:iCs w:val="1"/>
          <w:color w:val="auto"/>
        </w:rPr>
        <w:t xml:space="preserve">Payments/Benefits Upon Change in Control – Long-Term Incentive Plan Awards </w:t>
      </w:r>
      <w:r>
        <w:rPr>
          <w:rFonts w:ascii="Arial" w:cs="Arial" w:eastAsia="Arial" w:hAnsi="Arial"/>
          <w:sz w:val="13"/>
          <w:szCs w:val="13"/>
          <w:color w:val="auto"/>
        </w:rPr>
        <w:t>on</w:t>
      </w:r>
      <w:r>
        <w:rPr>
          <w:rFonts w:ascii="Arial" w:cs="Arial" w:eastAsia="Arial" w:hAnsi="Arial"/>
          <w:sz w:val="13"/>
          <w:szCs w:val="13"/>
          <w:b w:val="1"/>
          <w:bCs w:val="1"/>
          <w:i w:val="1"/>
          <w:iCs w:val="1"/>
          <w:color w:val="auto"/>
        </w:rPr>
        <w:t xml:space="preserve"> </w:t>
      </w:r>
      <w:r>
        <w:rPr>
          <w:rFonts w:ascii="Arial" w:cs="Arial" w:eastAsia="Arial" w:hAnsi="Arial"/>
          <w:sz w:val="13"/>
          <w:szCs w:val="13"/>
          <w:u w:val="single" w:color="auto"/>
          <w:color w:val="auto"/>
        </w:rPr>
        <w:t>page 40</w:t>
      </w:r>
      <w:r>
        <w:rPr>
          <w:rFonts w:ascii="Arial" w:cs="Arial" w:eastAsia="Arial" w:hAnsi="Arial"/>
          <w:sz w:val="13"/>
          <w:szCs w:val="13"/>
          <w:color w:val="auto"/>
        </w:rPr>
        <w:t>.</w:t>
      </w:r>
    </w:p>
    <w:p>
      <w:pPr>
        <w:spacing w:after="0" w:line="106" w:lineRule="exact"/>
        <w:rPr>
          <w:sz w:val="20"/>
          <w:szCs w:val="20"/>
          <w:color w:val="auto"/>
        </w:rPr>
      </w:pPr>
    </w:p>
    <w:p>
      <w:pPr>
        <w:jc w:val="both"/>
        <w:ind w:left="220" w:hanging="219"/>
        <w:spacing w:after="0" w:line="237" w:lineRule="auto"/>
        <w:tabs>
          <w:tab w:leader="none" w:pos="2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amounts shown represent the projected cost to continue benefits in accordance with the executive officer’s employment agreement and the provisions of the Severance Plan. Included in Total Benefits are broad-based benefits (health insurance, life and disability premiums) and financial planning. In the case of “Termination by Employee for Good Reason or by Employer Without Cause,” Total Benefits also include an estimated outplacement fee of $20,000.</w:t>
      </w:r>
    </w:p>
    <w:p>
      <w:pPr>
        <w:spacing w:after="0" w:line="112" w:lineRule="exact"/>
        <w:rPr>
          <w:sz w:val="20"/>
          <w:szCs w:val="20"/>
          <w:color w:val="auto"/>
        </w:rPr>
      </w:pPr>
    </w:p>
    <w:p>
      <w:pPr>
        <w:jc w:val="both"/>
        <w:ind w:left="220" w:hanging="219"/>
        <w:spacing w:after="0" w:line="257" w:lineRule="auto"/>
        <w:tabs>
          <w:tab w:leader="none" w:pos="2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Under Internal Revenue Code Section 280G, certain payments made to an executive officer in the event of a Change in Control are subject to a “golden parachute” excise tax under Code section 4999. The Severance Plan provides that if any compensation paid to the executive officer upon a Change in Control causes this excise tax to be imposed, the compensation would be reduced if and to the extent that the reduction would create a more favorable net-after-tax benefit to the executive officer. Based on the calculations prescribed under section 280G as applied to the amounts shown in the table, the executive officer would be subject to this excise tax in the event of a Change in Control, and therefore the officer’s compensation would be reduced by the amount shown.</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41210" cy="241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1210" cy="2413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Pursuant to Section 953(b) of the Dodd-Frank Wall Street Reform and Consumer Protection Act and the implementing regulations of the SEC, we are providing the following information about the relationship between the total annual compensation of our CEO, Mr. Sayler, and the median total annual compensation of our employees.</w:t>
      </w:r>
    </w:p>
    <w:p>
      <w:pPr>
        <w:spacing w:after="0" w:line="366"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 xml:space="preserve">As reported in the Summary Compensation Table on </w:t>
      </w:r>
      <w:r>
        <w:rPr>
          <w:rFonts w:ascii="Arial" w:cs="Arial" w:eastAsia="Arial" w:hAnsi="Arial"/>
          <w:sz w:val="15"/>
          <w:szCs w:val="15"/>
          <w:u w:val="single" w:color="auto"/>
          <w:color w:val="auto"/>
        </w:rPr>
        <w:t>page 36</w:t>
      </w:r>
      <w:r>
        <w:rPr>
          <w:rFonts w:ascii="Arial" w:cs="Arial" w:eastAsia="Arial" w:hAnsi="Arial"/>
          <w:sz w:val="15"/>
          <w:szCs w:val="15"/>
          <w:color w:val="auto"/>
        </w:rPr>
        <w:t>, Mr. Sayler’s 2024 total annual compensation was $3,112,060. The 2024 median total annual compensation of all of our employees who were employed as of August 1, 2024 (the Determination Date), other than Mr. Sayler, was $72,806, resulting in a pay ratio of 43:1.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Calculation Methodology</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As of the Determination Date, our total worldwide employee population consisted of 3,260 employees, excluding the CEO. This included all full-time, part-time and temporary employees as well as employees on leaves of absence. Although the SEC regulations permit companies to exclude a limited number of non-U.S. employees, we did not use this exclusion.</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SEC regulations require the identification of the median compensated employee using a “Consistently Applied Compensation Measure” (CACM). The CACM used consisted of base salary or wages, overtime, target bonus and commissions as of the Determination Date. This compensation was annualized to cover the full 2024 fiscal year, as was the compensation of new hires. For international employees, their compensation was converted to U.S. dollars using the applicable foreign exchange rate as of the Determination Date.</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After identifying the median compensated employee, that employee’s total annual compensation was calculated consistent with the methodology used for determining the CEO’s total annual compensation for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247015</wp:posOffset>
            </wp:positionV>
            <wp:extent cx="7141210"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8" w:name="page49"/>
    <w:bookmarkEnd w:id="48"/>
    <w:p>
      <w:pPr>
        <w:jc w:val="both"/>
        <w:ind w:right="20"/>
        <w:spacing w:after="0" w:line="255" w:lineRule="auto"/>
        <w:rPr>
          <w:sz w:val="20"/>
          <w:szCs w:val="20"/>
          <w:color w:val="auto"/>
        </w:rPr>
      </w:pPr>
      <w:r>
        <w:rPr>
          <w:rFonts w:ascii="Arial" w:cs="Arial" w:eastAsia="Arial" w:hAnsi="Arial"/>
          <w:sz w:val="15"/>
          <w:szCs w:val="15"/>
          <w:color w:val="auto"/>
        </w:rPr>
        <w:t>The pay ratio reported above is our reasonable estimate calculated in a manner consistent with SEC regulations and the methodology described above. However, the SEC rules for identifying the median compensated employee and calculating the pay ratio allow companies to adopt a variety of methodologies, to apply exclusions, and to make reasonable estimates and assumptions that reflect their compensation practices and employee populations. Other companies may calculate their pay ratio using a methodology or estimates and assumptions which differ from those we used. Therefore, the pay ratio reported above may not be comparable to the pay ratio reported by other companies, including those in our peer group.</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41210" cy="241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1210" cy="2413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In accordance with the “Pay Versus Performance” rules adopted by the SEC pursuant to the Dodd-Frank Wall Street Reform and Consumer Protection Act, we are providing the following information about the relationship between compensation actually paid to our executive officers and certain Company financial performance metrics for the fiscal years listed below using a methodology that has been prescribed by the SEC.</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9"/>
              </w:rPr>
              <w:t>Value of Initial Fixed</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16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rPr>
              <w:t>$100 Investment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60" w:type="dxa"/>
            <w:vAlign w:val="bottom"/>
          </w:tcPr>
          <w:p>
            <w:pPr>
              <w:jc w:val="center"/>
              <w:ind w:left="585"/>
              <w:spacing w:after="0"/>
              <w:rPr>
                <w:sz w:val="20"/>
                <w:szCs w:val="20"/>
                <w:color w:val="auto"/>
              </w:rPr>
            </w:pPr>
            <w:r>
              <w:rPr>
                <w:rFonts w:ascii="Arial" w:cs="Arial" w:eastAsia="Arial" w:hAnsi="Arial"/>
                <w:sz w:val="11"/>
                <w:szCs w:val="11"/>
                <w:b w:val="1"/>
                <w:bCs w:val="1"/>
                <w:color w:val="auto"/>
                <w:w w:val="98"/>
              </w:rPr>
              <w:t>Based On:</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9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vMerge w:val="restart"/>
          </w:tcPr>
          <w:p>
            <w:pPr>
              <w:jc w:val="right"/>
              <w:ind w:right="65"/>
              <w:spacing w:after="0"/>
              <w:rPr>
                <w:sz w:val="20"/>
                <w:szCs w:val="20"/>
                <w:color w:val="auto"/>
              </w:rPr>
            </w:pPr>
            <w:r>
              <w:rPr>
                <w:rFonts w:ascii="Arial" w:cs="Arial" w:eastAsia="Arial" w:hAnsi="Arial"/>
                <w:sz w:val="11"/>
                <w:szCs w:val="11"/>
                <w:b w:val="1"/>
                <w:bCs w:val="1"/>
                <w:color w:val="auto"/>
              </w:rPr>
              <w:t>Average</w:t>
            </w:r>
          </w:p>
        </w:tc>
        <w:tc>
          <w:tcPr>
            <w:tcW w:w="100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jc w:val="right"/>
              <w:ind w:right="65"/>
              <w:spacing w:after="0"/>
              <w:rPr>
                <w:sz w:val="20"/>
                <w:szCs w:val="20"/>
                <w:color w:val="auto"/>
              </w:rPr>
            </w:pPr>
            <w:r>
              <w:rPr>
                <w:rFonts w:ascii="Arial" w:cs="Arial" w:eastAsia="Arial" w:hAnsi="Arial"/>
                <w:sz w:val="11"/>
                <w:szCs w:val="11"/>
                <w:b w:val="1"/>
                <w:bCs w:val="1"/>
                <w:color w:val="auto"/>
              </w:rPr>
              <w:t>Summary</w:t>
            </w:r>
          </w:p>
        </w:tc>
        <w:tc>
          <w:tcPr>
            <w:tcW w:w="1000" w:type="dxa"/>
            <w:vAlign w:val="bottom"/>
          </w:tcPr>
          <w:p>
            <w:pPr>
              <w:jc w:val="right"/>
              <w:ind w:right="45"/>
              <w:spacing w:after="0"/>
              <w:rPr>
                <w:sz w:val="20"/>
                <w:szCs w:val="20"/>
                <w:color w:val="auto"/>
              </w:rPr>
            </w:pPr>
            <w:r>
              <w:rPr>
                <w:rFonts w:ascii="Arial" w:cs="Arial" w:eastAsia="Arial" w:hAnsi="Arial"/>
                <w:sz w:val="11"/>
                <w:szCs w:val="11"/>
                <w:b w:val="1"/>
                <w:bCs w:val="1"/>
                <w:color w:val="auto"/>
              </w:rPr>
              <w:t>Average</w:t>
            </w:r>
          </w:p>
        </w:tc>
        <w:tc>
          <w:tcPr>
            <w:tcW w:w="1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jc w:val="right"/>
              <w:ind w:right="45"/>
              <w:spacing w:after="0"/>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Arial" w:cs="Arial" w:eastAsia="Arial" w:hAnsi="Arial"/>
                <w:sz w:val="11"/>
                <w:szCs w:val="11"/>
                <w:b w:val="1"/>
                <w:bCs w:val="1"/>
                <w:color w:val="auto"/>
              </w:rPr>
              <w:t>Summary</w:t>
            </w:r>
          </w:p>
        </w:tc>
        <w:tc>
          <w:tcPr>
            <w:tcW w:w="1020" w:type="dxa"/>
            <w:vAlign w:val="bottom"/>
          </w:tcPr>
          <w:p>
            <w:pPr>
              <w:jc w:val="right"/>
              <w:ind w:right="65"/>
              <w:spacing w:after="0"/>
              <w:rPr>
                <w:sz w:val="20"/>
                <w:szCs w:val="20"/>
                <w:color w:val="auto"/>
              </w:rPr>
            </w:pPr>
            <w:r>
              <w:rPr>
                <w:rFonts w:ascii="Arial" w:cs="Arial" w:eastAsia="Arial" w:hAnsi="Arial"/>
                <w:sz w:val="11"/>
                <w:szCs w:val="11"/>
                <w:b w:val="1"/>
                <w:bCs w:val="1"/>
                <w:color w:val="auto"/>
              </w:rPr>
              <w:t>Summary</w:t>
            </w:r>
          </w:p>
        </w:tc>
        <w:tc>
          <w:tcPr>
            <w:tcW w:w="1020" w:type="dxa"/>
            <w:vAlign w:val="bottom"/>
          </w:tcPr>
          <w:p>
            <w:pPr>
              <w:spacing w:after="0"/>
              <w:rPr>
                <w:sz w:val="12"/>
                <w:szCs w:val="12"/>
                <w:color w:val="auto"/>
              </w:rPr>
            </w:pPr>
          </w:p>
        </w:tc>
        <w:tc>
          <w:tcPr>
            <w:tcW w:w="1040" w:type="dxa"/>
            <w:vAlign w:val="bottom"/>
          </w:tcPr>
          <w:p>
            <w:pPr>
              <w:jc w:val="right"/>
              <w:ind w:right="86"/>
              <w:spacing w:after="0"/>
              <w:rPr>
                <w:sz w:val="20"/>
                <w:szCs w:val="20"/>
                <w:color w:val="auto"/>
              </w:rPr>
            </w:pPr>
            <w:r>
              <w:rPr>
                <w:rFonts w:ascii="Arial" w:cs="Arial" w:eastAsia="Arial" w:hAnsi="Arial"/>
                <w:sz w:val="11"/>
                <w:szCs w:val="11"/>
                <w:b w:val="1"/>
                <w:bCs w:val="1"/>
                <w:color w:val="auto"/>
              </w:rPr>
              <w:t>Compensation</w:t>
            </w:r>
          </w:p>
        </w:tc>
        <w:tc>
          <w:tcPr>
            <w:tcW w:w="1000" w:type="dxa"/>
            <w:vAlign w:val="bottom"/>
          </w:tcPr>
          <w:p>
            <w:pPr>
              <w:jc w:val="right"/>
              <w:ind w:right="65"/>
              <w:spacing w:after="0"/>
              <w:rPr>
                <w:sz w:val="20"/>
                <w:szCs w:val="20"/>
                <w:color w:val="auto"/>
              </w:rPr>
            </w:pPr>
            <w:r>
              <w:rPr>
                <w:rFonts w:ascii="Arial" w:cs="Arial" w:eastAsia="Arial" w:hAnsi="Arial"/>
                <w:sz w:val="11"/>
                <w:szCs w:val="11"/>
                <w:b w:val="1"/>
                <w:bCs w:val="1"/>
                <w:color w:val="auto"/>
              </w:rPr>
              <w:t>Compensation</w:t>
            </w:r>
          </w:p>
        </w:tc>
        <w:tc>
          <w:tcPr>
            <w:tcW w:w="1000" w:type="dxa"/>
            <w:vAlign w:val="bottom"/>
          </w:tcPr>
          <w:p>
            <w:pPr>
              <w:jc w:val="right"/>
              <w:ind w:right="45"/>
              <w:spacing w:after="0"/>
              <w:rPr>
                <w:sz w:val="20"/>
                <w:szCs w:val="20"/>
                <w:color w:val="auto"/>
              </w:rPr>
            </w:pPr>
            <w:r>
              <w:rPr>
                <w:rFonts w:ascii="Arial" w:cs="Arial" w:eastAsia="Arial" w:hAnsi="Arial"/>
                <w:sz w:val="11"/>
                <w:szCs w:val="11"/>
                <w:b w:val="1"/>
                <w:bCs w:val="1"/>
                <w:color w:val="auto"/>
              </w:rPr>
              <w:t>Compensation</w:t>
            </w:r>
          </w:p>
        </w:tc>
        <w:tc>
          <w:tcPr>
            <w:tcW w:w="1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jc w:val="right"/>
              <w:ind w:right="45"/>
              <w:spacing w:after="0"/>
              <w:rPr>
                <w:sz w:val="20"/>
                <w:szCs w:val="20"/>
                <w:color w:val="auto"/>
              </w:rPr>
            </w:pPr>
            <w:r>
              <w:rPr>
                <w:rFonts w:ascii="Arial" w:cs="Arial" w:eastAsia="Arial" w:hAnsi="Arial"/>
                <w:sz w:val="11"/>
                <w:szCs w:val="11"/>
                <w:b w:val="1"/>
                <w:bCs w:val="1"/>
                <w:color w:val="auto"/>
              </w:rPr>
              <w:t>Earnings</w:t>
            </w: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Arial" w:cs="Arial" w:eastAsia="Arial" w:hAnsi="Arial"/>
                <w:sz w:val="11"/>
                <w:szCs w:val="11"/>
                <w:b w:val="1"/>
                <w:bCs w:val="1"/>
                <w:color w:val="auto"/>
              </w:rPr>
              <w:t>Compensation</w:t>
            </w:r>
          </w:p>
        </w:tc>
        <w:tc>
          <w:tcPr>
            <w:tcW w:w="1020" w:type="dxa"/>
            <w:vAlign w:val="bottom"/>
          </w:tcPr>
          <w:p>
            <w:pPr>
              <w:jc w:val="right"/>
              <w:ind w:right="65"/>
              <w:spacing w:after="0"/>
              <w:rPr>
                <w:sz w:val="20"/>
                <w:szCs w:val="20"/>
                <w:color w:val="auto"/>
              </w:rPr>
            </w:pPr>
            <w:r>
              <w:rPr>
                <w:rFonts w:ascii="Arial" w:cs="Arial" w:eastAsia="Arial" w:hAnsi="Arial"/>
                <w:sz w:val="11"/>
                <w:szCs w:val="11"/>
                <w:b w:val="1"/>
                <w:bCs w:val="1"/>
                <w:color w:val="auto"/>
              </w:rPr>
              <w:t>Compensation</w:t>
            </w:r>
          </w:p>
        </w:tc>
        <w:tc>
          <w:tcPr>
            <w:tcW w:w="1020" w:type="dxa"/>
            <w:vAlign w:val="bottom"/>
          </w:tcPr>
          <w:p>
            <w:pPr>
              <w:jc w:val="right"/>
              <w:ind w:right="65"/>
              <w:spacing w:after="0"/>
              <w:rPr>
                <w:sz w:val="20"/>
                <w:szCs w:val="20"/>
                <w:color w:val="auto"/>
              </w:rPr>
            </w:pPr>
            <w:r>
              <w:rPr>
                <w:rFonts w:ascii="Arial" w:cs="Arial" w:eastAsia="Arial" w:hAnsi="Arial"/>
                <w:sz w:val="11"/>
                <w:szCs w:val="11"/>
                <w:b w:val="1"/>
                <w:bCs w:val="1"/>
                <w:color w:val="auto"/>
              </w:rPr>
              <w:t>Compensation</w:t>
            </w:r>
          </w:p>
        </w:tc>
        <w:tc>
          <w:tcPr>
            <w:tcW w:w="1040" w:type="dxa"/>
            <w:vAlign w:val="bottom"/>
          </w:tcPr>
          <w:p>
            <w:pPr>
              <w:jc w:val="right"/>
              <w:ind w:right="86"/>
              <w:spacing w:after="0"/>
              <w:rPr>
                <w:sz w:val="20"/>
                <w:szCs w:val="20"/>
                <w:color w:val="auto"/>
              </w:rPr>
            </w:pPr>
            <w:r>
              <w:rPr>
                <w:rFonts w:ascii="Arial" w:cs="Arial" w:eastAsia="Arial" w:hAnsi="Arial"/>
                <w:sz w:val="11"/>
                <w:szCs w:val="11"/>
                <w:b w:val="1"/>
                <w:bCs w:val="1"/>
                <w:color w:val="auto"/>
              </w:rPr>
              <w:t>Actually Paid</w:t>
            </w:r>
          </w:p>
        </w:tc>
        <w:tc>
          <w:tcPr>
            <w:tcW w:w="1000" w:type="dxa"/>
            <w:vAlign w:val="bottom"/>
          </w:tcPr>
          <w:p>
            <w:pPr>
              <w:jc w:val="right"/>
              <w:ind w:right="65"/>
              <w:spacing w:after="0"/>
              <w:rPr>
                <w:sz w:val="20"/>
                <w:szCs w:val="20"/>
                <w:color w:val="auto"/>
              </w:rPr>
            </w:pPr>
            <w:r>
              <w:rPr>
                <w:rFonts w:ascii="Arial" w:cs="Arial" w:eastAsia="Arial" w:hAnsi="Arial"/>
                <w:sz w:val="11"/>
                <w:szCs w:val="11"/>
                <w:b w:val="1"/>
                <w:bCs w:val="1"/>
                <w:color w:val="auto"/>
              </w:rPr>
              <w:t>Table Total</w:t>
            </w:r>
          </w:p>
        </w:tc>
        <w:tc>
          <w:tcPr>
            <w:tcW w:w="1000" w:type="dxa"/>
            <w:vAlign w:val="bottom"/>
          </w:tcPr>
          <w:p>
            <w:pPr>
              <w:jc w:val="right"/>
              <w:ind w:right="45"/>
              <w:spacing w:after="0"/>
              <w:rPr>
                <w:sz w:val="20"/>
                <w:szCs w:val="20"/>
                <w:color w:val="auto"/>
              </w:rPr>
            </w:pPr>
            <w:r>
              <w:rPr>
                <w:rFonts w:ascii="Arial" w:cs="Arial" w:eastAsia="Arial" w:hAnsi="Arial"/>
                <w:sz w:val="11"/>
                <w:szCs w:val="11"/>
                <w:b w:val="1"/>
                <w:bCs w:val="1"/>
                <w:color w:val="auto"/>
              </w:rPr>
              <w:t>Actually Paid</w:t>
            </w:r>
          </w:p>
        </w:tc>
        <w:tc>
          <w:tcPr>
            <w:tcW w:w="1260" w:type="dxa"/>
            <w:vAlign w:val="bottom"/>
          </w:tcPr>
          <w:p>
            <w:pPr>
              <w:jc w:val="right"/>
              <w:ind w:right="325"/>
              <w:spacing w:after="0"/>
              <w:rPr>
                <w:sz w:val="20"/>
                <w:szCs w:val="20"/>
                <w:color w:val="auto"/>
              </w:rPr>
            </w:pPr>
            <w:r>
              <w:rPr>
                <w:rFonts w:ascii="Arial" w:cs="Arial" w:eastAsia="Arial" w:hAnsi="Arial"/>
                <w:sz w:val="11"/>
                <w:szCs w:val="11"/>
                <w:b w:val="1"/>
                <w:bCs w:val="1"/>
                <w:color w:val="auto"/>
              </w:rPr>
              <w:t>Total</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40" w:type="dxa"/>
            <w:vAlign w:val="bottom"/>
          </w:tcPr>
          <w:p>
            <w:pPr>
              <w:jc w:val="right"/>
              <w:ind w:right="45"/>
              <w:spacing w:after="0"/>
              <w:rPr>
                <w:sz w:val="20"/>
                <w:szCs w:val="20"/>
                <w:color w:val="auto"/>
              </w:rPr>
            </w:pPr>
            <w:r>
              <w:rPr>
                <w:rFonts w:ascii="Arial" w:cs="Arial" w:eastAsia="Arial" w:hAnsi="Arial"/>
                <w:sz w:val="11"/>
                <w:szCs w:val="11"/>
                <w:b w:val="1"/>
                <w:bCs w:val="1"/>
                <w:color w:val="auto"/>
              </w:rPr>
              <w:t>per Share</w:t>
            </w:r>
          </w:p>
        </w:tc>
        <w:tc>
          <w:tcPr>
            <w:tcW w:w="0" w:type="dxa"/>
            <w:vAlign w:val="bottom"/>
          </w:tcPr>
          <w:p>
            <w:pPr>
              <w:spacing w:after="0"/>
              <w:rPr>
                <w:sz w:val="1"/>
                <w:szCs w:val="1"/>
                <w:color w:val="auto"/>
              </w:rPr>
            </w:pPr>
          </w:p>
        </w:tc>
      </w:tr>
      <w:tr>
        <w:trPr>
          <w:trHeight w:val="132"/>
        </w:trPr>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Fiscal</w:t>
            </w:r>
          </w:p>
        </w:tc>
        <w:tc>
          <w:tcPr>
            <w:tcW w:w="1160" w:type="dxa"/>
            <w:vAlign w:val="bottom"/>
          </w:tcPr>
          <w:p>
            <w:pPr>
              <w:jc w:val="right"/>
              <w:ind w:right="65"/>
              <w:spacing w:after="0"/>
              <w:rPr>
                <w:sz w:val="20"/>
                <w:szCs w:val="20"/>
                <w:color w:val="auto"/>
              </w:rPr>
            </w:pPr>
            <w:r>
              <w:rPr>
                <w:rFonts w:ascii="Arial" w:cs="Arial" w:eastAsia="Arial" w:hAnsi="Arial"/>
                <w:sz w:val="11"/>
                <w:szCs w:val="11"/>
                <w:b w:val="1"/>
                <w:bCs w:val="1"/>
                <w:color w:val="auto"/>
              </w:rPr>
              <w:t>Table Total for</w:t>
            </w:r>
          </w:p>
        </w:tc>
        <w:tc>
          <w:tcPr>
            <w:tcW w:w="1020" w:type="dxa"/>
            <w:vAlign w:val="bottom"/>
          </w:tcPr>
          <w:p>
            <w:pPr>
              <w:jc w:val="right"/>
              <w:ind w:right="65"/>
              <w:spacing w:after="0"/>
              <w:rPr>
                <w:sz w:val="20"/>
                <w:szCs w:val="20"/>
                <w:color w:val="auto"/>
              </w:rPr>
            </w:pPr>
            <w:r>
              <w:rPr>
                <w:rFonts w:ascii="Arial" w:cs="Arial" w:eastAsia="Arial" w:hAnsi="Arial"/>
                <w:sz w:val="11"/>
                <w:szCs w:val="11"/>
                <w:b w:val="1"/>
                <w:bCs w:val="1"/>
                <w:color w:val="auto"/>
              </w:rPr>
              <w:t>Table Total for</w:t>
            </w:r>
          </w:p>
        </w:tc>
        <w:tc>
          <w:tcPr>
            <w:tcW w:w="1020" w:type="dxa"/>
            <w:vAlign w:val="bottom"/>
          </w:tcPr>
          <w:p>
            <w:pPr>
              <w:jc w:val="right"/>
              <w:ind w:right="65"/>
              <w:spacing w:after="0"/>
              <w:rPr>
                <w:sz w:val="20"/>
                <w:szCs w:val="20"/>
                <w:color w:val="auto"/>
              </w:rPr>
            </w:pPr>
            <w:r>
              <w:rPr>
                <w:rFonts w:ascii="Arial" w:cs="Arial" w:eastAsia="Arial" w:hAnsi="Arial"/>
                <w:sz w:val="11"/>
                <w:szCs w:val="11"/>
                <w:b w:val="1"/>
                <w:bCs w:val="1"/>
                <w:color w:val="auto"/>
              </w:rPr>
              <w:t>Actually Paid</w:t>
            </w:r>
          </w:p>
        </w:tc>
        <w:tc>
          <w:tcPr>
            <w:tcW w:w="1040" w:type="dxa"/>
            <w:vAlign w:val="bottom"/>
          </w:tcPr>
          <w:p>
            <w:pPr>
              <w:jc w:val="right"/>
              <w:ind w:right="86"/>
              <w:spacing w:after="0"/>
              <w:rPr>
                <w:sz w:val="20"/>
                <w:szCs w:val="20"/>
                <w:color w:val="auto"/>
              </w:rPr>
            </w:pPr>
            <w:r>
              <w:rPr>
                <w:rFonts w:ascii="Arial" w:cs="Arial" w:eastAsia="Arial" w:hAnsi="Arial"/>
                <w:sz w:val="11"/>
                <w:szCs w:val="11"/>
                <w:b w:val="1"/>
                <w:bCs w:val="1"/>
                <w:color w:val="auto"/>
              </w:rPr>
              <w:t>to Second</w:t>
            </w:r>
          </w:p>
        </w:tc>
        <w:tc>
          <w:tcPr>
            <w:tcW w:w="1000" w:type="dxa"/>
            <w:vAlign w:val="bottom"/>
          </w:tcPr>
          <w:p>
            <w:pPr>
              <w:jc w:val="right"/>
              <w:ind w:right="65"/>
              <w:spacing w:after="0"/>
              <w:rPr>
                <w:sz w:val="20"/>
                <w:szCs w:val="20"/>
                <w:color w:val="auto"/>
              </w:rPr>
            </w:pPr>
            <w:r>
              <w:rPr>
                <w:rFonts w:ascii="Arial" w:cs="Arial" w:eastAsia="Arial" w:hAnsi="Arial"/>
                <w:sz w:val="11"/>
                <w:szCs w:val="11"/>
                <w:b w:val="1"/>
                <w:bCs w:val="1"/>
                <w:color w:val="auto"/>
              </w:rPr>
              <w:t>for Non-PEO</w:t>
            </w:r>
          </w:p>
        </w:tc>
        <w:tc>
          <w:tcPr>
            <w:tcW w:w="1000" w:type="dxa"/>
            <w:vAlign w:val="bottom"/>
          </w:tcPr>
          <w:p>
            <w:pPr>
              <w:jc w:val="right"/>
              <w:ind w:right="45"/>
              <w:spacing w:after="0"/>
              <w:rPr>
                <w:sz w:val="20"/>
                <w:szCs w:val="20"/>
                <w:color w:val="auto"/>
              </w:rPr>
            </w:pPr>
            <w:r>
              <w:rPr>
                <w:rFonts w:ascii="Arial" w:cs="Arial" w:eastAsia="Arial" w:hAnsi="Arial"/>
                <w:sz w:val="11"/>
                <w:szCs w:val="11"/>
                <w:b w:val="1"/>
                <w:bCs w:val="1"/>
                <w:color w:val="auto"/>
              </w:rPr>
              <w:t>to Non-PEO</w:t>
            </w:r>
          </w:p>
        </w:tc>
        <w:tc>
          <w:tcPr>
            <w:tcW w:w="1260" w:type="dxa"/>
            <w:vAlign w:val="bottom"/>
          </w:tcPr>
          <w:p>
            <w:pPr>
              <w:jc w:val="right"/>
              <w:ind w:right="325"/>
              <w:spacing w:after="0"/>
              <w:rPr>
                <w:sz w:val="20"/>
                <w:szCs w:val="20"/>
                <w:color w:val="auto"/>
              </w:rPr>
            </w:pPr>
            <w:r>
              <w:rPr>
                <w:rFonts w:ascii="Arial" w:cs="Arial" w:eastAsia="Arial" w:hAnsi="Arial"/>
                <w:sz w:val="11"/>
                <w:szCs w:val="11"/>
                <w:b w:val="1"/>
                <w:bCs w:val="1"/>
                <w:color w:val="auto"/>
              </w:rPr>
              <w:t>Shareholder</w:t>
            </w:r>
          </w:p>
        </w:tc>
        <w:tc>
          <w:tcPr>
            <w:tcW w:w="9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Peer Group</w:t>
            </w:r>
          </w:p>
        </w:tc>
        <w:tc>
          <w:tcPr>
            <w:tcW w:w="1100" w:type="dxa"/>
            <w:vAlign w:val="bottom"/>
          </w:tcPr>
          <w:p>
            <w:pPr>
              <w:jc w:val="right"/>
              <w:ind w:right="205"/>
              <w:spacing w:after="0"/>
              <w:rPr>
                <w:sz w:val="20"/>
                <w:szCs w:val="20"/>
                <w:color w:val="auto"/>
              </w:rPr>
            </w:pPr>
            <w:r>
              <w:rPr>
                <w:rFonts w:ascii="Arial" w:cs="Arial" w:eastAsia="Arial" w:hAnsi="Arial"/>
                <w:sz w:val="11"/>
                <w:szCs w:val="11"/>
                <w:b w:val="1"/>
                <w:bCs w:val="1"/>
                <w:color w:val="auto"/>
              </w:rPr>
              <w:t>Company Net</w:t>
            </w:r>
          </w:p>
        </w:tc>
        <w:tc>
          <w:tcPr>
            <w:tcW w:w="840" w:type="dxa"/>
            <w:vAlign w:val="bottom"/>
          </w:tcPr>
          <w:p>
            <w:pPr>
              <w:jc w:val="right"/>
              <w:ind w:right="45"/>
              <w:spacing w:after="0"/>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242"/>
        </w:trPr>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Year</w:t>
            </w:r>
          </w:p>
        </w:tc>
        <w:tc>
          <w:tcPr>
            <w:tcW w:w="11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First PEO</w:t>
            </w:r>
            <w:r>
              <w:rPr>
                <w:rFonts w:ascii="Arial" w:cs="Arial" w:eastAsia="Arial" w:hAnsi="Arial"/>
                <w:sz w:val="18"/>
                <w:szCs w:val="18"/>
                <w:b w:val="1"/>
                <w:bCs w:val="1"/>
                <w:color w:val="auto"/>
                <w:vertAlign w:val="superscript"/>
              </w:rPr>
              <w:t>1</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Second PEO</w:t>
            </w:r>
            <w:r>
              <w:rPr>
                <w:rFonts w:ascii="Arial" w:cs="Arial" w:eastAsia="Arial" w:hAnsi="Arial"/>
                <w:sz w:val="18"/>
                <w:szCs w:val="18"/>
                <w:b w:val="1"/>
                <w:bCs w:val="1"/>
                <w:color w:val="auto"/>
                <w:vertAlign w:val="superscript"/>
              </w:rPr>
              <w:t>2</w:t>
            </w: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to First PEO</w:t>
            </w:r>
            <w:r>
              <w:rPr>
                <w:rFonts w:ascii="Arial" w:cs="Arial" w:eastAsia="Arial" w:hAnsi="Arial"/>
                <w:sz w:val="18"/>
                <w:szCs w:val="18"/>
                <w:b w:val="1"/>
                <w:bCs w:val="1"/>
                <w:color w:val="auto"/>
                <w:vertAlign w:val="superscript"/>
              </w:rPr>
              <w:t>1,4</w:t>
            </w:r>
          </w:p>
        </w:tc>
        <w:tc>
          <w:tcPr>
            <w:tcW w:w="1040" w:type="dxa"/>
            <w:vAlign w:val="bottom"/>
            <w:tcBorders>
              <w:bottom w:val="single" w:sz="8" w:color="auto"/>
            </w:tcBorders>
          </w:tcPr>
          <w:p>
            <w:pPr>
              <w:jc w:val="right"/>
              <w:ind w:right="86"/>
              <w:spacing w:after="0"/>
              <w:rPr>
                <w:sz w:val="20"/>
                <w:szCs w:val="20"/>
                <w:color w:val="auto"/>
              </w:rPr>
            </w:pPr>
            <w:r>
              <w:rPr>
                <w:rFonts w:ascii="Arial" w:cs="Arial" w:eastAsia="Arial" w:hAnsi="Arial"/>
                <w:sz w:val="21"/>
                <w:szCs w:val="21"/>
                <w:b w:val="1"/>
                <w:bCs w:val="1"/>
                <w:color w:val="auto"/>
                <w:vertAlign w:val="subscript"/>
              </w:rPr>
              <w:t>PEO</w:t>
            </w:r>
            <w:r>
              <w:rPr>
                <w:rFonts w:ascii="Arial" w:cs="Arial" w:eastAsia="Arial" w:hAnsi="Arial"/>
                <w:sz w:val="9"/>
                <w:szCs w:val="9"/>
                <w:b w:val="1"/>
                <w:bCs w:val="1"/>
                <w:color w:val="auto"/>
              </w:rPr>
              <w:t>2,4</w:t>
            </w:r>
          </w:p>
        </w:tc>
        <w:tc>
          <w:tcPr>
            <w:tcW w:w="10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NEOs</w:t>
            </w:r>
            <w:r>
              <w:rPr>
                <w:rFonts w:ascii="Arial" w:cs="Arial" w:eastAsia="Arial" w:hAnsi="Arial"/>
                <w:sz w:val="18"/>
                <w:szCs w:val="18"/>
                <w:b w:val="1"/>
                <w:bCs w:val="1"/>
                <w:color w:val="auto"/>
                <w:vertAlign w:val="superscript"/>
              </w:rPr>
              <w:t>3</w:t>
            </w: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rPr>
              <w:t>NEOs</w:t>
            </w:r>
            <w:r>
              <w:rPr>
                <w:rFonts w:ascii="Arial" w:cs="Arial" w:eastAsia="Arial" w:hAnsi="Arial"/>
                <w:sz w:val="18"/>
                <w:szCs w:val="18"/>
                <w:b w:val="1"/>
                <w:bCs w:val="1"/>
                <w:color w:val="auto"/>
                <w:vertAlign w:val="superscript"/>
              </w:rPr>
              <w:t>3,4</w:t>
            </w:r>
          </w:p>
        </w:tc>
        <w:tc>
          <w:tcPr>
            <w:tcW w:w="1260" w:type="dxa"/>
            <w:vAlign w:val="bottom"/>
            <w:tcBorders>
              <w:bottom w:val="single" w:sz="8" w:color="auto"/>
            </w:tcBorders>
          </w:tcPr>
          <w:p>
            <w:pPr>
              <w:jc w:val="right"/>
              <w:ind w:right="325"/>
              <w:spacing w:after="0"/>
              <w:rPr>
                <w:sz w:val="20"/>
                <w:szCs w:val="20"/>
                <w:color w:val="auto"/>
              </w:rPr>
            </w:pPr>
            <w:r>
              <w:rPr>
                <w:rFonts w:ascii="Arial" w:cs="Arial" w:eastAsia="Arial" w:hAnsi="Arial"/>
                <w:sz w:val="11"/>
                <w:szCs w:val="11"/>
                <w:b w:val="1"/>
                <w:bCs w:val="1"/>
                <w:color w:val="auto"/>
              </w:rPr>
              <w:t>Return (TSR)</w:t>
            </w: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TSR</w:t>
            </w:r>
            <w:r>
              <w:rPr>
                <w:rFonts w:ascii="Arial" w:cs="Arial" w:eastAsia="Arial" w:hAnsi="Arial"/>
                <w:sz w:val="18"/>
                <w:szCs w:val="18"/>
                <w:b w:val="1"/>
                <w:bCs w:val="1"/>
                <w:color w:val="auto"/>
                <w:vertAlign w:val="superscript"/>
              </w:rPr>
              <w:t>5</w:t>
            </w:r>
          </w:p>
        </w:tc>
        <w:tc>
          <w:tcPr>
            <w:tcW w:w="110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b w:val="1"/>
                <w:bCs w:val="1"/>
                <w:color w:val="auto"/>
              </w:rPr>
              <w:t>Income</w:t>
            </w:r>
          </w:p>
        </w:tc>
        <w:tc>
          <w:tcPr>
            <w:tcW w:w="84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rPr>
              <w:t>EPS)</w:t>
            </w:r>
            <w:r>
              <w:rPr>
                <w:rFonts w:ascii="Arial" w:cs="Arial" w:eastAsia="Arial" w:hAnsi="Arial"/>
                <w:sz w:val="18"/>
                <w:szCs w:val="18"/>
                <w:b w:val="1"/>
                <w:bCs w:val="1"/>
                <w:color w:val="auto"/>
                <w:vertAlign w:val="superscript"/>
              </w:rPr>
              <w:t>6</w:t>
            </w:r>
          </w:p>
        </w:tc>
        <w:tc>
          <w:tcPr>
            <w:tcW w:w="0" w:type="dxa"/>
            <w:vAlign w:val="bottom"/>
          </w:tcPr>
          <w:p>
            <w:pPr>
              <w:spacing w:after="0"/>
              <w:rPr>
                <w:sz w:val="1"/>
                <w:szCs w:val="1"/>
                <w:color w:val="auto"/>
              </w:rPr>
            </w:pPr>
          </w:p>
        </w:tc>
      </w:tr>
      <w:tr>
        <w:trPr>
          <w:trHeight w:val="209"/>
        </w:trPr>
        <w:tc>
          <w:tcPr>
            <w:tcW w:w="900" w:type="dxa"/>
            <w:vAlign w:val="bottom"/>
            <w:shd w:val="clear" w:color="auto" w:fill="F3F3F4"/>
          </w:tcPr>
          <w:p>
            <w:pPr>
              <w:ind w:left="100"/>
              <w:spacing w:after="0"/>
              <w:rPr>
                <w:sz w:val="20"/>
                <w:szCs w:val="20"/>
                <w:color w:val="auto"/>
              </w:rPr>
            </w:pPr>
            <w:r>
              <w:rPr>
                <w:rFonts w:ascii="Arial" w:cs="Arial" w:eastAsia="Arial" w:hAnsi="Arial"/>
                <w:sz w:val="11"/>
                <w:szCs w:val="11"/>
                <w:b w:val="1"/>
                <w:bCs w:val="1"/>
                <w:color w:val="auto"/>
              </w:rPr>
              <w:t>2024</w:t>
            </w:r>
          </w:p>
        </w:tc>
        <w:tc>
          <w:tcPr>
            <w:tcW w:w="116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$3,112,060</w:t>
            </w:r>
          </w:p>
        </w:tc>
        <w:tc>
          <w:tcPr>
            <w:tcW w:w="102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N/A</w:t>
            </w:r>
          </w:p>
        </w:tc>
        <w:tc>
          <w:tcPr>
            <w:tcW w:w="102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$ 4,065,021</w:t>
            </w:r>
          </w:p>
        </w:tc>
        <w:tc>
          <w:tcPr>
            <w:tcW w:w="1040" w:type="dxa"/>
            <w:vAlign w:val="bottom"/>
            <w:shd w:val="clear" w:color="auto" w:fill="F3F3F4"/>
          </w:tcPr>
          <w:p>
            <w:pPr>
              <w:jc w:val="right"/>
              <w:ind w:right="86"/>
              <w:spacing w:after="0"/>
              <w:rPr>
                <w:sz w:val="20"/>
                <w:szCs w:val="20"/>
                <w:color w:val="auto"/>
              </w:rPr>
            </w:pPr>
            <w:r>
              <w:rPr>
                <w:rFonts w:ascii="Arial" w:cs="Arial" w:eastAsia="Arial" w:hAnsi="Arial"/>
                <w:sz w:val="11"/>
                <w:szCs w:val="11"/>
                <w:color w:val="auto"/>
              </w:rPr>
              <w:t>N/A</w:t>
            </w:r>
          </w:p>
        </w:tc>
        <w:tc>
          <w:tcPr>
            <w:tcW w:w="100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$ 1,289,492</w:t>
            </w:r>
          </w:p>
        </w:tc>
        <w:tc>
          <w:tcPr>
            <w:tcW w:w="1000" w:type="dxa"/>
            <w:vAlign w:val="bottom"/>
            <w:shd w:val="clear" w:color="auto" w:fill="F3F3F4"/>
          </w:tcPr>
          <w:p>
            <w:pPr>
              <w:jc w:val="right"/>
              <w:ind w:right="45"/>
              <w:spacing w:after="0"/>
              <w:rPr>
                <w:sz w:val="20"/>
                <w:szCs w:val="20"/>
                <w:color w:val="auto"/>
              </w:rPr>
            </w:pPr>
            <w:r>
              <w:rPr>
                <w:rFonts w:ascii="Arial" w:cs="Arial" w:eastAsia="Arial" w:hAnsi="Arial"/>
                <w:sz w:val="11"/>
                <w:szCs w:val="11"/>
                <w:color w:val="auto"/>
              </w:rPr>
              <w:t>$ 1,874,523</w:t>
            </w:r>
          </w:p>
        </w:tc>
        <w:tc>
          <w:tcPr>
            <w:tcW w:w="1260" w:type="dxa"/>
            <w:vAlign w:val="bottom"/>
            <w:shd w:val="clear" w:color="auto" w:fill="F3F3F4"/>
          </w:tcPr>
          <w:p>
            <w:pPr>
              <w:jc w:val="right"/>
              <w:ind w:right="325"/>
              <w:spacing w:after="0"/>
              <w:rPr>
                <w:sz w:val="20"/>
                <w:szCs w:val="20"/>
                <w:color w:val="auto"/>
              </w:rPr>
            </w:pPr>
            <w:r>
              <w:rPr>
                <w:rFonts w:ascii="Arial" w:cs="Arial" w:eastAsia="Arial" w:hAnsi="Arial"/>
                <w:sz w:val="11"/>
                <w:szCs w:val="11"/>
                <w:color w:val="auto"/>
              </w:rPr>
              <w:t>$   162.23</w:t>
            </w:r>
          </w:p>
        </w:tc>
        <w:tc>
          <w:tcPr>
            <w:tcW w:w="900" w:type="dxa"/>
            <w:vAlign w:val="bottom"/>
            <w:gridSpan w:val="2"/>
            <w:shd w:val="clear" w:color="auto" w:fill="F3F3F4"/>
          </w:tcPr>
          <w:p>
            <w:pPr>
              <w:ind w:left="220"/>
              <w:spacing w:after="0"/>
              <w:rPr>
                <w:sz w:val="20"/>
                <w:szCs w:val="20"/>
                <w:color w:val="auto"/>
              </w:rPr>
            </w:pPr>
            <w:r>
              <w:rPr>
                <w:rFonts w:ascii="Arial" w:cs="Arial" w:eastAsia="Arial" w:hAnsi="Arial"/>
                <w:sz w:val="11"/>
                <w:szCs w:val="11"/>
                <w:color w:val="auto"/>
              </w:rPr>
              <w:t>$ 220.60</w:t>
            </w:r>
          </w:p>
        </w:tc>
        <w:tc>
          <w:tcPr>
            <w:tcW w:w="1100" w:type="dxa"/>
            <w:vAlign w:val="bottom"/>
            <w:shd w:val="clear" w:color="auto" w:fill="F3F3F4"/>
          </w:tcPr>
          <w:p>
            <w:pPr>
              <w:jc w:val="right"/>
              <w:ind w:right="205"/>
              <w:spacing w:after="0"/>
              <w:rPr>
                <w:sz w:val="20"/>
                <w:szCs w:val="20"/>
                <w:color w:val="auto"/>
              </w:rPr>
            </w:pPr>
            <w:r>
              <w:rPr>
                <w:rFonts w:ascii="Arial" w:cs="Arial" w:eastAsia="Arial" w:hAnsi="Arial"/>
                <w:sz w:val="11"/>
                <w:szCs w:val="11"/>
                <w:color w:val="auto"/>
              </w:rPr>
              <w:t>$ 101,881,000</w:t>
            </w:r>
          </w:p>
        </w:tc>
        <w:tc>
          <w:tcPr>
            <w:tcW w:w="840" w:type="dxa"/>
            <w:vAlign w:val="bottom"/>
            <w:shd w:val="clear" w:color="auto" w:fill="F3F3F4"/>
          </w:tcPr>
          <w:p>
            <w:pPr>
              <w:jc w:val="right"/>
              <w:ind w:right="45"/>
              <w:spacing w:after="0"/>
              <w:rPr>
                <w:sz w:val="20"/>
                <w:szCs w:val="20"/>
                <w:color w:val="auto"/>
              </w:rPr>
            </w:pPr>
            <w:r>
              <w:rPr>
                <w:rFonts w:ascii="Arial" w:cs="Arial" w:eastAsia="Arial" w:hAnsi="Arial"/>
                <w:sz w:val="11"/>
                <w:szCs w:val="11"/>
                <w:color w:val="auto"/>
              </w:rPr>
              <w:t>$  4.18</w:t>
            </w:r>
          </w:p>
        </w:tc>
        <w:tc>
          <w:tcPr>
            <w:tcW w:w="0" w:type="dxa"/>
            <w:vAlign w:val="bottom"/>
          </w:tcPr>
          <w:p>
            <w:pPr>
              <w:spacing w:after="0"/>
              <w:rPr>
                <w:sz w:val="1"/>
                <w:szCs w:val="1"/>
                <w:color w:val="auto"/>
              </w:rPr>
            </w:pPr>
          </w:p>
        </w:tc>
      </w:tr>
      <w:tr>
        <w:trPr>
          <w:trHeight w:val="61"/>
        </w:trPr>
        <w:tc>
          <w:tcPr>
            <w:tcW w:w="900" w:type="dxa"/>
            <w:vAlign w:val="bottom"/>
            <w:tcBorders>
              <w:bottom w:val="single" w:sz="8" w:color="939598"/>
            </w:tcBorders>
            <w:shd w:val="clear" w:color="auto" w:fill="F3F3F4"/>
          </w:tcPr>
          <w:p>
            <w:pPr>
              <w:spacing w:after="0"/>
              <w:rPr>
                <w:sz w:val="5"/>
                <w:szCs w:val="5"/>
                <w:color w:val="auto"/>
              </w:rPr>
            </w:pPr>
          </w:p>
        </w:tc>
        <w:tc>
          <w:tcPr>
            <w:tcW w:w="1160" w:type="dxa"/>
            <w:vAlign w:val="bottom"/>
            <w:tcBorders>
              <w:bottom w:val="single" w:sz="8" w:color="939598"/>
            </w:tcBorders>
            <w:shd w:val="clear" w:color="auto" w:fill="F3F3F4"/>
          </w:tcPr>
          <w:p>
            <w:pPr>
              <w:spacing w:after="0"/>
              <w:rPr>
                <w:sz w:val="5"/>
                <w:szCs w:val="5"/>
                <w:color w:val="auto"/>
              </w:rPr>
            </w:pPr>
          </w:p>
        </w:tc>
        <w:tc>
          <w:tcPr>
            <w:tcW w:w="1020" w:type="dxa"/>
            <w:vAlign w:val="bottom"/>
            <w:tcBorders>
              <w:bottom w:val="single" w:sz="8" w:color="939598"/>
            </w:tcBorders>
            <w:shd w:val="clear" w:color="auto" w:fill="F3F3F4"/>
          </w:tcPr>
          <w:p>
            <w:pPr>
              <w:spacing w:after="0"/>
              <w:rPr>
                <w:sz w:val="5"/>
                <w:szCs w:val="5"/>
                <w:color w:val="auto"/>
              </w:rPr>
            </w:pPr>
          </w:p>
        </w:tc>
        <w:tc>
          <w:tcPr>
            <w:tcW w:w="1020" w:type="dxa"/>
            <w:vAlign w:val="bottom"/>
            <w:tcBorders>
              <w:bottom w:val="single" w:sz="8" w:color="939598"/>
            </w:tcBorders>
            <w:shd w:val="clear" w:color="auto" w:fill="F3F3F4"/>
          </w:tcPr>
          <w:p>
            <w:pPr>
              <w:spacing w:after="0"/>
              <w:rPr>
                <w:sz w:val="5"/>
                <w:szCs w:val="5"/>
                <w:color w:val="auto"/>
              </w:rPr>
            </w:pPr>
          </w:p>
        </w:tc>
        <w:tc>
          <w:tcPr>
            <w:tcW w:w="1040" w:type="dxa"/>
            <w:vAlign w:val="bottom"/>
            <w:tcBorders>
              <w:bottom w:val="single" w:sz="8" w:color="939598"/>
            </w:tcBorders>
            <w:shd w:val="clear" w:color="auto" w:fill="F3F3F4"/>
          </w:tcPr>
          <w:p>
            <w:pPr>
              <w:spacing w:after="0"/>
              <w:rPr>
                <w:sz w:val="5"/>
                <w:szCs w:val="5"/>
                <w:color w:val="auto"/>
              </w:rPr>
            </w:pPr>
          </w:p>
        </w:tc>
        <w:tc>
          <w:tcPr>
            <w:tcW w:w="1000" w:type="dxa"/>
            <w:vAlign w:val="bottom"/>
            <w:tcBorders>
              <w:bottom w:val="single" w:sz="8" w:color="939598"/>
            </w:tcBorders>
            <w:shd w:val="clear" w:color="auto" w:fill="F3F3F4"/>
          </w:tcPr>
          <w:p>
            <w:pPr>
              <w:spacing w:after="0"/>
              <w:rPr>
                <w:sz w:val="5"/>
                <w:szCs w:val="5"/>
                <w:color w:val="auto"/>
              </w:rPr>
            </w:pPr>
          </w:p>
        </w:tc>
        <w:tc>
          <w:tcPr>
            <w:tcW w:w="1000" w:type="dxa"/>
            <w:vAlign w:val="bottom"/>
            <w:tcBorders>
              <w:bottom w:val="single" w:sz="8" w:color="939598"/>
            </w:tcBorders>
            <w:shd w:val="clear" w:color="auto" w:fill="F3F3F4"/>
          </w:tcPr>
          <w:p>
            <w:pPr>
              <w:spacing w:after="0"/>
              <w:rPr>
                <w:sz w:val="5"/>
                <w:szCs w:val="5"/>
                <w:color w:val="auto"/>
              </w:rPr>
            </w:pPr>
          </w:p>
        </w:tc>
        <w:tc>
          <w:tcPr>
            <w:tcW w:w="1260" w:type="dxa"/>
            <w:vAlign w:val="bottom"/>
            <w:tcBorders>
              <w:bottom w:val="single" w:sz="8" w:color="939598"/>
            </w:tcBorders>
            <w:shd w:val="clear" w:color="auto" w:fill="F3F3F4"/>
          </w:tcPr>
          <w:p>
            <w:pPr>
              <w:spacing w:after="0"/>
              <w:rPr>
                <w:sz w:val="5"/>
                <w:szCs w:val="5"/>
                <w:color w:val="auto"/>
              </w:rPr>
            </w:pPr>
          </w:p>
        </w:tc>
        <w:tc>
          <w:tcPr>
            <w:tcW w:w="640" w:type="dxa"/>
            <w:vAlign w:val="bottom"/>
            <w:tcBorders>
              <w:bottom w:val="single" w:sz="8" w:color="939598"/>
            </w:tcBorders>
            <w:shd w:val="clear" w:color="auto" w:fill="F3F3F4"/>
          </w:tcPr>
          <w:p>
            <w:pPr>
              <w:spacing w:after="0"/>
              <w:rPr>
                <w:sz w:val="5"/>
                <w:szCs w:val="5"/>
                <w:color w:val="auto"/>
              </w:rPr>
            </w:pPr>
          </w:p>
        </w:tc>
        <w:tc>
          <w:tcPr>
            <w:tcW w:w="260" w:type="dxa"/>
            <w:vAlign w:val="bottom"/>
            <w:tcBorders>
              <w:bottom w:val="single" w:sz="8" w:color="939598"/>
            </w:tcBorders>
            <w:shd w:val="clear" w:color="auto" w:fill="F3F3F4"/>
          </w:tcPr>
          <w:p>
            <w:pPr>
              <w:spacing w:after="0"/>
              <w:rPr>
                <w:sz w:val="5"/>
                <w:szCs w:val="5"/>
                <w:color w:val="auto"/>
              </w:rPr>
            </w:pPr>
          </w:p>
        </w:tc>
        <w:tc>
          <w:tcPr>
            <w:tcW w:w="1100" w:type="dxa"/>
            <w:vAlign w:val="bottom"/>
            <w:tcBorders>
              <w:bottom w:val="single" w:sz="8" w:color="939598"/>
            </w:tcBorders>
            <w:shd w:val="clear" w:color="auto" w:fill="F3F3F4"/>
          </w:tcPr>
          <w:p>
            <w:pPr>
              <w:spacing w:after="0"/>
              <w:rPr>
                <w:sz w:val="5"/>
                <w:szCs w:val="5"/>
                <w:color w:val="auto"/>
              </w:rPr>
            </w:pPr>
          </w:p>
        </w:tc>
        <w:tc>
          <w:tcPr>
            <w:tcW w:w="840" w:type="dxa"/>
            <w:vAlign w:val="bottom"/>
            <w:tcBorders>
              <w:bottom w:val="single" w:sz="8" w:color="939598"/>
            </w:tcBorders>
            <w:shd w:val="clear" w:color="auto" w:fill="F3F3F4"/>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900" w:type="dxa"/>
            <w:vAlign w:val="bottom"/>
            <w:shd w:val="clear" w:color="auto" w:fill="F3F3F4"/>
          </w:tcPr>
          <w:p>
            <w:pPr>
              <w:ind w:left="100"/>
              <w:spacing w:after="0"/>
              <w:rPr>
                <w:sz w:val="20"/>
                <w:szCs w:val="20"/>
                <w:color w:val="auto"/>
              </w:rPr>
            </w:pPr>
            <w:r>
              <w:rPr>
                <w:rFonts w:ascii="Arial" w:cs="Arial" w:eastAsia="Arial" w:hAnsi="Arial"/>
                <w:sz w:val="11"/>
                <w:szCs w:val="11"/>
                <w:b w:val="1"/>
                <w:bCs w:val="1"/>
                <w:color w:val="auto"/>
              </w:rPr>
              <w:t>2023</w:t>
            </w:r>
          </w:p>
        </w:tc>
        <w:tc>
          <w:tcPr>
            <w:tcW w:w="116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$3,647,641</w:t>
            </w:r>
          </w:p>
        </w:tc>
        <w:tc>
          <w:tcPr>
            <w:tcW w:w="102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$2,677,153</w:t>
            </w:r>
          </w:p>
        </w:tc>
        <w:tc>
          <w:tcPr>
            <w:tcW w:w="102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$ 4,225,234</w:t>
            </w:r>
          </w:p>
        </w:tc>
        <w:tc>
          <w:tcPr>
            <w:tcW w:w="1040" w:type="dxa"/>
            <w:vAlign w:val="bottom"/>
            <w:shd w:val="clear" w:color="auto" w:fill="F3F3F4"/>
          </w:tcPr>
          <w:p>
            <w:pPr>
              <w:jc w:val="right"/>
              <w:ind w:right="86"/>
              <w:spacing w:after="0"/>
              <w:rPr>
                <w:sz w:val="20"/>
                <w:szCs w:val="20"/>
                <w:color w:val="auto"/>
              </w:rPr>
            </w:pPr>
            <w:r>
              <w:rPr>
                <w:rFonts w:ascii="Arial" w:cs="Arial" w:eastAsia="Arial" w:hAnsi="Arial"/>
                <w:sz w:val="11"/>
                <w:szCs w:val="11"/>
                <w:color w:val="auto"/>
              </w:rPr>
              <w:t>$2,306,171</w:t>
            </w:r>
          </w:p>
        </w:tc>
        <w:tc>
          <w:tcPr>
            <w:tcW w:w="100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$ 1,434,053</w:t>
            </w:r>
          </w:p>
        </w:tc>
        <w:tc>
          <w:tcPr>
            <w:tcW w:w="1000" w:type="dxa"/>
            <w:vAlign w:val="bottom"/>
            <w:shd w:val="clear" w:color="auto" w:fill="F3F3F4"/>
          </w:tcPr>
          <w:p>
            <w:pPr>
              <w:jc w:val="right"/>
              <w:ind w:right="45"/>
              <w:spacing w:after="0"/>
              <w:rPr>
                <w:sz w:val="20"/>
                <w:szCs w:val="20"/>
                <w:color w:val="auto"/>
              </w:rPr>
            </w:pPr>
            <w:r>
              <w:rPr>
                <w:rFonts w:ascii="Arial" w:cs="Arial" w:eastAsia="Arial" w:hAnsi="Arial"/>
                <w:sz w:val="11"/>
                <w:szCs w:val="11"/>
                <w:color w:val="auto"/>
              </w:rPr>
              <w:t>$ 1,862,816</w:t>
            </w:r>
          </w:p>
        </w:tc>
        <w:tc>
          <w:tcPr>
            <w:tcW w:w="1260" w:type="dxa"/>
            <w:vAlign w:val="bottom"/>
            <w:shd w:val="clear" w:color="auto" w:fill="F3F3F4"/>
          </w:tcPr>
          <w:p>
            <w:pPr>
              <w:jc w:val="right"/>
              <w:ind w:right="325"/>
              <w:spacing w:after="0"/>
              <w:rPr>
                <w:sz w:val="20"/>
                <w:szCs w:val="20"/>
                <w:color w:val="auto"/>
              </w:rPr>
            </w:pPr>
            <w:r>
              <w:rPr>
                <w:rFonts w:ascii="Arial" w:cs="Arial" w:eastAsia="Arial" w:hAnsi="Arial"/>
                <w:sz w:val="11"/>
                <w:szCs w:val="11"/>
                <w:color w:val="auto"/>
              </w:rPr>
              <w:t>$   130.97</w:t>
            </w:r>
          </w:p>
        </w:tc>
        <w:tc>
          <w:tcPr>
            <w:tcW w:w="900" w:type="dxa"/>
            <w:vAlign w:val="bottom"/>
            <w:gridSpan w:val="2"/>
            <w:shd w:val="clear" w:color="auto" w:fill="F3F3F4"/>
          </w:tcPr>
          <w:p>
            <w:pPr>
              <w:ind w:left="220"/>
              <w:spacing w:after="0"/>
              <w:rPr>
                <w:sz w:val="20"/>
                <w:szCs w:val="20"/>
                <w:color w:val="auto"/>
              </w:rPr>
            </w:pPr>
            <w:r>
              <w:rPr>
                <w:rFonts w:ascii="Arial" w:cs="Arial" w:eastAsia="Arial" w:hAnsi="Arial"/>
                <w:sz w:val="11"/>
                <w:szCs w:val="11"/>
                <w:color w:val="auto"/>
              </w:rPr>
              <w:t>$ 164.32   </w:t>
            </w:r>
          </w:p>
        </w:tc>
        <w:tc>
          <w:tcPr>
            <w:tcW w:w="1100" w:type="dxa"/>
            <w:vAlign w:val="bottom"/>
            <w:shd w:val="clear" w:color="auto" w:fill="F3F3F4"/>
          </w:tcPr>
          <w:p>
            <w:pPr>
              <w:jc w:val="right"/>
              <w:ind w:right="205"/>
              <w:spacing w:after="0"/>
              <w:rPr>
                <w:sz w:val="20"/>
                <w:szCs w:val="20"/>
                <w:color w:val="auto"/>
              </w:rPr>
            </w:pPr>
            <w:r>
              <w:rPr>
                <w:rFonts w:ascii="Arial" w:cs="Arial" w:eastAsia="Arial" w:hAnsi="Arial"/>
                <w:sz w:val="11"/>
                <w:szCs w:val="11"/>
                <w:color w:val="auto"/>
              </w:rPr>
              <w:t>$    92,545,000</w:t>
            </w:r>
          </w:p>
        </w:tc>
        <w:tc>
          <w:tcPr>
            <w:tcW w:w="840" w:type="dxa"/>
            <w:vAlign w:val="bottom"/>
            <w:shd w:val="clear" w:color="auto" w:fill="F3F3F4"/>
          </w:tcPr>
          <w:p>
            <w:pPr>
              <w:jc w:val="right"/>
              <w:ind w:right="45"/>
              <w:spacing w:after="0"/>
              <w:rPr>
                <w:sz w:val="20"/>
                <w:szCs w:val="20"/>
                <w:color w:val="auto"/>
              </w:rPr>
            </w:pPr>
            <w:r>
              <w:rPr>
                <w:rFonts w:ascii="Arial" w:cs="Arial" w:eastAsia="Arial" w:hAnsi="Arial"/>
                <w:sz w:val="11"/>
                <w:szCs w:val="11"/>
                <w:color w:val="auto"/>
              </w:rPr>
              <w:t>$  3.70</w:t>
            </w:r>
          </w:p>
        </w:tc>
        <w:tc>
          <w:tcPr>
            <w:tcW w:w="0" w:type="dxa"/>
            <w:vAlign w:val="bottom"/>
          </w:tcPr>
          <w:p>
            <w:pPr>
              <w:spacing w:after="0"/>
              <w:rPr>
                <w:sz w:val="1"/>
                <w:szCs w:val="1"/>
                <w:color w:val="auto"/>
              </w:rPr>
            </w:pPr>
          </w:p>
        </w:tc>
      </w:tr>
      <w:tr>
        <w:trPr>
          <w:trHeight w:val="61"/>
        </w:trPr>
        <w:tc>
          <w:tcPr>
            <w:tcW w:w="900" w:type="dxa"/>
            <w:vAlign w:val="bottom"/>
            <w:tcBorders>
              <w:bottom w:val="single" w:sz="8" w:color="939598"/>
            </w:tcBorders>
            <w:shd w:val="clear" w:color="auto" w:fill="F3F3F4"/>
          </w:tcPr>
          <w:p>
            <w:pPr>
              <w:spacing w:after="0"/>
              <w:rPr>
                <w:sz w:val="5"/>
                <w:szCs w:val="5"/>
                <w:color w:val="auto"/>
              </w:rPr>
            </w:pPr>
          </w:p>
        </w:tc>
        <w:tc>
          <w:tcPr>
            <w:tcW w:w="1160" w:type="dxa"/>
            <w:vAlign w:val="bottom"/>
            <w:tcBorders>
              <w:bottom w:val="single" w:sz="8" w:color="939598"/>
            </w:tcBorders>
            <w:shd w:val="clear" w:color="auto" w:fill="F3F3F4"/>
          </w:tcPr>
          <w:p>
            <w:pPr>
              <w:spacing w:after="0"/>
              <w:rPr>
                <w:sz w:val="5"/>
                <w:szCs w:val="5"/>
                <w:color w:val="auto"/>
              </w:rPr>
            </w:pPr>
          </w:p>
        </w:tc>
        <w:tc>
          <w:tcPr>
            <w:tcW w:w="1020" w:type="dxa"/>
            <w:vAlign w:val="bottom"/>
            <w:tcBorders>
              <w:bottom w:val="single" w:sz="8" w:color="939598"/>
            </w:tcBorders>
            <w:shd w:val="clear" w:color="auto" w:fill="F3F3F4"/>
          </w:tcPr>
          <w:p>
            <w:pPr>
              <w:spacing w:after="0"/>
              <w:rPr>
                <w:sz w:val="5"/>
                <w:szCs w:val="5"/>
                <w:color w:val="auto"/>
              </w:rPr>
            </w:pPr>
          </w:p>
        </w:tc>
        <w:tc>
          <w:tcPr>
            <w:tcW w:w="1020" w:type="dxa"/>
            <w:vAlign w:val="bottom"/>
            <w:tcBorders>
              <w:bottom w:val="single" w:sz="8" w:color="939598"/>
            </w:tcBorders>
            <w:shd w:val="clear" w:color="auto" w:fill="F3F3F4"/>
          </w:tcPr>
          <w:p>
            <w:pPr>
              <w:spacing w:after="0"/>
              <w:rPr>
                <w:sz w:val="5"/>
                <w:szCs w:val="5"/>
                <w:color w:val="auto"/>
              </w:rPr>
            </w:pPr>
          </w:p>
        </w:tc>
        <w:tc>
          <w:tcPr>
            <w:tcW w:w="1040" w:type="dxa"/>
            <w:vAlign w:val="bottom"/>
            <w:tcBorders>
              <w:bottom w:val="single" w:sz="8" w:color="939598"/>
            </w:tcBorders>
            <w:shd w:val="clear" w:color="auto" w:fill="F3F3F4"/>
          </w:tcPr>
          <w:p>
            <w:pPr>
              <w:spacing w:after="0"/>
              <w:rPr>
                <w:sz w:val="5"/>
                <w:szCs w:val="5"/>
                <w:color w:val="auto"/>
              </w:rPr>
            </w:pPr>
          </w:p>
        </w:tc>
        <w:tc>
          <w:tcPr>
            <w:tcW w:w="1000" w:type="dxa"/>
            <w:vAlign w:val="bottom"/>
            <w:tcBorders>
              <w:bottom w:val="single" w:sz="8" w:color="939598"/>
            </w:tcBorders>
            <w:shd w:val="clear" w:color="auto" w:fill="F3F3F4"/>
          </w:tcPr>
          <w:p>
            <w:pPr>
              <w:spacing w:after="0"/>
              <w:rPr>
                <w:sz w:val="5"/>
                <w:szCs w:val="5"/>
                <w:color w:val="auto"/>
              </w:rPr>
            </w:pPr>
          </w:p>
        </w:tc>
        <w:tc>
          <w:tcPr>
            <w:tcW w:w="1000" w:type="dxa"/>
            <w:vAlign w:val="bottom"/>
            <w:tcBorders>
              <w:bottom w:val="single" w:sz="8" w:color="939598"/>
            </w:tcBorders>
            <w:shd w:val="clear" w:color="auto" w:fill="F3F3F4"/>
          </w:tcPr>
          <w:p>
            <w:pPr>
              <w:spacing w:after="0"/>
              <w:rPr>
                <w:sz w:val="5"/>
                <w:szCs w:val="5"/>
                <w:color w:val="auto"/>
              </w:rPr>
            </w:pPr>
          </w:p>
        </w:tc>
        <w:tc>
          <w:tcPr>
            <w:tcW w:w="1260" w:type="dxa"/>
            <w:vAlign w:val="bottom"/>
            <w:tcBorders>
              <w:bottom w:val="single" w:sz="8" w:color="939598"/>
            </w:tcBorders>
            <w:shd w:val="clear" w:color="auto" w:fill="F3F3F4"/>
          </w:tcPr>
          <w:p>
            <w:pPr>
              <w:spacing w:after="0"/>
              <w:rPr>
                <w:sz w:val="5"/>
                <w:szCs w:val="5"/>
                <w:color w:val="auto"/>
              </w:rPr>
            </w:pPr>
          </w:p>
        </w:tc>
        <w:tc>
          <w:tcPr>
            <w:tcW w:w="640" w:type="dxa"/>
            <w:vAlign w:val="bottom"/>
            <w:tcBorders>
              <w:bottom w:val="single" w:sz="8" w:color="939598"/>
            </w:tcBorders>
            <w:shd w:val="clear" w:color="auto" w:fill="F3F3F4"/>
          </w:tcPr>
          <w:p>
            <w:pPr>
              <w:spacing w:after="0"/>
              <w:rPr>
                <w:sz w:val="5"/>
                <w:szCs w:val="5"/>
                <w:color w:val="auto"/>
              </w:rPr>
            </w:pPr>
          </w:p>
        </w:tc>
        <w:tc>
          <w:tcPr>
            <w:tcW w:w="260" w:type="dxa"/>
            <w:vAlign w:val="bottom"/>
            <w:tcBorders>
              <w:bottom w:val="single" w:sz="8" w:color="939598"/>
            </w:tcBorders>
            <w:shd w:val="clear" w:color="auto" w:fill="F3F3F4"/>
          </w:tcPr>
          <w:p>
            <w:pPr>
              <w:spacing w:after="0"/>
              <w:rPr>
                <w:sz w:val="5"/>
                <w:szCs w:val="5"/>
                <w:color w:val="auto"/>
              </w:rPr>
            </w:pPr>
          </w:p>
        </w:tc>
        <w:tc>
          <w:tcPr>
            <w:tcW w:w="1100" w:type="dxa"/>
            <w:vAlign w:val="bottom"/>
            <w:tcBorders>
              <w:bottom w:val="single" w:sz="8" w:color="939598"/>
            </w:tcBorders>
            <w:shd w:val="clear" w:color="auto" w:fill="F3F3F4"/>
          </w:tcPr>
          <w:p>
            <w:pPr>
              <w:spacing w:after="0"/>
              <w:rPr>
                <w:sz w:val="5"/>
                <w:szCs w:val="5"/>
                <w:color w:val="auto"/>
              </w:rPr>
            </w:pPr>
          </w:p>
        </w:tc>
        <w:tc>
          <w:tcPr>
            <w:tcW w:w="840" w:type="dxa"/>
            <w:vAlign w:val="bottom"/>
            <w:tcBorders>
              <w:bottom w:val="single" w:sz="8" w:color="939598"/>
            </w:tcBorders>
            <w:shd w:val="clear" w:color="auto" w:fill="F3F3F4"/>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900" w:type="dxa"/>
            <w:vAlign w:val="bottom"/>
            <w:shd w:val="clear" w:color="auto" w:fill="F3F3F4"/>
          </w:tcPr>
          <w:p>
            <w:pPr>
              <w:ind w:left="100"/>
              <w:spacing w:after="0"/>
              <w:rPr>
                <w:sz w:val="20"/>
                <w:szCs w:val="20"/>
                <w:color w:val="auto"/>
              </w:rPr>
            </w:pPr>
            <w:r>
              <w:rPr>
                <w:rFonts w:ascii="Arial" w:cs="Arial" w:eastAsia="Arial" w:hAnsi="Arial"/>
                <w:sz w:val="11"/>
                <w:szCs w:val="11"/>
                <w:b w:val="1"/>
                <w:bCs w:val="1"/>
                <w:color w:val="auto"/>
              </w:rPr>
              <w:t>2022</w:t>
            </w:r>
          </w:p>
        </w:tc>
        <w:tc>
          <w:tcPr>
            <w:tcW w:w="116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N/A</w:t>
            </w:r>
          </w:p>
        </w:tc>
        <w:tc>
          <w:tcPr>
            <w:tcW w:w="102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$5,452,715</w:t>
            </w:r>
          </w:p>
        </w:tc>
        <w:tc>
          <w:tcPr>
            <w:tcW w:w="102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N/A</w:t>
            </w:r>
          </w:p>
        </w:tc>
        <w:tc>
          <w:tcPr>
            <w:tcW w:w="1040" w:type="dxa"/>
            <w:vAlign w:val="bottom"/>
            <w:shd w:val="clear" w:color="auto" w:fill="F3F3F4"/>
          </w:tcPr>
          <w:p>
            <w:pPr>
              <w:jc w:val="right"/>
              <w:ind w:right="86"/>
              <w:spacing w:after="0"/>
              <w:rPr>
                <w:sz w:val="20"/>
                <w:szCs w:val="20"/>
                <w:color w:val="auto"/>
              </w:rPr>
            </w:pPr>
            <w:r>
              <w:rPr>
                <w:rFonts w:ascii="Arial" w:cs="Arial" w:eastAsia="Arial" w:hAnsi="Arial"/>
                <w:sz w:val="11"/>
                <w:szCs w:val="11"/>
                <w:color w:val="auto"/>
              </w:rPr>
              <w:t>$5,361,519</w:t>
            </w:r>
          </w:p>
        </w:tc>
        <w:tc>
          <w:tcPr>
            <w:tcW w:w="100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$ 1,428,876</w:t>
            </w:r>
          </w:p>
        </w:tc>
        <w:tc>
          <w:tcPr>
            <w:tcW w:w="1000" w:type="dxa"/>
            <w:vAlign w:val="bottom"/>
            <w:shd w:val="clear" w:color="auto" w:fill="F3F3F4"/>
          </w:tcPr>
          <w:p>
            <w:pPr>
              <w:jc w:val="right"/>
              <w:ind w:right="45"/>
              <w:spacing w:after="0"/>
              <w:rPr>
                <w:sz w:val="20"/>
                <w:szCs w:val="20"/>
                <w:color w:val="auto"/>
              </w:rPr>
            </w:pPr>
            <w:r>
              <w:rPr>
                <w:rFonts w:ascii="Arial" w:cs="Arial" w:eastAsia="Arial" w:hAnsi="Arial"/>
                <w:sz w:val="11"/>
                <w:szCs w:val="11"/>
                <w:color w:val="auto"/>
              </w:rPr>
              <w:t>$ 1,405,968</w:t>
            </w:r>
          </w:p>
        </w:tc>
        <w:tc>
          <w:tcPr>
            <w:tcW w:w="1260" w:type="dxa"/>
            <w:vAlign w:val="bottom"/>
            <w:shd w:val="clear" w:color="auto" w:fill="F3F3F4"/>
          </w:tcPr>
          <w:p>
            <w:pPr>
              <w:jc w:val="right"/>
              <w:ind w:right="325"/>
              <w:spacing w:after="0"/>
              <w:rPr>
                <w:sz w:val="20"/>
                <w:szCs w:val="20"/>
                <w:color w:val="auto"/>
              </w:rPr>
            </w:pPr>
            <w:r>
              <w:rPr>
                <w:rFonts w:ascii="Arial" w:cs="Arial" w:eastAsia="Arial" w:hAnsi="Arial"/>
                <w:sz w:val="11"/>
                <w:szCs w:val="11"/>
                <w:color w:val="auto"/>
              </w:rPr>
              <w:t>$     91.77</w:t>
            </w:r>
          </w:p>
        </w:tc>
        <w:tc>
          <w:tcPr>
            <w:tcW w:w="900" w:type="dxa"/>
            <w:vAlign w:val="bottom"/>
            <w:gridSpan w:val="2"/>
            <w:shd w:val="clear" w:color="auto" w:fill="F3F3F4"/>
          </w:tcPr>
          <w:p>
            <w:pPr>
              <w:ind w:left="220"/>
              <w:spacing w:after="0"/>
              <w:rPr>
                <w:sz w:val="20"/>
                <w:szCs w:val="20"/>
                <w:color w:val="auto"/>
              </w:rPr>
            </w:pPr>
            <w:r>
              <w:rPr>
                <w:rFonts w:ascii="Arial" w:cs="Arial" w:eastAsia="Arial" w:hAnsi="Arial"/>
                <w:sz w:val="11"/>
                <w:szCs w:val="11"/>
                <w:color w:val="auto"/>
              </w:rPr>
              <w:t>$ 126.99</w:t>
            </w:r>
          </w:p>
        </w:tc>
        <w:tc>
          <w:tcPr>
            <w:tcW w:w="1100" w:type="dxa"/>
            <w:vAlign w:val="bottom"/>
            <w:shd w:val="clear" w:color="auto" w:fill="F3F3F4"/>
          </w:tcPr>
          <w:p>
            <w:pPr>
              <w:jc w:val="right"/>
              <w:ind w:right="205"/>
              <w:spacing w:after="0"/>
              <w:rPr>
                <w:sz w:val="20"/>
                <w:szCs w:val="20"/>
                <w:color w:val="auto"/>
              </w:rPr>
            </w:pPr>
            <w:r>
              <w:rPr>
                <w:rFonts w:ascii="Arial" w:cs="Arial" w:eastAsia="Arial" w:hAnsi="Arial"/>
                <w:sz w:val="11"/>
                <w:szCs w:val="11"/>
                <w:color w:val="auto"/>
              </w:rPr>
              <w:t>$    82,320,000</w:t>
            </w:r>
          </w:p>
        </w:tc>
        <w:tc>
          <w:tcPr>
            <w:tcW w:w="840" w:type="dxa"/>
            <w:vAlign w:val="bottom"/>
            <w:shd w:val="clear" w:color="auto" w:fill="F3F3F4"/>
          </w:tcPr>
          <w:p>
            <w:pPr>
              <w:jc w:val="right"/>
              <w:ind w:right="45"/>
              <w:spacing w:after="0"/>
              <w:rPr>
                <w:sz w:val="20"/>
                <w:szCs w:val="20"/>
                <w:color w:val="auto"/>
              </w:rPr>
            </w:pPr>
            <w:r>
              <w:rPr>
                <w:rFonts w:ascii="Arial" w:cs="Arial" w:eastAsia="Arial" w:hAnsi="Arial"/>
                <w:sz w:val="11"/>
                <w:szCs w:val="11"/>
                <w:color w:val="auto"/>
              </w:rPr>
              <w:t>$  3.21</w:t>
            </w:r>
          </w:p>
        </w:tc>
        <w:tc>
          <w:tcPr>
            <w:tcW w:w="0" w:type="dxa"/>
            <w:vAlign w:val="bottom"/>
          </w:tcPr>
          <w:p>
            <w:pPr>
              <w:spacing w:after="0"/>
              <w:rPr>
                <w:sz w:val="1"/>
                <w:szCs w:val="1"/>
                <w:color w:val="auto"/>
              </w:rPr>
            </w:pPr>
          </w:p>
        </w:tc>
      </w:tr>
      <w:tr>
        <w:trPr>
          <w:trHeight w:val="61"/>
        </w:trPr>
        <w:tc>
          <w:tcPr>
            <w:tcW w:w="900" w:type="dxa"/>
            <w:vAlign w:val="bottom"/>
            <w:tcBorders>
              <w:bottom w:val="single" w:sz="8" w:color="939598"/>
            </w:tcBorders>
            <w:shd w:val="clear" w:color="auto" w:fill="F3F3F4"/>
          </w:tcPr>
          <w:p>
            <w:pPr>
              <w:spacing w:after="0"/>
              <w:rPr>
                <w:sz w:val="5"/>
                <w:szCs w:val="5"/>
                <w:color w:val="auto"/>
              </w:rPr>
            </w:pPr>
          </w:p>
        </w:tc>
        <w:tc>
          <w:tcPr>
            <w:tcW w:w="1160" w:type="dxa"/>
            <w:vAlign w:val="bottom"/>
            <w:tcBorders>
              <w:bottom w:val="single" w:sz="8" w:color="939598"/>
            </w:tcBorders>
            <w:shd w:val="clear" w:color="auto" w:fill="F3F3F4"/>
          </w:tcPr>
          <w:p>
            <w:pPr>
              <w:spacing w:after="0"/>
              <w:rPr>
                <w:sz w:val="5"/>
                <w:szCs w:val="5"/>
                <w:color w:val="auto"/>
              </w:rPr>
            </w:pPr>
          </w:p>
        </w:tc>
        <w:tc>
          <w:tcPr>
            <w:tcW w:w="1020" w:type="dxa"/>
            <w:vAlign w:val="bottom"/>
            <w:tcBorders>
              <w:bottom w:val="single" w:sz="8" w:color="939598"/>
            </w:tcBorders>
            <w:shd w:val="clear" w:color="auto" w:fill="F3F3F4"/>
          </w:tcPr>
          <w:p>
            <w:pPr>
              <w:spacing w:after="0"/>
              <w:rPr>
                <w:sz w:val="5"/>
                <w:szCs w:val="5"/>
                <w:color w:val="auto"/>
              </w:rPr>
            </w:pPr>
          </w:p>
        </w:tc>
        <w:tc>
          <w:tcPr>
            <w:tcW w:w="1020" w:type="dxa"/>
            <w:vAlign w:val="bottom"/>
            <w:tcBorders>
              <w:bottom w:val="single" w:sz="8" w:color="939598"/>
            </w:tcBorders>
            <w:shd w:val="clear" w:color="auto" w:fill="F3F3F4"/>
          </w:tcPr>
          <w:p>
            <w:pPr>
              <w:spacing w:after="0"/>
              <w:rPr>
                <w:sz w:val="5"/>
                <w:szCs w:val="5"/>
                <w:color w:val="auto"/>
              </w:rPr>
            </w:pPr>
          </w:p>
        </w:tc>
        <w:tc>
          <w:tcPr>
            <w:tcW w:w="1040" w:type="dxa"/>
            <w:vAlign w:val="bottom"/>
            <w:tcBorders>
              <w:bottom w:val="single" w:sz="8" w:color="939598"/>
            </w:tcBorders>
            <w:shd w:val="clear" w:color="auto" w:fill="F3F3F4"/>
          </w:tcPr>
          <w:p>
            <w:pPr>
              <w:spacing w:after="0"/>
              <w:rPr>
                <w:sz w:val="5"/>
                <w:szCs w:val="5"/>
                <w:color w:val="auto"/>
              </w:rPr>
            </w:pPr>
          </w:p>
        </w:tc>
        <w:tc>
          <w:tcPr>
            <w:tcW w:w="1000" w:type="dxa"/>
            <w:vAlign w:val="bottom"/>
            <w:tcBorders>
              <w:bottom w:val="single" w:sz="8" w:color="939598"/>
            </w:tcBorders>
            <w:shd w:val="clear" w:color="auto" w:fill="F3F3F4"/>
          </w:tcPr>
          <w:p>
            <w:pPr>
              <w:spacing w:after="0"/>
              <w:rPr>
                <w:sz w:val="5"/>
                <w:szCs w:val="5"/>
                <w:color w:val="auto"/>
              </w:rPr>
            </w:pPr>
          </w:p>
        </w:tc>
        <w:tc>
          <w:tcPr>
            <w:tcW w:w="1000" w:type="dxa"/>
            <w:vAlign w:val="bottom"/>
            <w:tcBorders>
              <w:bottom w:val="single" w:sz="8" w:color="939598"/>
            </w:tcBorders>
            <w:shd w:val="clear" w:color="auto" w:fill="F3F3F4"/>
          </w:tcPr>
          <w:p>
            <w:pPr>
              <w:spacing w:after="0"/>
              <w:rPr>
                <w:sz w:val="5"/>
                <w:szCs w:val="5"/>
                <w:color w:val="auto"/>
              </w:rPr>
            </w:pPr>
          </w:p>
        </w:tc>
        <w:tc>
          <w:tcPr>
            <w:tcW w:w="1260" w:type="dxa"/>
            <w:vAlign w:val="bottom"/>
            <w:tcBorders>
              <w:bottom w:val="single" w:sz="8" w:color="939598"/>
            </w:tcBorders>
            <w:shd w:val="clear" w:color="auto" w:fill="F3F3F4"/>
          </w:tcPr>
          <w:p>
            <w:pPr>
              <w:spacing w:after="0"/>
              <w:rPr>
                <w:sz w:val="5"/>
                <w:szCs w:val="5"/>
                <w:color w:val="auto"/>
              </w:rPr>
            </w:pPr>
          </w:p>
        </w:tc>
        <w:tc>
          <w:tcPr>
            <w:tcW w:w="640" w:type="dxa"/>
            <w:vAlign w:val="bottom"/>
            <w:tcBorders>
              <w:bottom w:val="single" w:sz="8" w:color="939598"/>
            </w:tcBorders>
            <w:shd w:val="clear" w:color="auto" w:fill="F3F3F4"/>
          </w:tcPr>
          <w:p>
            <w:pPr>
              <w:spacing w:after="0"/>
              <w:rPr>
                <w:sz w:val="5"/>
                <w:szCs w:val="5"/>
                <w:color w:val="auto"/>
              </w:rPr>
            </w:pPr>
          </w:p>
        </w:tc>
        <w:tc>
          <w:tcPr>
            <w:tcW w:w="260" w:type="dxa"/>
            <w:vAlign w:val="bottom"/>
            <w:tcBorders>
              <w:bottom w:val="single" w:sz="8" w:color="939598"/>
            </w:tcBorders>
            <w:shd w:val="clear" w:color="auto" w:fill="F3F3F4"/>
          </w:tcPr>
          <w:p>
            <w:pPr>
              <w:spacing w:after="0"/>
              <w:rPr>
                <w:sz w:val="5"/>
                <w:szCs w:val="5"/>
                <w:color w:val="auto"/>
              </w:rPr>
            </w:pPr>
          </w:p>
        </w:tc>
        <w:tc>
          <w:tcPr>
            <w:tcW w:w="1100" w:type="dxa"/>
            <w:vAlign w:val="bottom"/>
            <w:tcBorders>
              <w:bottom w:val="single" w:sz="8" w:color="939598"/>
            </w:tcBorders>
            <w:shd w:val="clear" w:color="auto" w:fill="F3F3F4"/>
          </w:tcPr>
          <w:p>
            <w:pPr>
              <w:spacing w:after="0"/>
              <w:rPr>
                <w:sz w:val="5"/>
                <w:szCs w:val="5"/>
                <w:color w:val="auto"/>
              </w:rPr>
            </w:pPr>
          </w:p>
        </w:tc>
        <w:tc>
          <w:tcPr>
            <w:tcW w:w="840" w:type="dxa"/>
            <w:vAlign w:val="bottom"/>
            <w:tcBorders>
              <w:bottom w:val="single" w:sz="8" w:color="939598"/>
            </w:tcBorders>
            <w:shd w:val="clear" w:color="auto" w:fill="F3F3F4"/>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900" w:type="dxa"/>
            <w:vAlign w:val="bottom"/>
            <w:shd w:val="clear" w:color="auto" w:fill="F3F3F4"/>
          </w:tcPr>
          <w:p>
            <w:pPr>
              <w:ind w:left="100"/>
              <w:spacing w:after="0"/>
              <w:rPr>
                <w:sz w:val="20"/>
                <w:szCs w:val="20"/>
                <w:color w:val="auto"/>
              </w:rPr>
            </w:pPr>
            <w:r>
              <w:rPr>
                <w:rFonts w:ascii="Arial" w:cs="Arial" w:eastAsia="Arial" w:hAnsi="Arial"/>
                <w:sz w:val="11"/>
                <w:szCs w:val="11"/>
                <w:b w:val="1"/>
                <w:bCs w:val="1"/>
                <w:color w:val="auto"/>
              </w:rPr>
              <w:t>2021</w:t>
            </w:r>
          </w:p>
        </w:tc>
        <w:tc>
          <w:tcPr>
            <w:tcW w:w="116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N/A</w:t>
            </w:r>
          </w:p>
        </w:tc>
        <w:tc>
          <w:tcPr>
            <w:tcW w:w="102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$4,161,742</w:t>
            </w:r>
          </w:p>
        </w:tc>
        <w:tc>
          <w:tcPr>
            <w:tcW w:w="102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N/A</w:t>
            </w:r>
          </w:p>
        </w:tc>
        <w:tc>
          <w:tcPr>
            <w:tcW w:w="1040" w:type="dxa"/>
            <w:vAlign w:val="bottom"/>
            <w:shd w:val="clear" w:color="auto" w:fill="F3F3F4"/>
          </w:tcPr>
          <w:p>
            <w:pPr>
              <w:jc w:val="right"/>
              <w:ind w:right="86"/>
              <w:spacing w:after="0"/>
              <w:rPr>
                <w:sz w:val="20"/>
                <w:szCs w:val="20"/>
                <w:color w:val="auto"/>
              </w:rPr>
            </w:pPr>
            <w:r>
              <w:rPr>
                <w:rFonts w:ascii="Arial" w:cs="Arial" w:eastAsia="Arial" w:hAnsi="Arial"/>
                <w:sz w:val="11"/>
                <w:szCs w:val="11"/>
                <w:color w:val="auto"/>
              </w:rPr>
              <w:t>$3,230,464</w:t>
            </w:r>
          </w:p>
        </w:tc>
        <w:tc>
          <w:tcPr>
            <w:tcW w:w="1000" w:type="dxa"/>
            <w:vAlign w:val="bottom"/>
            <w:shd w:val="clear" w:color="auto" w:fill="F3F3F4"/>
          </w:tcPr>
          <w:p>
            <w:pPr>
              <w:jc w:val="right"/>
              <w:ind w:right="65"/>
              <w:spacing w:after="0"/>
              <w:rPr>
                <w:sz w:val="20"/>
                <w:szCs w:val="20"/>
                <w:color w:val="auto"/>
              </w:rPr>
            </w:pPr>
            <w:r>
              <w:rPr>
                <w:rFonts w:ascii="Arial" w:cs="Arial" w:eastAsia="Arial" w:hAnsi="Arial"/>
                <w:sz w:val="11"/>
                <w:szCs w:val="11"/>
                <w:color w:val="auto"/>
              </w:rPr>
              <w:t>$ 1,039,962</w:t>
            </w:r>
          </w:p>
        </w:tc>
        <w:tc>
          <w:tcPr>
            <w:tcW w:w="1000" w:type="dxa"/>
            <w:vAlign w:val="bottom"/>
            <w:shd w:val="clear" w:color="auto" w:fill="F3F3F4"/>
          </w:tcPr>
          <w:p>
            <w:pPr>
              <w:jc w:val="right"/>
              <w:ind w:right="45"/>
              <w:spacing w:after="0"/>
              <w:rPr>
                <w:sz w:val="20"/>
                <w:szCs w:val="20"/>
                <w:color w:val="auto"/>
              </w:rPr>
            </w:pPr>
            <w:r>
              <w:rPr>
                <w:rFonts w:ascii="Arial" w:cs="Arial" w:eastAsia="Arial" w:hAnsi="Arial"/>
                <w:sz w:val="11"/>
                <w:szCs w:val="11"/>
                <w:color w:val="auto"/>
              </w:rPr>
              <w:t>$ 1,215,051</w:t>
            </w:r>
          </w:p>
        </w:tc>
        <w:tc>
          <w:tcPr>
            <w:tcW w:w="1260" w:type="dxa"/>
            <w:vAlign w:val="bottom"/>
            <w:shd w:val="clear" w:color="auto" w:fill="F3F3F4"/>
          </w:tcPr>
          <w:p>
            <w:pPr>
              <w:jc w:val="right"/>
              <w:ind w:right="325"/>
              <w:spacing w:after="0"/>
              <w:rPr>
                <w:sz w:val="20"/>
                <w:szCs w:val="20"/>
                <w:color w:val="auto"/>
              </w:rPr>
            </w:pPr>
            <w:r>
              <w:rPr>
                <w:rFonts w:ascii="Arial" w:cs="Arial" w:eastAsia="Arial" w:hAnsi="Arial"/>
                <w:sz w:val="11"/>
                <w:szCs w:val="11"/>
                <w:color w:val="auto"/>
              </w:rPr>
              <w:t>$     95.91</w:t>
            </w:r>
          </w:p>
        </w:tc>
        <w:tc>
          <w:tcPr>
            <w:tcW w:w="900" w:type="dxa"/>
            <w:vAlign w:val="bottom"/>
            <w:gridSpan w:val="2"/>
            <w:shd w:val="clear" w:color="auto" w:fill="F3F3F4"/>
          </w:tcPr>
          <w:p>
            <w:pPr>
              <w:ind w:left="220"/>
              <w:spacing w:after="0"/>
              <w:rPr>
                <w:sz w:val="20"/>
                <w:szCs w:val="20"/>
                <w:color w:val="auto"/>
              </w:rPr>
            </w:pPr>
            <w:r>
              <w:rPr>
                <w:rFonts w:ascii="Arial" w:cs="Arial" w:eastAsia="Arial" w:hAnsi="Arial"/>
                <w:sz w:val="11"/>
                <w:szCs w:val="11"/>
                <w:color w:val="auto"/>
              </w:rPr>
              <w:t>$ 146.65</w:t>
            </w:r>
          </w:p>
        </w:tc>
        <w:tc>
          <w:tcPr>
            <w:tcW w:w="1100" w:type="dxa"/>
            <w:vAlign w:val="bottom"/>
            <w:shd w:val="clear" w:color="auto" w:fill="F3F3F4"/>
          </w:tcPr>
          <w:p>
            <w:pPr>
              <w:jc w:val="right"/>
              <w:ind w:right="205"/>
              <w:spacing w:after="0"/>
              <w:rPr>
                <w:sz w:val="20"/>
                <w:szCs w:val="20"/>
                <w:color w:val="auto"/>
              </w:rPr>
            </w:pPr>
            <w:r>
              <w:rPr>
                <w:rFonts w:ascii="Arial" w:cs="Arial" w:eastAsia="Arial" w:hAnsi="Arial"/>
                <w:sz w:val="11"/>
                <w:szCs w:val="11"/>
                <w:color w:val="auto"/>
              </w:rPr>
              <w:t>$    63,496,000</w:t>
            </w:r>
          </w:p>
        </w:tc>
        <w:tc>
          <w:tcPr>
            <w:tcW w:w="840" w:type="dxa"/>
            <w:vAlign w:val="bottom"/>
            <w:shd w:val="clear" w:color="auto" w:fill="F3F3F4"/>
          </w:tcPr>
          <w:p>
            <w:pPr>
              <w:jc w:val="right"/>
              <w:ind w:right="45"/>
              <w:spacing w:after="0"/>
              <w:rPr>
                <w:sz w:val="20"/>
                <w:szCs w:val="20"/>
                <w:color w:val="auto"/>
              </w:rPr>
            </w:pPr>
            <w:r>
              <w:rPr>
                <w:rFonts w:ascii="Arial" w:cs="Arial" w:eastAsia="Arial" w:hAnsi="Arial"/>
                <w:sz w:val="11"/>
                <w:szCs w:val="11"/>
                <w:color w:val="auto"/>
              </w:rPr>
              <w:t>$  2.59</w:t>
            </w:r>
          </w:p>
        </w:tc>
        <w:tc>
          <w:tcPr>
            <w:tcW w:w="0" w:type="dxa"/>
            <w:vAlign w:val="bottom"/>
          </w:tcPr>
          <w:p>
            <w:pPr>
              <w:spacing w:after="0"/>
              <w:rPr>
                <w:sz w:val="1"/>
                <w:szCs w:val="1"/>
                <w:color w:val="auto"/>
              </w:rPr>
            </w:pPr>
          </w:p>
        </w:tc>
      </w:tr>
      <w:tr>
        <w:trPr>
          <w:trHeight w:val="61"/>
        </w:trPr>
        <w:tc>
          <w:tcPr>
            <w:tcW w:w="900" w:type="dxa"/>
            <w:vAlign w:val="bottom"/>
            <w:tcBorders>
              <w:bottom w:val="single" w:sz="8" w:color="939598"/>
            </w:tcBorders>
            <w:shd w:val="clear" w:color="auto" w:fill="F3F3F4"/>
          </w:tcPr>
          <w:p>
            <w:pPr>
              <w:spacing w:after="0"/>
              <w:rPr>
                <w:sz w:val="5"/>
                <w:szCs w:val="5"/>
                <w:color w:val="auto"/>
              </w:rPr>
            </w:pPr>
          </w:p>
        </w:tc>
        <w:tc>
          <w:tcPr>
            <w:tcW w:w="1160" w:type="dxa"/>
            <w:vAlign w:val="bottom"/>
            <w:tcBorders>
              <w:bottom w:val="single" w:sz="8" w:color="939598"/>
            </w:tcBorders>
            <w:shd w:val="clear" w:color="auto" w:fill="F3F3F4"/>
          </w:tcPr>
          <w:p>
            <w:pPr>
              <w:spacing w:after="0"/>
              <w:rPr>
                <w:sz w:val="5"/>
                <w:szCs w:val="5"/>
                <w:color w:val="auto"/>
              </w:rPr>
            </w:pPr>
          </w:p>
        </w:tc>
        <w:tc>
          <w:tcPr>
            <w:tcW w:w="1020" w:type="dxa"/>
            <w:vAlign w:val="bottom"/>
            <w:tcBorders>
              <w:bottom w:val="single" w:sz="8" w:color="939598"/>
            </w:tcBorders>
            <w:shd w:val="clear" w:color="auto" w:fill="F3F3F4"/>
          </w:tcPr>
          <w:p>
            <w:pPr>
              <w:spacing w:after="0"/>
              <w:rPr>
                <w:sz w:val="5"/>
                <w:szCs w:val="5"/>
                <w:color w:val="auto"/>
              </w:rPr>
            </w:pPr>
          </w:p>
        </w:tc>
        <w:tc>
          <w:tcPr>
            <w:tcW w:w="1020" w:type="dxa"/>
            <w:vAlign w:val="bottom"/>
            <w:tcBorders>
              <w:bottom w:val="single" w:sz="8" w:color="939598"/>
            </w:tcBorders>
            <w:shd w:val="clear" w:color="auto" w:fill="F3F3F4"/>
          </w:tcPr>
          <w:p>
            <w:pPr>
              <w:spacing w:after="0"/>
              <w:rPr>
                <w:sz w:val="5"/>
                <w:szCs w:val="5"/>
                <w:color w:val="auto"/>
              </w:rPr>
            </w:pPr>
          </w:p>
        </w:tc>
        <w:tc>
          <w:tcPr>
            <w:tcW w:w="1040" w:type="dxa"/>
            <w:vAlign w:val="bottom"/>
            <w:tcBorders>
              <w:bottom w:val="single" w:sz="8" w:color="939598"/>
            </w:tcBorders>
            <w:shd w:val="clear" w:color="auto" w:fill="F3F3F4"/>
          </w:tcPr>
          <w:p>
            <w:pPr>
              <w:spacing w:after="0"/>
              <w:rPr>
                <w:sz w:val="5"/>
                <w:szCs w:val="5"/>
                <w:color w:val="auto"/>
              </w:rPr>
            </w:pPr>
          </w:p>
        </w:tc>
        <w:tc>
          <w:tcPr>
            <w:tcW w:w="1000" w:type="dxa"/>
            <w:vAlign w:val="bottom"/>
            <w:tcBorders>
              <w:bottom w:val="single" w:sz="8" w:color="939598"/>
            </w:tcBorders>
            <w:shd w:val="clear" w:color="auto" w:fill="F3F3F4"/>
          </w:tcPr>
          <w:p>
            <w:pPr>
              <w:spacing w:after="0"/>
              <w:rPr>
                <w:sz w:val="5"/>
                <w:szCs w:val="5"/>
                <w:color w:val="auto"/>
              </w:rPr>
            </w:pPr>
          </w:p>
        </w:tc>
        <w:tc>
          <w:tcPr>
            <w:tcW w:w="1000" w:type="dxa"/>
            <w:vAlign w:val="bottom"/>
            <w:tcBorders>
              <w:bottom w:val="single" w:sz="8" w:color="939598"/>
            </w:tcBorders>
            <w:shd w:val="clear" w:color="auto" w:fill="F3F3F4"/>
          </w:tcPr>
          <w:p>
            <w:pPr>
              <w:spacing w:after="0"/>
              <w:rPr>
                <w:sz w:val="5"/>
                <w:szCs w:val="5"/>
                <w:color w:val="auto"/>
              </w:rPr>
            </w:pPr>
          </w:p>
        </w:tc>
        <w:tc>
          <w:tcPr>
            <w:tcW w:w="1260" w:type="dxa"/>
            <w:vAlign w:val="bottom"/>
            <w:tcBorders>
              <w:bottom w:val="single" w:sz="8" w:color="939598"/>
            </w:tcBorders>
            <w:shd w:val="clear" w:color="auto" w:fill="F3F3F4"/>
          </w:tcPr>
          <w:p>
            <w:pPr>
              <w:spacing w:after="0"/>
              <w:rPr>
                <w:sz w:val="5"/>
                <w:szCs w:val="5"/>
                <w:color w:val="auto"/>
              </w:rPr>
            </w:pPr>
          </w:p>
        </w:tc>
        <w:tc>
          <w:tcPr>
            <w:tcW w:w="640" w:type="dxa"/>
            <w:vAlign w:val="bottom"/>
            <w:tcBorders>
              <w:bottom w:val="single" w:sz="8" w:color="939598"/>
            </w:tcBorders>
            <w:shd w:val="clear" w:color="auto" w:fill="F3F3F4"/>
          </w:tcPr>
          <w:p>
            <w:pPr>
              <w:spacing w:after="0"/>
              <w:rPr>
                <w:sz w:val="5"/>
                <w:szCs w:val="5"/>
                <w:color w:val="auto"/>
              </w:rPr>
            </w:pPr>
          </w:p>
        </w:tc>
        <w:tc>
          <w:tcPr>
            <w:tcW w:w="260" w:type="dxa"/>
            <w:vAlign w:val="bottom"/>
            <w:tcBorders>
              <w:bottom w:val="single" w:sz="8" w:color="939598"/>
            </w:tcBorders>
            <w:shd w:val="clear" w:color="auto" w:fill="F3F3F4"/>
          </w:tcPr>
          <w:p>
            <w:pPr>
              <w:spacing w:after="0"/>
              <w:rPr>
                <w:sz w:val="5"/>
                <w:szCs w:val="5"/>
                <w:color w:val="auto"/>
              </w:rPr>
            </w:pPr>
          </w:p>
        </w:tc>
        <w:tc>
          <w:tcPr>
            <w:tcW w:w="1100" w:type="dxa"/>
            <w:vAlign w:val="bottom"/>
            <w:tcBorders>
              <w:bottom w:val="single" w:sz="8" w:color="939598"/>
            </w:tcBorders>
            <w:shd w:val="clear" w:color="auto" w:fill="F3F3F4"/>
          </w:tcPr>
          <w:p>
            <w:pPr>
              <w:spacing w:after="0"/>
              <w:rPr>
                <w:sz w:val="5"/>
                <w:szCs w:val="5"/>
                <w:color w:val="auto"/>
              </w:rPr>
            </w:pPr>
          </w:p>
        </w:tc>
        <w:tc>
          <w:tcPr>
            <w:tcW w:w="840" w:type="dxa"/>
            <w:vAlign w:val="bottom"/>
            <w:tcBorders>
              <w:bottom w:val="single" w:sz="8" w:color="939598"/>
            </w:tcBorders>
            <w:shd w:val="clear" w:color="auto" w:fill="F3F3F4"/>
          </w:tcPr>
          <w:p>
            <w:pPr>
              <w:spacing w:after="0"/>
              <w:rPr>
                <w:sz w:val="5"/>
                <w:szCs w:val="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20" w:hanging="219"/>
        <w:spacing w:after="0"/>
        <w:tabs>
          <w:tab w:leader="none" w:pos="2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Bryan H. Sayler has served as the Company’s PEO (Principal Executive Officer) since the second quarter of fiscal 2023.</w:t>
      </w:r>
    </w:p>
    <w:p>
      <w:pPr>
        <w:spacing w:after="0" w:line="12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2   Victor L. Richey served as the Company’s PEO during fiscal 2021, fiscal 2022 and the first quarter of fiscal 2023.</w:t>
      </w:r>
    </w:p>
    <w:p>
      <w:pPr>
        <w:spacing w:after="0" w:line="128" w:lineRule="exact"/>
        <w:rPr>
          <w:sz w:val="20"/>
          <w:szCs w:val="20"/>
          <w:color w:val="auto"/>
        </w:rPr>
      </w:pPr>
    </w:p>
    <w:p>
      <w:pPr>
        <w:jc w:val="both"/>
        <w:ind w:left="220" w:right="20" w:hanging="219"/>
        <w:spacing w:after="0" w:line="237" w:lineRule="auto"/>
        <w:tabs>
          <w:tab w:leader="none" w:pos="2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Company’s non-PEO executive officers for fiscal 2022 through 2024 were Christopher L. Tucker, Senior VP &amp; CFO, and David M. Schatz, Senior VP, General Counsel &amp; Secretary. In fiscal 2021, Mr. Tucker succeeded Gary E. Muenster as an executive officer, and Mr. Schatz succeeded Alyson S. Barclay as an executive officer. Accordingly, there were two persons serving as non-PEO executive officers at all times during these years.</w:t>
      </w:r>
    </w:p>
    <w:p>
      <w:pPr>
        <w:spacing w:after="0" w:line="100" w:lineRule="exact"/>
        <w:rPr>
          <w:sz w:val="20"/>
          <w:szCs w:val="20"/>
          <w:color w:val="auto"/>
        </w:rPr>
      </w:pPr>
    </w:p>
    <w:p>
      <w:pPr>
        <w:jc w:val="both"/>
        <w:ind w:left="220" w:right="20" w:hanging="219"/>
        <w:spacing w:after="0" w:line="233" w:lineRule="auto"/>
        <w:tabs>
          <w:tab w:leader="none" w:pos="2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following amounts were deducted from or added to Summary Compensation Table total compensation in accordance with the SEC-mandated adjustments to calculate Compensation Actually Paid to our principal executive officer (PEO) and the average Compensation Actually Paid to our non-PEO executive officers. The fair value of equity awards was determined using methodologies and assumptions developed in a manner substantively consistent with those used to determine the grant date fair value of such awards. In calculating the year-end fair values of equity awards, the assumptions made did not differ materially from the assumptions made in calculating the grant date fair values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264795</wp:posOffset>
            </wp:positionV>
            <wp:extent cx="7141210"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9" w:name="page50"/>
    <w:bookmarkEnd w:id="49"/>
    <w:p>
      <w:pPr>
        <w:ind w:left="20"/>
        <w:spacing w:after="0"/>
        <w:rPr>
          <w:sz w:val="20"/>
          <w:szCs w:val="20"/>
          <w:color w:val="auto"/>
        </w:rPr>
      </w:pPr>
      <w:r>
        <w:rPr>
          <w:rFonts w:ascii="Arial" w:cs="Arial" w:eastAsia="Arial" w:hAnsi="Arial"/>
          <w:sz w:val="16"/>
          <w:szCs w:val="16"/>
          <w:b w:val="1"/>
          <w:bCs w:val="1"/>
          <w:color w:val="auto"/>
        </w:rPr>
        <w:t>Adjustments to Determine Compensation Actually Paid to Current CEO (PEO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1412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ind w:left="100"/>
              <w:spacing w:after="0"/>
              <w:rPr>
                <w:sz w:val="20"/>
                <w:szCs w:val="20"/>
                <w:color w:val="auto"/>
              </w:rPr>
            </w:pPr>
            <w:r>
              <w:rPr>
                <w:rFonts w:ascii="Arial" w:cs="Arial" w:eastAsia="Arial" w:hAnsi="Arial"/>
                <w:sz w:val="13"/>
                <w:szCs w:val="13"/>
                <w:b w:val="1"/>
                <w:bCs w:val="1"/>
                <w:color w:val="auto"/>
              </w:rPr>
              <w:t>Current CEO</w:t>
            </w:r>
          </w:p>
        </w:tc>
        <w:tc>
          <w:tcPr>
            <w:tcW w:w="1700" w:type="dxa"/>
            <w:vAlign w:val="bottom"/>
          </w:tcPr>
          <w:p>
            <w:pPr>
              <w:jc w:val="right"/>
              <w:ind w:right="293"/>
              <w:spacing w:after="0"/>
              <w:rPr>
                <w:sz w:val="20"/>
                <w:szCs w:val="20"/>
                <w:color w:val="auto"/>
              </w:rPr>
            </w:pPr>
            <w:r>
              <w:rPr>
                <w:rFonts w:ascii="Arial" w:cs="Arial" w:eastAsia="Arial" w:hAnsi="Arial"/>
                <w:sz w:val="13"/>
                <w:szCs w:val="13"/>
                <w:b w:val="1"/>
                <w:bCs w:val="1"/>
                <w:color w:val="auto"/>
              </w:rPr>
              <w:t>2021</w:t>
            </w:r>
          </w:p>
        </w:tc>
        <w:tc>
          <w:tcPr>
            <w:tcW w:w="740" w:type="dxa"/>
            <w:vAlign w:val="bottom"/>
          </w:tcPr>
          <w:p>
            <w:pPr>
              <w:jc w:val="right"/>
              <w:ind w:right="13"/>
              <w:spacing w:after="0"/>
              <w:rPr>
                <w:sz w:val="20"/>
                <w:szCs w:val="20"/>
                <w:color w:val="auto"/>
              </w:rPr>
            </w:pPr>
            <w:r>
              <w:rPr>
                <w:rFonts w:ascii="Arial" w:cs="Arial" w:eastAsia="Arial" w:hAnsi="Arial"/>
                <w:sz w:val="13"/>
                <w:szCs w:val="13"/>
                <w:b w:val="1"/>
                <w:bCs w:val="1"/>
                <w:color w:val="auto"/>
              </w:rPr>
              <w:t>2022</w:t>
            </w:r>
          </w:p>
        </w:tc>
        <w:tc>
          <w:tcPr>
            <w:tcW w:w="320" w:type="dxa"/>
            <w:vAlign w:val="bottom"/>
          </w:tcPr>
          <w:p>
            <w:pPr>
              <w:spacing w:after="0"/>
              <w:rPr>
                <w:sz w:val="16"/>
                <w:szCs w:val="16"/>
                <w:color w:val="auto"/>
              </w:rPr>
            </w:pPr>
          </w:p>
        </w:tc>
        <w:tc>
          <w:tcPr>
            <w:tcW w:w="920" w:type="dxa"/>
            <w:vAlign w:val="bottom"/>
          </w:tcPr>
          <w:p>
            <w:pPr>
              <w:jc w:val="right"/>
              <w:ind w:right="13"/>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6"/>
                <w:szCs w:val="16"/>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2024</w:t>
            </w:r>
          </w:p>
        </w:tc>
      </w:tr>
      <w:tr>
        <w:trPr>
          <w:trHeight w:val="51"/>
        </w:trPr>
        <w:tc>
          <w:tcPr>
            <w:tcW w:w="64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301"/>
        </w:trPr>
        <w:tc>
          <w:tcPr>
            <w:tcW w:w="64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SCT Total Compensation</w:t>
            </w:r>
          </w:p>
        </w:tc>
        <w:tc>
          <w:tcPr>
            <w:tcW w:w="1700" w:type="dxa"/>
            <w:vAlign w:val="bottom"/>
            <w:tcBorders>
              <w:bottom w:val="single" w:sz="8" w:color="F3F3F4"/>
            </w:tcBorders>
            <w:shd w:val="clear" w:color="auto" w:fill="F3F3F4"/>
          </w:tcPr>
          <w:p>
            <w:pPr>
              <w:jc w:val="right"/>
              <w:ind w:right="293"/>
              <w:spacing w:after="0"/>
              <w:rPr>
                <w:sz w:val="20"/>
                <w:szCs w:val="20"/>
                <w:color w:val="auto"/>
              </w:rPr>
            </w:pPr>
            <w:r>
              <w:rPr>
                <w:rFonts w:ascii="Arial" w:cs="Arial" w:eastAsia="Arial" w:hAnsi="Arial"/>
                <w:sz w:val="13"/>
                <w:szCs w:val="13"/>
                <w:color w:val="auto"/>
              </w:rPr>
              <w:t>N/A</w:t>
            </w:r>
          </w:p>
        </w:tc>
        <w:tc>
          <w:tcPr>
            <w:tcW w:w="740" w:type="dxa"/>
            <w:vAlign w:val="bottom"/>
            <w:tcBorders>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N/A</w:t>
            </w:r>
          </w:p>
        </w:tc>
        <w:tc>
          <w:tcPr>
            <w:tcW w:w="320" w:type="dxa"/>
            <w:vAlign w:val="bottom"/>
            <w:tcBorders>
              <w:bottom w:val="single" w:sz="8" w:color="F3F3F4"/>
            </w:tcBorders>
            <w:shd w:val="clear" w:color="auto" w:fill="F3F3F4"/>
          </w:tcPr>
          <w:p>
            <w:pPr>
              <w:jc w:val="right"/>
              <w:ind w:right="93"/>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3,647,641</w:t>
            </w:r>
          </w:p>
        </w:tc>
        <w:tc>
          <w:tcPr>
            <w:tcW w:w="260" w:type="dxa"/>
            <w:vAlign w:val="bottom"/>
            <w:tcBorders>
              <w:bottom w:val="single" w:sz="8" w:color="F3F3F4"/>
            </w:tcBorders>
            <w:shd w:val="clear" w:color="auto" w:fill="F3F3F4"/>
          </w:tcPr>
          <w:p>
            <w:pPr>
              <w:jc w:val="right"/>
              <w:ind w:right="5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3,112,060</w:t>
            </w:r>
          </w:p>
        </w:tc>
      </w:tr>
      <w:tr>
        <w:trPr>
          <w:trHeight w:val="301"/>
        </w:trPr>
        <w:tc>
          <w:tcPr>
            <w:tcW w:w="64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Less Equity Award Values Reported in SCT</w:t>
            </w:r>
          </w:p>
        </w:tc>
        <w:tc>
          <w:tcPr>
            <w:tcW w:w="1700" w:type="dxa"/>
            <w:vAlign w:val="bottom"/>
            <w:tcBorders>
              <w:top w:val="single" w:sz="8" w:color="939598"/>
              <w:bottom w:val="single" w:sz="8" w:color="F3F3F4"/>
            </w:tcBorders>
            <w:shd w:val="clear" w:color="auto" w:fill="F3F3F4"/>
          </w:tcPr>
          <w:p>
            <w:pPr>
              <w:jc w:val="right"/>
              <w:ind w:right="293"/>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939598"/>
              <w:bottom w:val="single" w:sz="8" w:color="F3F3F4"/>
            </w:tcBorders>
            <w:shd w:val="clear" w:color="auto" w:fill="F3F3F4"/>
          </w:tcPr>
          <w:p>
            <w:pPr>
              <w:spacing w:after="0"/>
              <w:rPr>
                <w:sz w:val="24"/>
                <w:szCs w:val="24"/>
                <w:color w:val="auto"/>
              </w:rPr>
            </w:pPr>
          </w:p>
        </w:tc>
        <w:tc>
          <w:tcPr>
            <w:tcW w:w="92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(1,492,717)</w:t>
            </w:r>
          </w:p>
        </w:tc>
        <w:tc>
          <w:tcPr>
            <w:tcW w:w="260" w:type="dxa"/>
            <w:vAlign w:val="bottom"/>
            <w:tcBorders>
              <w:top w:val="single" w:sz="8" w:color="939598"/>
              <w:bottom w:val="single" w:sz="8" w:color="F3F3F4"/>
            </w:tcBorders>
            <w:shd w:val="clear" w:color="auto" w:fill="F3F3F4"/>
          </w:tcPr>
          <w:p>
            <w:pPr>
              <w:spacing w:after="0"/>
              <w:rPr>
                <w:sz w:val="24"/>
                <w:szCs w:val="24"/>
                <w:color w:val="auto"/>
              </w:rPr>
            </w:pPr>
          </w:p>
        </w:tc>
        <w:tc>
          <w:tcPr>
            <w:tcW w:w="88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(1,651,551)</w:t>
            </w:r>
          </w:p>
        </w:tc>
      </w:tr>
      <w:tr>
        <w:trPr>
          <w:trHeight w:val="301"/>
        </w:trPr>
        <w:tc>
          <w:tcPr>
            <w:tcW w:w="64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Plus Fair Value at Fiscal Year-End of Outstanding and Unvested Stock Awards Granted in Fiscal Year</w:t>
            </w:r>
          </w:p>
        </w:tc>
        <w:tc>
          <w:tcPr>
            <w:tcW w:w="1700" w:type="dxa"/>
            <w:vAlign w:val="bottom"/>
            <w:tcBorders>
              <w:top w:val="single" w:sz="8" w:color="939598"/>
              <w:bottom w:val="single" w:sz="8" w:color="F3F3F4"/>
            </w:tcBorders>
            <w:shd w:val="clear" w:color="auto" w:fill="F3F3F4"/>
          </w:tcPr>
          <w:p>
            <w:pPr>
              <w:jc w:val="right"/>
              <w:ind w:right="293"/>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939598"/>
              <w:bottom w:val="single" w:sz="8" w:color="F3F3F4"/>
            </w:tcBorders>
            <w:shd w:val="clear" w:color="auto" w:fill="F3F3F4"/>
          </w:tcPr>
          <w:p>
            <w:pPr>
              <w:spacing w:after="0"/>
              <w:rPr>
                <w:sz w:val="24"/>
                <w:szCs w:val="24"/>
                <w:color w:val="auto"/>
              </w:rPr>
            </w:pPr>
          </w:p>
        </w:tc>
        <w:tc>
          <w:tcPr>
            <w:tcW w:w="92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1,700,271</w:t>
            </w:r>
          </w:p>
        </w:tc>
        <w:tc>
          <w:tcPr>
            <w:tcW w:w="260" w:type="dxa"/>
            <w:vAlign w:val="bottom"/>
            <w:tcBorders>
              <w:top w:val="single" w:sz="8" w:color="939598"/>
              <w:bottom w:val="single" w:sz="8" w:color="F3F3F4"/>
            </w:tcBorders>
            <w:shd w:val="clear" w:color="auto" w:fill="F3F3F4"/>
          </w:tcPr>
          <w:p>
            <w:pPr>
              <w:spacing w:after="0"/>
              <w:rPr>
                <w:sz w:val="24"/>
                <w:szCs w:val="24"/>
                <w:color w:val="auto"/>
              </w:rPr>
            </w:pPr>
          </w:p>
        </w:tc>
        <w:tc>
          <w:tcPr>
            <w:tcW w:w="88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2,006,282</w:t>
            </w:r>
          </w:p>
        </w:tc>
      </w:tr>
      <w:tr>
        <w:trPr>
          <w:trHeight w:val="301"/>
        </w:trPr>
        <w:tc>
          <w:tcPr>
            <w:tcW w:w="64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Change in Fair Value of Outstanding and Unvested Stock Awards Granted in Prior Fiscal Years</w:t>
            </w:r>
          </w:p>
        </w:tc>
        <w:tc>
          <w:tcPr>
            <w:tcW w:w="1700" w:type="dxa"/>
            <w:vAlign w:val="bottom"/>
            <w:tcBorders>
              <w:top w:val="single" w:sz="8" w:color="939598"/>
              <w:bottom w:val="single" w:sz="8" w:color="F3F3F4"/>
            </w:tcBorders>
            <w:shd w:val="clear" w:color="auto" w:fill="F3F3F4"/>
          </w:tcPr>
          <w:p>
            <w:pPr>
              <w:jc w:val="right"/>
              <w:ind w:right="293"/>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939598"/>
              <w:bottom w:val="single" w:sz="8" w:color="F3F3F4"/>
            </w:tcBorders>
            <w:shd w:val="clear" w:color="auto" w:fill="F3F3F4"/>
          </w:tcPr>
          <w:p>
            <w:pPr>
              <w:spacing w:after="0"/>
              <w:rPr>
                <w:sz w:val="24"/>
                <w:szCs w:val="24"/>
                <w:color w:val="auto"/>
              </w:rPr>
            </w:pPr>
          </w:p>
        </w:tc>
        <w:tc>
          <w:tcPr>
            <w:tcW w:w="92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325,125</w:t>
            </w:r>
          </w:p>
        </w:tc>
        <w:tc>
          <w:tcPr>
            <w:tcW w:w="260" w:type="dxa"/>
            <w:vAlign w:val="bottom"/>
            <w:tcBorders>
              <w:top w:val="single" w:sz="8" w:color="939598"/>
              <w:bottom w:val="single" w:sz="8" w:color="F3F3F4"/>
            </w:tcBorders>
            <w:shd w:val="clear" w:color="auto" w:fill="F3F3F4"/>
          </w:tcPr>
          <w:p>
            <w:pPr>
              <w:spacing w:after="0"/>
              <w:rPr>
                <w:sz w:val="24"/>
                <w:szCs w:val="24"/>
                <w:color w:val="auto"/>
              </w:rPr>
            </w:pPr>
          </w:p>
        </w:tc>
        <w:tc>
          <w:tcPr>
            <w:tcW w:w="88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622,595</w:t>
            </w:r>
          </w:p>
        </w:tc>
      </w:tr>
      <w:tr>
        <w:trPr>
          <w:trHeight w:val="301"/>
        </w:trPr>
        <w:tc>
          <w:tcPr>
            <w:tcW w:w="64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Plus Fair Value at Vesting of Stock Awards Granted in Fiscal Year That Vested During Fiscal Year</w:t>
            </w:r>
          </w:p>
        </w:tc>
        <w:tc>
          <w:tcPr>
            <w:tcW w:w="1700" w:type="dxa"/>
            <w:vAlign w:val="bottom"/>
            <w:tcBorders>
              <w:top w:val="single" w:sz="8" w:color="939598"/>
              <w:bottom w:val="single" w:sz="8" w:color="F3F3F4"/>
            </w:tcBorders>
            <w:shd w:val="clear" w:color="auto" w:fill="F3F3F4"/>
          </w:tcPr>
          <w:p>
            <w:pPr>
              <w:jc w:val="right"/>
              <w:ind w:right="293"/>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939598"/>
              <w:bottom w:val="single" w:sz="8" w:color="F3F3F4"/>
            </w:tcBorders>
            <w:shd w:val="clear" w:color="auto" w:fill="F3F3F4"/>
          </w:tcPr>
          <w:p>
            <w:pPr>
              <w:spacing w:after="0"/>
              <w:rPr>
                <w:sz w:val="24"/>
                <w:szCs w:val="24"/>
                <w:color w:val="auto"/>
              </w:rPr>
            </w:pPr>
          </w:p>
        </w:tc>
        <w:tc>
          <w:tcPr>
            <w:tcW w:w="92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0</w:t>
            </w:r>
          </w:p>
        </w:tc>
        <w:tc>
          <w:tcPr>
            <w:tcW w:w="260" w:type="dxa"/>
            <w:vAlign w:val="bottom"/>
            <w:tcBorders>
              <w:top w:val="single" w:sz="8" w:color="939598"/>
              <w:bottom w:val="single" w:sz="8" w:color="F3F3F4"/>
            </w:tcBorders>
            <w:shd w:val="clear" w:color="auto" w:fill="F3F3F4"/>
          </w:tcPr>
          <w:p>
            <w:pPr>
              <w:spacing w:after="0"/>
              <w:rPr>
                <w:sz w:val="24"/>
                <w:szCs w:val="24"/>
                <w:color w:val="auto"/>
              </w:rPr>
            </w:pPr>
          </w:p>
        </w:tc>
        <w:tc>
          <w:tcPr>
            <w:tcW w:w="88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0</w:t>
            </w:r>
          </w:p>
        </w:tc>
      </w:tr>
      <w:tr>
        <w:trPr>
          <w:trHeight w:val="212"/>
        </w:trPr>
        <w:tc>
          <w:tcPr>
            <w:tcW w:w="642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color w:val="auto"/>
              </w:rPr>
              <w:t>Plus Change in Fair Value as of Vesting Date of Stock Awards Granted in Prior Fiscal Years For Which</w:t>
            </w:r>
          </w:p>
        </w:tc>
        <w:tc>
          <w:tcPr>
            <w:tcW w:w="1700" w:type="dxa"/>
            <w:vAlign w:val="bottom"/>
            <w:tcBorders>
              <w:top w:val="single" w:sz="8" w:color="939598"/>
            </w:tcBorders>
            <w:shd w:val="clear" w:color="auto" w:fill="F3F3F4"/>
          </w:tcPr>
          <w:p>
            <w:pPr>
              <w:jc w:val="right"/>
              <w:ind w:right="293"/>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939598"/>
            </w:tcBorders>
            <w:shd w:val="clear" w:color="auto" w:fill="F3F3F4"/>
          </w:tcPr>
          <w:p>
            <w:pPr>
              <w:spacing w:after="0"/>
              <w:rPr>
                <w:sz w:val="18"/>
                <w:szCs w:val="18"/>
                <w:color w:val="auto"/>
              </w:rPr>
            </w:pPr>
          </w:p>
        </w:tc>
        <w:tc>
          <w:tcPr>
            <w:tcW w:w="920" w:type="dxa"/>
            <w:vAlign w:val="bottom"/>
            <w:tcBorders>
              <w:top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44,914</w:t>
            </w:r>
          </w:p>
        </w:tc>
        <w:tc>
          <w:tcPr>
            <w:tcW w:w="260" w:type="dxa"/>
            <w:vAlign w:val="bottom"/>
            <w:tcBorders>
              <w:top w:val="single" w:sz="8" w:color="939598"/>
            </w:tcBorders>
            <w:shd w:val="clear" w:color="auto" w:fill="F3F3F4"/>
          </w:tcPr>
          <w:p>
            <w:pPr>
              <w:spacing w:after="0"/>
              <w:rPr>
                <w:sz w:val="18"/>
                <w:szCs w:val="18"/>
                <w:color w:val="auto"/>
              </w:rPr>
            </w:pPr>
          </w:p>
        </w:tc>
        <w:tc>
          <w:tcPr>
            <w:tcW w:w="880" w:type="dxa"/>
            <w:vAlign w:val="bottom"/>
            <w:tcBorders>
              <w:top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(24,366)</w:t>
            </w:r>
          </w:p>
        </w:tc>
      </w:tr>
      <w:tr>
        <w:trPr>
          <w:trHeight w:val="240"/>
        </w:trPr>
        <w:tc>
          <w:tcPr>
            <w:tcW w:w="64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Applicable Vesting Conditions Were Satisfied During Fiscal Year</w:t>
            </w:r>
          </w:p>
        </w:tc>
        <w:tc>
          <w:tcPr>
            <w:tcW w:w="1700" w:type="dxa"/>
            <w:vAlign w:val="bottom"/>
            <w:tcBorders>
              <w:bottom w:val="single" w:sz="8" w:color="F3F3F4"/>
            </w:tcBorders>
            <w:shd w:val="clear" w:color="auto" w:fill="F3F3F4"/>
          </w:tcPr>
          <w:p>
            <w:pPr>
              <w:spacing w:after="0"/>
              <w:rPr>
                <w:sz w:val="20"/>
                <w:szCs w:val="20"/>
                <w:color w:val="auto"/>
              </w:rPr>
            </w:pPr>
          </w:p>
        </w:tc>
        <w:tc>
          <w:tcPr>
            <w:tcW w:w="740" w:type="dxa"/>
            <w:vAlign w:val="bottom"/>
            <w:tcBorders>
              <w:bottom w:val="single" w:sz="8" w:color="F3F3F4"/>
            </w:tcBorders>
            <w:shd w:val="clear" w:color="auto" w:fill="F3F3F4"/>
          </w:tcPr>
          <w:p>
            <w:pPr>
              <w:spacing w:after="0"/>
              <w:rPr>
                <w:sz w:val="20"/>
                <w:szCs w:val="20"/>
                <w:color w:val="auto"/>
              </w:rPr>
            </w:pPr>
          </w:p>
        </w:tc>
        <w:tc>
          <w:tcPr>
            <w:tcW w:w="320" w:type="dxa"/>
            <w:vAlign w:val="bottom"/>
            <w:tcBorders>
              <w:bottom w:val="single" w:sz="8" w:color="F3F3F4"/>
            </w:tcBorders>
            <w:shd w:val="clear" w:color="auto" w:fill="F3F3F4"/>
          </w:tcPr>
          <w:p>
            <w:pPr>
              <w:spacing w:after="0"/>
              <w:rPr>
                <w:sz w:val="20"/>
                <w:szCs w:val="20"/>
                <w:color w:val="auto"/>
              </w:rPr>
            </w:pPr>
          </w:p>
        </w:tc>
        <w:tc>
          <w:tcPr>
            <w:tcW w:w="920" w:type="dxa"/>
            <w:vAlign w:val="bottom"/>
            <w:tcBorders>
              <w:bottom w:val="single" w:sz="8" w:color="F3F3F4"/>
            </w:tcBorders>
            <w:shd w:val="clear" w:color="auto" w:fill="F3F3F4"/>
          </w:tcPr>
          <w:p>
            <w:pPr>
              <w:spacing w:after="0"/>
              <w:rPr>
                <w:sz w:val="20"/>
                <w:szCs w:val="20"/>
                <w:color w:val="auto"/>
              </w:rPr>
            </w:pPr>
          </w:p>
        </w:tc>
        <w:tc>
          <w:tcPr>
            <w:tcW w:w="260" w:type="dxa"/>
            <w:vAlign w:val="bottom"/>
            <w:tcBorders>
              <w:bottom w:val="single" w:sz="8" w:color="F3F3F4"/>
            </w:tcBorders>
            <w:shd w:val="clear" w:color="auto" w:fill="F3F3F4"/>
          </w:tcPr>
          <w:p>
            <w:pPr>
              <w:spacing w:after="0"/>
              <w:rPr>
                <w:sz w:val="20"/>
                <w:szCs w:val="20"/>
                <w:color w:val="auto"/>
              </w:rPr>
            </w:pPr>
          </w:p>
        </w:tc>
        <w:tc>
          <w:tcPr>
            <w:tcW w:w="880" w:type="dxa"/>
            <w:vAlign w:val="bottom"/>
            <w:tcBorders>
              <w:bottom w:val="single" w:sz="8" w:color="F3F3F4"/>
            </w:tcBorders>
            <w:shd w:val="clear" w:color="auto" w:fill="F3F3F4"/>
          </w:tcPr>
          <w:p>
            <w:pPr>
              <w:spacing w:after="0"/>
              <w:rPr>
                <w:sz w:val="20"/>
                <w:szCs w:val="20"/>
                <w:color w:val="auto"/>
              </w:rPr>
            </w:pPr>
          </w:p>
        </w:tc>
      </w:tr>
      <w:tr>
        <w:trPr>
          <w:trHeight w:val="212"/>
        </w:trPr>
        <w:tc>
          <w:tcPr>
            <w:tcW w:w="642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color w:val="auto"/>
              </w:rPr>
              <w:t>Less Fair Value as of Prior Fiscal Year-End of Stock Awards Granted in Prior Fiscal Years That Failed to</w:t>
            </w:r>
          </w:p>
        </w:tc>
        <w:tc>
          <w:tcPr>
            <w:tcW w:w="1700" w:type="dxa"/>
            <w:vAlign w:val="bottom"/>
            <w:tcBorders>
              <w:top w:val="single" w:sz="8" w:color="939598"/>
            </w:tcBorders>
            <w:shd w:val="clear" w:color="auto" w:fill="F3F3F4"/>
          </w:tcPr>
          <w:p>
            <w:pPr>
              <w:jc w:val="right"/>
              <w:ind w:right="293"/>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939598"/>
            </w:tcBorders>
            <w:shd w:val="clear" w:color="auto" w:fill="F3F3F4"/>
          </w:tcPr>
          <w:p>
            <w:pPr>
              <w:spacing w:after="0"/>
              <w:rPr>
                <w:sz w:val="18"/>
                <w:szCs w:val="18"/>
                <w:color w:val="auto"/>
              </w:rPr>
            </w:pPr>
          </w:p>
        </w:tc>
        <w:tc>
          <w:tcPr>
            <w:tcW w:w="920" w:type="dxa"/>
            <w:vAlign w:val="bottom"/>
            <w:tcBorders>
              <w:top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0</w:t>
            </w:r>
          </w:p>
        </w:tc>
        <w:tc>
          <w:tcPr>
            <w:tcW w:w="260" w:type="dxa"/>
            <w:vAlign w:val="bottom"/>
            <w:tcBorders>
              <w:top w:val="single" w:sz="8" w:color="939598"/>
            </w:tcBorders>
            <w:shd w:val="clear" w:color="auto" w:fill="F3F3F4"/>
          </w:tcPr>
          <w:p>
            <w:pPr>
              <w:spacing w:after="0"/>
              <w:rPr>
                <w:sz w:val="18"/>
                <w:szCs w:val="18"/>
                <w:color w:val="auto"/>
              </w:rPr>
            </w:pPr>
          </w:p>
        </w:tc>
        <w:tc>
          <w:tcPr>
            <w:tcW w:w="880" w:type="dxa"/>
            <w:vAlign w:val="bottom"/>
            <w:tcBorders>
              <w:top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0</w:t>
            </w:r>
          </w:p>
        </w:tc>
      </w:tr>
      <w:tr>
        <w:trPr>
          <w:trHeight w:val="240"/>
        </w:trPr>
        <w:tc>
          <w:tcPr>
            <w:tcW w:w="64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Meet Applicable Vesting Conditions During Fiscal Year</w:t>
            </w:r>
          </w:p>
        </w:tc>
        <w:tc>
          <w:tcPr>
            <w:tcW w:w="1700" w:type="dxa"/>
            <w:vAlign w:val="bottom"/>
            <w:tcBorders>
              <w:bottom w:val="single" w:sz="8" w:color="F3F3F4"/>
            </w:tcBorders>
            <w:shd w:val="clear" w:color="auto" w:fill="F3F3F4"/>
          </w:tcPr>
          <w:p>
            <w:pPr>
              <w:spacing w:after="0"/>
              <w:rPr>
                <w:sz w:val="20"/>
                <w:szCs w:val="20"/>
                <w:color w:val="auto"/>
              </w:rPr>
            </w:pPr>
          </w:p>
        </w:tc>
        <w:tc>
          <w:tcPr>
            <w:tcW w:w="740" w:type="dxa"/>
            <w:vAlign w:val="bottom"/>
            <w:tcBorders>
              <w:bottom w:val="single" w:sz="8" w:color="F3F3F4"/>
            </w:tcBorders>
            <w:shd w:val="clear" w:color="auto" w:fill="F3F3F4"/>
          </w:tcPr>
          <w:p>
            <w:pPr>
              <w:spacing w:after="0"/>
              <w:rPr>
                <w:sz w:val="20"/>
                <w:szCs w:val="20"/>
                <w:color w:val="auto"/>
              </w:rPr>
            </w:pPr>
          </w:p>
        </w:tc>
        <w:tc>
          <w:tcPr>
            <w:tcW w:w="320" w:type="dxa"/>
            <w:vAlign w:val="bottom"/>
            <w:tcBorders>
              <w:bottom w:val="single" w:sz="8" w:color="F3F3F4"/>
            </w:tcBorders>
            <w:shd w:val="clear" w:color="auto" w:fill="F3F3F4"/>
          </w:tcPr>
          <w:p>
            <w:pPr>
              <w:spacing w:after="0"/>
              <w:rPr>
                <w:sz w:val="20"/>
                <w:szCs w:val="20"/>
                <w:color w:val="auto"/>
              </w:rPr>
            </w:pPr>
          </w:p>
        </w:tc>
        <w:tc>
          <w:tcPr>
            <w:tcW w:w="920" w:type="dxa"/>
            <w:vAlign w:val="bottom"/>
            <w:tcBorders>
              <w:bottom w:val="single" w:sz="8" w:color="F3F3F4"/>
            </w:tcBorders>
            <w:shd w:val="clear" w:color="auto" w:fill="F3F3F4"/>
          </w:tcPr>
          <w:p>
            <w:pPr>
              <w:spacing w:after="0"/>
              <w:rPr>
                <w:sz w:val="20"/>
                <w:szCs w:val="20"/>
                <w:color w:val="auto"/>
              </w:rPr>
            </w:pPr>
          </w:p>
        </w:tc>
        <w:tc>
          <w:tcPr>
            <w:tcW w:w="260" w:type="dxa"/>
            <w:vAlign w:val="bottom"/>
            <w:tcBorders>
              <w:bottom w:val="single" w:sz="8" w:color="F3F3F4"/>
            </w:tcBorders>
            <w:shd w:val="clear" w:color="auto" w:fill="F3F3F4"/>
          </w:tcPr>
          <w:p>
            <w:pPr>
              <w:spacing w:after="0"/>
              <w:rPr>
                <w:sz w:val="20"/>
                <w:szCs w:val="20"/>
                <w:color w:val="auto"/>
              </w:rPr>
            </w:pPr>
          </w:p>
        </w:tc>
        <w:tc>
          <w:tcPr>
            <w:tcW w:w="880" w:type="dxa"/>
            <w:vAlign w:val="bottom"/>
            <w:tcBorders>
              <w:bottom w:val="single" w:sz="8" w:color="F3F3F4"/>
            </w:tcBorders>
            <w:shd w:val="clear" w:color="auto" w:fill="F3F3F4"/>
          </w:tcPr>
          <w:p>
            <w:pPr>
              <w:spacing w:after="0"/>
              <w:rPr>
                <w:sz w:val="20"/>
                <w:szCs w:val="20"/>
                <w:color w:val="auto"/>
              </w:rPr>
            </w:pPr>
          </w:p>
        </w:tc>
      </w:tr>
      <w:tr>
        <w:trPr>
          <w:trHeight w:val="212"/>
        </w:trPr>
        <w:tc>
          <w:tcPr>
            <w:tcW w:w="642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color w:val="auto"/>
              </w:rPr>
              <w:t>Plus Dividends or Other Earnings Paid on Stock Awards in the Fiscal Year Prior to the Vesting Date that</w:t>
            </w:r>
          </w:p>
        </w:tc>
        <w:tc>
          <w:tcPr>
            <w:tcW w:w="1700" w:type="dxa"/>
            <w:vAlign w:val="bottom"/>
            <w:tcBorders>
              <w:top w:val="single" w:sz="8" w:color="939598"/>
            </w:tcBorders>
            <w:shd w:val="clear" w:color="auto" w:fill="F3F3F4"/>
          </w:tcPr>
          <w:p>
            <w:pPr>
              <w:jc w:val="right"/>
              <w:ind w:right="293"/>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939598"/>
            </w:tcBorders>
            <w:shd w:val="clear" w:color="auto" w:fill="F3F3F4"/>
          </w:tcPr>
          <w:p>
            <w:pPr>
              <w:spacing w:after="0"/>
              <w:rPr>
                <w:sz w:val="18"/>
                <w:szCs w:val="18"/>
                <w:color w:val="auto"/>
              </w:rPr>
            </w:pPr>
          </w:p>
        </w:tc>
        <w:tc>
          <w:tcPr>
            <w:tcW w:w="920" w:type="dxa"/>
            <w:vAlign w:val="bottom"/>
            <w:tcBorders>
              <w:top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0</w:t>
            </w:r>
          </w:p>
        </w:tc>
        <w:tc>
          <w:tcPr>
            <w:tcW w:w="260" w:type="dxa"/>
            <w:vAlign w:val="bottom"/>
            <w:tcBorders>
              <w:top w:val="single" w:sz="8" w:color="939598"/>
            </w:tcBorders>
            <w:shd w:val="clear" w:color="auto" w:fill="F3F3F4"/>
          </w:tcPr>
          <w:p>
            <w:pPr>
              <w:spacing w:after="0"/>
              <w:rPr>
                <w:sz w:val="18"/>
                <w:szCs w:val="18"/>
                <w:color w:val="auto"/>
              </w:rPr>
            </w:pPr>
          </w:p>
        </w:tc>
        <w:tc>
          <w:tcPr>
            <w:tcW w:w="880" w:type="dxa"/>
            <w:vAlign w:val="bottom"/>
            <w:tcBorders>
              <w:top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0</w:t>
            </w:r>
          </w:p>
        </w:tc>
      </w:tr>
      <w:tr>
        <w:trPr>
          <w:trHeight w:val="240"/>
        </w:trPr>
        <w:tc>
          <w:tcPr>
            <w:tcW w:w="64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are not otherwise included in the Total Compensation for the Fiscal Year</w:t>
            </w:r>
          </w:p>
        </w:tc>
        <w:tc>
          <w:tcPr>
            <w:tcW w:w="1700" w:type="dxa"/>
            <w:vAlign w:val="bottom"/>
            <w:tcBorders>
              <w:bottom w:val="single" w:sz="8" w:color="F3F3F4"/>
            </w:tcBorders>
            <w:shd w:val="clear" w:color="auto" w:fill="F3F3F4"/>
          </w:tcPr>
          <w:p>
            <w:pPr>
              <w:spacing w:after="0"/>
              <w:rPr>
                <w:sz w:val="20"/>
                <w:szCs w:val="20"/>
                <w:color w:val="auto"/>
              </w:rPr>
            </w:pPr>
          </w:p>
        </w:tc>
        <w:tc>
          <w:tcPr>
            <w:tcW w:w="740" w:type="dxa"/>
            <w:vAlign w:val="bottom"/>
            <w:tcBorders>
              <w:bottom w:val="single" w:sz="8" w:color="F3F3F4"/>
            </w:tcBorders>
            <w:shd w:val="clear" w:color="auto" w:fill="F3F3F4"/>
          </w:tcPr>
          <w:p>
            <w:pPr>
              <w:spacing w:after="0"/>
              <w:rPr>
                <w:sz w:val="20"/>
                <w:szCs w:val="20"/>
                <w:color w:val="auto"/>
              </w:rPr>
            </w:pPr>
          </w:p>
        </w:tc>
        <w:tc>
          <w:tcPr>
            <w:tcW w:w="320" w:type="dxa"/>
            <w:vAlign w:val="bottom"/>
            <w:tcBorders>
              <w:bottom w:val="single" w:sz="8" w:color="F3F3F4"/>
            </w:tcBorders>
            <w:shd w:val="clear" w:color="auto" w:fill="F3F3F4"/>
          </w:tcPr>
          <w:p>
            <w:pPr>
              <w:spacing w:after="0"/>
              <w:rPr>
                <w:sz w:val="20"/>
                <w:szCs w:val="20"/>
                <w:color w:val="auto"/>
              </w:rPr>
            </w:pPr>
          </w:p>
        </w:tc>
        <w:tc>
          <w:tcPr>
            <w:tcW w:w="920" w:type="dxa"/>
            <w:vAlign w:val="bottom"/>
            <w:tcBorders>
              <w:bottom w:val="single" w:sz="8" w:color="F3F3F4"/>
            </w:tcBorders>
            <w:shd w:val="clear" w:color="auto" w:fill="F3F3F4"/>
          </w:tcPr>
          <w:p>
            <w:pPr>
              <w:spacing w:after="0"/>
              <w:rPr>
                <w:sz w:val="20"/>
                <w:szCs w:val="20"/>
                <w:color w:val="auto"/>
              </w:rPr>
            </w:pPr>
          </w:p>
        </w:tc>
        <w:tc>
          <w:tcPr>
            <w:tcW w:w="260" w:type="dxa"/>
            <w:vAlign w:val="bottom"/>
            <w:tcBorders>
              <w:bottom w:val="single" w:sz="8" w:color="F3F3F4"/>
            </w:tcBorders>
            <w:shd w:val="clear" w:color="auto" w:fill="F3F3F4"/>
          </w:tcPr>
          <w:p>
            <w:pPr>
              <w:spacing w:after="0"/>
              <w:rPr>
                <w:sz w:val="20"/>
                <w:szCs w:val="20"/>
                <w:color w:val="auto"/>
              </w:rPr>
            </w:pPr>
          </w:p>
        </w:tc>
        <w:tc>
          <w:tcPr>
            <w:tcW w:w="880" w:type="dxa"/>
            <w:vAlign w:val="bottom"/>
            <w:tcBorders>
              <w:bottom w:val="single" w:sz="8" w:color="F3F3F4"/>
            </w:tcBorders>
            <w:shd w:val="clear" w:color="auto" w:fill="F3F3F4"/>
          </w:tcPr>
          <w:p>
            <w:pPr>
              <w:spacing w:after="0"/>
              <w:rPr>
                <w:sz w:val="20"/>
                <w:szCs w:val="20"/>
                <w:color w:val="auto"/>
              </w:rPr>
            </w:pPr>
          </w:p>
        </w:tc>
      </w:tr>
      <w:tr>
        <w:trPr>
          <w:trHeight w:val="276"/>
        </w:trPr>
        <w:tc>
          <w:tcPr>
            <w:tcW w:w="64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Compensation Actually Paid (CAP)</w:t>
            </w:r>
          </w:p>
        </w:tc>
        <w:tc>
          <w:tcPr>
            <w:tcW w:w="1700" w:type="dxa"/>
            <w:vAlign w:val="bottom"/>
            <w:tcBorders>
              <w:top w:val="single" w:sz="8" w:color="939598"/>
              <w:bottom w:val="single" w:sz="8" w:color="F3F3F4"/>
            </w:tcBorders>
            <w:shd w:val="clear" w:color="auto" w:fill="F3F3F4"/>
          </w:tcPr>
          <w:p>
            <w:pPr>
              <w:jc w:val="right"/>
              <w:ind w:right="293"/>
              <w:spacing w:after="0"/>
              <w:rPr>
                <w:sz w:val="20"/>
                <w:szCs w:val="20"/>
                <w:color w:val="auto"/>
              </w:rPr>
            </w:pPr>
            <w:r>
              <w:rPr>
                <w:rFonts w:ascii="Arial" w:cs="Arial" w:eastAsia="Arial" w:hAnsi="Arial"/>
                <w:sz w:val="13"/>
                <w:szCs w:val="13"/>
                <w:b w:val="1"/>
                <w:bCs w:val="1"/>
                <w:color w:val="auto"/>
              </w:rPr>
              <w:t>N/A</w:t>
            </w:r>
          </w:p>
        </w:tc>
        <w:tc>
          <w:tcPr>
            <w:tcW w:w="74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b w:val="1"/>
                <w:bCs w:val="1"/>
                <w:color w:val="auto"/>
              </w:rPr>
              <w:t>N/A</w:t>
            </w:r>
          </w:p>
        </w:tc>
        <w:tc>
          <w:tcPr>
            <w:tcW w:w="320" w:type="dxa"/>
            <w:vAlign w:val="bottom"/>
            <w:tcBorders>
              <w:top w:val="single" w:sz="8" w:color="939598"/>
              <w:bottom w:val="single" w:sz="8" w:color="F3F3F4"/>
            </w:tcBorders>
            <w:shd w:val="clear" w:color="auto" w:fill="F3F3F4"/>
          </w:tcPr>
          <w:p>
            <w:pPr>
              <w:jc w:val="right"/>
              <w:ind w:right="93"/>
              <w:spacing w:after="0"/>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b w:val="1"/>
                <w:bCs w:val="1"/>
                <w:color w:val="auto"/>
              </w:rPr>
              <w:t>4,225,234</w:t>
            </w:r>
          </w:p>
        </w:tc>
        <w:tc>
          <w:tcPr>
            <w:tcW w:w="260" w:type="dxa"/>
            <w:vAlign w:val="bottom"/>
            <w:tcBorders>
              <w:top w:val="single" w:sz="8" w:color="939598"/>
              <w:bottom w:val="single" w:sz="8" w:color="F3F3F4"/>
            </w:tcBorders>
            <w:shd w:val="clear" w:color="auto" w:fill="F3F3F4"/>
          </w:tcPr>
          <w:p>
            <w:pPr>
              <w:jc w:val="right"/>
              <w:ind w:right="53"/>
              <w:spacing w:after="0"/>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b w:val="1"/>
                <w:bCs w:val="1"/>
                <w:color w:val="auto"/>
              </w:rPr>
              <w:t>4,065,021</w:t>
            </w:r>
          </w:p>
        </w:tc>
      </w:tr>
      <w:tr>
        <w:trPr>
          <w:trHeight w:val="20"/>
        </w:trPr>
        <w:tc>
          <w:tcPr>
            <w:tcW w:w="6420" w:type="dxa"/>
            <w:vAlign w:val="bottom"/>
            <w:shd w:val="clear" w:color="auto" w:fill="939598"/>
          </w:tcPr>
          <w:p>
            <w:pPr>
              <w:spacing w:after="0" w:line="20" w:lineRule="exact"/>
              <w:rPr>
                <w:sz w:val="1"/>
                <w:szCs w:val="1"/>
                <w:color w:val="auto"/>
              </w:rPr>
            </w:pPr>
          </w:p>
        </w:tc>
        <w:tc>
          <w:tcPr>
            <w:tcW w:w="1700" w:type="dxa"/>
            <w:vAlign w:val="bottom"/>
            <w:shd w:val="clear" w:color="auto" w:fill="939598"/>
          </w:tcPr>
          <w:p>
            <w:pPr>
              <w:spacing w:after="0" w:line="20" w:lineRule="exact"/>
              <w:rPr>
                <w:sz w:val="1"/>
                <w:szCs w:val="1"/>
                <w:color w:val="auto"/>
              </w:rPr>
            </w:pPr>
          </w:p>
        </w:tc>
        <w:tc>
          <w:tcPr>
            <w:tcW w:w="740" w:type="dxa"/>
            <w:vAlign w:val="bottom"/>
            <w:shd w:val="clear" w:color="auto" w:fill="939598"/>
          </w:tcPr>
          <w:p>
            <w:pPr>
              <w:spacing w:after="0" w:line="20" w:lineRule="exact"/>
              <w:rPr>
                <w:sz w:val="1"/>
                <w:szCs w:val="1"/>
                <w:color w:val="auto"/>
              </w:rPr>
            </w:pPr>
          </w:p>
        </w:tc>
        <w:tc>
          <w:tcPr>
            <w:tcW w:w="320" w:type="dxa"/>
            <w:vAlign w:val="bottom"/>
            <w:shd w:val="clear" w:color="auto" w:fill="939598"/>
          </w:tcPr>
          <w:p>
            <w:pPr>
              <w:spacing w:after="0" w:line="20" w:lineRule="exact"/>
              <w:rPr>
                <w:sz w:val="1"/>
                <w:szCs w:val="1"/>
                <w:color w:val="auto"/>
              </w:rPr>
            </w:pPr>
          </w:p>
        </w:tc>
        <w:tc>
          <w:tcPr>
            <w:tcW w:w="920" w:type="dxa"/>
            <w:vAlign w:val="bottom"/>
            <w:shd w:val="clear" w:color="auto" w:fill="939598"/>
          </w:tcPr>
          <w:p>
            <w:pPr>
              <w:spacing w:after="0" w:line="20" w:lineRule="exact"/>
              <w:rPr>
                <w:sz w:val="1"/>
                <w:szCs w:val="1"/>
                <w:color w:val="auto"/>
              </w:rPr>
            </w:pPr>
          </w:p>
        </w:tc>
        <w:tc>
          <w:tcPr>
            <w:tcW w:w="260" w:type="dxa"/>
            <w:vAlign w:val="bottom"/>
            <w:shd w:val="clear" w:color="auto" w:fill="939598"/>
          </w:tcPr>
          <w:p>
            <w:pPr>
              <w:spacing w:after="0" w:line="20" w:lineRule="exact"/>
              <w:rPr>
                <w:sz w:val="1"/>
                <w:szCs w:val="1"/>
                <w:color w:val="auto"/>
              </w:rPr>
            </w:pPr>
          </w:p>
        </w:tc>
        <w:tc>
          <w:tcPr>
            <w:tcW w:w="880" w:type="dxa"/>
            <w:vAlign w:val="bottom"/>
            <w:shd w:val="clear" w:color="auto" w:fill="939598"/>
          </w:tcPr>
          <w:p>
            <w:pPr>
              <w:spacing w:after="0" w:line="20" w:lineRule="exact"/>
              <w:rPr>
                <w:sz w:val="1"/>
                <w:szCs w:val="1"/>
                <w:color w:val="auto"/>
              </w:rPr>
            </w:pPr>
          </w:p>
        </w:tc>
      </w:tr>
    </w:tbl>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Adjustments to Determine Compensation Actually Paid to Former CEO (PEO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65405</wp:posOffset>
            </wp:positionV>
            <wp:extent cx="71412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ind w:left="100"/>
              <w:spacing w:after="0"/>
              <w:rPr>
                <w:sz w:val="20"/>
                <w:szCs w:val="20"/>
                <w:color w:val="auto"/>
              </w:rPr>
            </w:pPr>
            <w:r>
              <w:rPr>
                <w:rFonts w:ascii="Arial" w:cs="Arial" w:eastAsia="Arial" w:hAnsi="Arial"/>
                <w:sz w:val="13"/>
                <w:szCs w:val="13"/>
                <w:b w:val="1"/>
                <w:bCs w:val="1"/>
                <w:color w:val="auto"/>
              </w:rPr>
              <w:t>Former CEO</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16"/>
                <w:szCs w:val="16"/>
                <w:color w:val="auto"/>
              </w:rPr>
            </w:pPr>
          </w:p>
        </w:tc>
        <w:tc>
          <w:tcPr>
            <w:tcW w:w="1320" w:type="dxa"/>
            <w:vAlign w:val="bottom"/>
          </w:tcPr>
          <w:p>
            <w:pPr>
              <w:jc w:val="right"/>
              <w:ind w:right="393"/>
              <w:spacing w:after="0"/>
              <w:rPr>
                <w:sz w:val="20"/>
                <w:szCs w:val="20"/>
                <w:color w:val="auto"/>
              </w:rPr>
            </w:pPr>
            <w:r>
              <w:rPr>
                <w:rFonts w:ascii="Arial" w:cs="Arial" w:eastAsia="Arial" w:hAnsi="Arial"/>
                <w:sz w:val="13"/>
                <w:szCs w:val="13"/>
                <w:b w:val="1"/>
                <w:bCs w:val="1"/>
                <w:color w:val="auto"/>
              </w:rPr>
              <w:t>2023</w:t>
            </w:r>
          </w:p>
        </w:tc>
        <w:tc>
          <w:tcPr>
            <w:tcW w:w="540" w:type="dxa"/>
            <w:vAlign w:val="bottom"/>
          </w:tcPr>
          <w:p>
            <w:pPr>
              <w:jc w:val="right"/>
              <w:ind w:right="13"/>
              <w:spacing w:after="0"/>
              <w:rPr>
                <w:sz w:val="20"/>
                <w:szCs w:val="20"/>
                <w:color w:val="auto"/>
              </w:rPr>
            </w:pPr>
            <w:r>
              <w:rPr>
                <w:rFonts w:ascii="Arial" w:cs="Arial" w:eastAsia="Arial" w:hAnsi="Arial"/>
                <w:sz w:val="13"/>
                <w:szCs w:val="13"/>
                <w:b w:val="1"/>
                <w:bCs w:val="1"/>
                <w:color w:val="auto"/>
              </w:rPr>
              <w:t>2024</w:t>
            </w:r>
          </w:p>
        </w:tc>
      </w:tr>
      <w:tr>
        <w:trPr>
          <w:trHeight w:val="51"/>
        </w:trPr>
        <w:tc>
          <w:tcPr>
            <w:tcW w:w="65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01"/>
        </w:trPr>
        <w:tc>
          <w:tcPr>
            <w:tcW w:w="65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SCT Total Compensation</w:t>
            </w:r>
          </w:p>
        </w:tc>
        <w:tc>
          <w:tcPr>
            <w:tcW w:w="400" w:type="dxa"/>
            <w:vAlign w:val="bottom"/>
            <w:tcBorders>
              <w:bottom w:val="single" w:sz="8" w:color="F3F3F4"/>
            </w:tcBorders>
            <w:shd w:val="clear" w:color="auto" w:fill="F3F3F4"/>
          </w:tcPr>
          <w:p>
            <w:pPr>
              <w:jc w:val="right"/>
              <w:ind w:right="9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4,161,742</w:t>
            </w:r>
          </w:p>
        </w:tc>
        <w:tc>
          <w:tcPr>
            <w:tcW w:w="18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5,452,715</w:t>
            </w:r>
          </w:p>
        </w:tc>
        <w:tc>
          <w:tcPr>
            <w:tcW w:w="300" w:type="dxa"/>
            <w:vAlign w:val="bottom"/>
            <w:tcBorders>
              <w:bottom w:val="single" w:sz="8" w:color="F3F3F4"/>
            </w:tcBorders>
            <w:shd w:val="clear" w:color="auto" w:fill="F3F3F4"/>
          </w:tcPr>
          <w:p>
            <w:pPr>
              <w:ind w:left="8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F3F3F4"/>
            </w:tcBorders>
            <w:shd w:val="clear" w:color="auto" w:fill="F3F3F4"/>
          </w:tcPr>
          <w:p>
            <w:pPr>
              <w:jc w:val="right"/>
              <w:ind w:right="393"/>
              <w:spacing w:after="0"/>
              <w:rPr>
                <w:sz w:val="20"/>
                <w:szCs w:val="20"/>
                <w:color w:val="auto"/>
              </w:rPr>
            </w:pPr>
            <w:r>
              <w:rPr>
                <w:rFonts w:ascii="Arial" w:cs="Arial" w:eastAsia="Arial" w:hAnsi="Arial"/>
                <w:sz w:val="13"/>
                <w:szCs w:val="13"/>
                <w:color w:val="auto"/>
              </w:rPr>
              <w:t>2,677,153</w:t>
            </w:r>
          </w:p>
        </w:tc>
        <w:tc>
          <w:tcPr>
            <w:tcW w:w="540" w:type="dxa"/>
            <w:vAlign w:val="bottom"/>
            <w:tcBorders>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N/A</w:t>
            </w:r>
          </w:p>
        </w:tc>
      </w:tr>
      <w:tr>
        <w:trPr>
          <w:trHeight w:val="301"/>
        </w:trPr>
        <w:tc>
          <w:tcPr>
            <w:tcW w:w="65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Less Equity Award Values Reported in SCT</w:t>
            </w:r>
          </w:p>
        </w:tc>
        <w:tc>
          <w:tcPr>
            <w:tcW w:w="400" w:type="dxa"/>
            <w:vAlign w:val="bottom"/>
            <w:tcBorders>
              <w:top w:val="single" w:sz="8" w:color="939598"/>
              <w:bottom w:val="single" w:sz="8" w:color="F3F3F4"/>
            </w:tcBorders>
            <w:shd w:val="clear" w:color="auto" w:fill="F3F3F4"/>
          </w:tcPr>
          <w:p>
            <w:pPr>
              <w:spacing w:after="0"/>
              <w:rPr>
                <w:sz w:val="24"/>
                <w:szCs w:val="24"/>
                <w:color w:val="auto"/>
              </w:rPr>
            </w:pPr>
          </w:p>
        </w:tc>
        <w:tc>
          <w:tcPr>
            <w:tcW w:w="90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(2,462,845)</w:t>
            </w:r>
          </w:p>
        </w:tc>
        <w:tc>
          <w:tcPr>
            <w:tcW w:w="180" w:type="dxa"/>
            <w:vAlign w:val="bottom"/>
            <w:tcBorders>
              <w:top w:val="single" w:sz="8" w:color="939598"/>
              <w:bottom w:val="single" w:sz="8" w:color="F3F3F4"/>
            </w:tcBorders>
            <w:shd w:val="clear" w:color="auto" w:fill="F3F3F4"/>
          </w:tcPr>
          <w:p>
            <w:pPr>
              <w:spacing w:after="0"/>
              <w:rPr>
                <w:sz w:val="24"/>
                <w:szCs w:val="24"/>
                <w:color w:val="auto"/>
              </w:rPr>
            </w:pPr>
          </w:p>
        </w:tc>
        <w:tc>
          <w:tcPr>
            <w:tcW w:w="108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(2,963,694)</w:t>
            </w:r>
          </w:p>
        </w:tc>
        <w:tc>
          <w:tcPr>
            <w:tcW w:w="300" w:type="dxa"/>
            <w:vAlign w:val="bottom"/>
            <w:tcBorders>
              <w:top w:val="single" w:sz="8" w:color="939598"/>
              <w:bottom w:val="single" w:sz="8" w:color="F3F3F4"/>
            </w:tcBorders>
            <w:shd w:val="clear" w:color="auto" w:fill="F3F3F4"/>
          </w:tcPr>
          <w:p>
            <w:pPr>
              <w:spacing w:after="0"/>
              <w:rPr>
                <w:sz w:val="24"/>
                <w:szCs w:val="24"/>
                <w:color w:val="auto"/>
              </w:rPr>
            </w:pPr>
          </w:p>
        </w:tc>
        <w:tc>
          <w:tcPr>
            <w:tcW w:w="1320" w:type="dxa"/>
            <w:vAlign w:val="bottom"/>
            <w:tcBorders>
              <w:top w:val="single" w:sz="8" w:color="939598"/>
              <w:bottom w:val="single" w:sz="8" w:color="F3F3F4"/>
            </w:tcBorders>
            <w:shd w:val="clear" w:color="auto" w:fill="F3F3F4"/>
          </w:tcPr>
          <w:p>
            <w:pPr>
              <w:jc w:val="right"/>
              <w:ind w:right="393"/>
              <w:spacing w:after="0"/>
              <w:rPr>
                <w:sz w:val="20"/>
                <w:szCs w:val="20"/>
                <w:color w:val="auto"/>
              </w:rPr>
            </w:pPr>
            <w:r>
              <w:rPr>
                <w:rFonts w:ascii="Arial" w:cs="Arial" w:eastAsia="Arial" w:hAnsi="Arial"/>
                <w:sz w:val="13"/>
                <w:szCs w:val="13"/>
                <w:color w:val="auto"/>
              </w:rPr>
              <w:t>(1,499,967)</w:t>
            </w:r>
          </w:p>
        </w:tc>
        <w:tc>
          <w:tcPr>
            <w:tcW w:w="54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r>
      <w:tr>
        <w:trPr>
          <w:trHeight w:val="301"/>
        </w:trPr>
        <w:tc>
          <w:tcPr>
            <w:tcW w:w="65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Plus Fair Value at Fiscal Year-End of Outstanding and Unvested Stock Awards Granted in Fiscal Year</w:t>
            </w:r>
          </w:p>
        </w:tc>
        <w:tc>
          <w:tcPr>
            <w:tcW w:w="400" w:type="dxa"/>
            <w:vAlign w:val="bottom"/>
            <w:tcBorders>
              <w:top w:val="single" w:sz="8" w:color="939598"/>
              <w:bottom w:val="single" w:sz="8" w:color="F3F3F4"/>
            </w:tcBorders>
            <w:shd w:val="clear" w:color="auto" w:fill="F3F3F4"/>
          </w:tcPr>
          <w:p>
            <w:pPr>
              <w:spacing w:after="0"/>
              <w:rPr>
                <w:sz w:val="24"/>
                <w:szCs w:val="24"/>
                <w:color w:val="auto"/>
              </w:rPr>
            </w:pPr>
          </w:p>
        </w:tc>
        <w:tc>
          <w:tcPr>
            <w:tcW w:w="90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1,714,174</w:t>
            </w:r>
          </w:p>
        </w:tc>
        <w:tc>
          <w:tcPr>
            <w:tcW w:w="180" w:type="dxa"/>
            <w:vAlign w:val="bottom"/>
            <w:tcBorders>
              <w:top w:val="single" w:sz="8" w:color="939598"/>
              <w:bottom w:val="single" w:sz="8" w:color="F3F3F4"/>
            </w:tcBorders>
            <w:shd w:val="clear" w:color="auto" w:fill="F3F3F4"/>
          </w:tcPr>
          <w:p>
            <w:pPr>
              <w:spacing w:after="0"/>
              <w:rPr>
                <w:sz w:val="24"/>
                <w:szCs w:val="24"/>
                <w:color w:val="auto"/>
              </w:rPr>
            </w:pPr>
          </w:p>
        </w:tc>
        <w:tc>
          <w:tcPr>
            <w:tcW w:w="108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2,813,301</w:t>
            </w:r>
          </w:p>
        </w:tc>
        <w:tc>
          <w:tcPr>
            <w:tcW w:w="300" w:type="dxa"/>
            <w:vAlign w:val="bottom"/>
            <w:tcBorders>
              <w:top w:val="single" w:sz="8" w:color="939598"/>
              <w:bottom w:val="single" w:sz="8" w:color="F3F3F4"/>
            </w:tcBorders>
            <w:shd w:val="clear" w:color="auto" w:fill="F3F3F4"/>
          </w:tcPr>
          <w:p>
            <w:pPr>
              <w:spacing w:after="0"/>
              <w:rPr>
                <w:sz w:val="24"/>
                <w:szCs w:val="24"/>
                <w:color w:val="auto"/>
              </w:rPr>
            </w:pPr>
          </w:p>
        </w:tc>
        <w:tc>
          <w:tcPr>
            <w:tcW w:w="1320" w:type="dxa"/>
            <w:vAlign w:val="bottom"/>
            <w:tcBorders>
              <w:top w:val="single" w:sz="8" w:color="939598"/>
              <w:bottom w:val="single" w:sz="8" w:color="F3F3F4"/>
            </w:tcBorders>
            <w:shd w:val="clear" w:color="auto" w:fill="F3F3F4"/>
          </w:tcPr>
          <w:p>
            <w:pPr>
              <w:jc w:val="right"/>
              <w:ind w:right="393"/>
              <w:spacing w:after="0"/>
              <w:rPr>
                <w:sz w:val="20"/>
                <w:szCs w:val="20"/>
                <w:color w:val="auto"/>
              </w:rPr>
            </w:pPr>
            <w:r>
              <w:rPr>
                <w:rFonts w:ascii="Arial" w:cs="Arial" w:eastAsia="Arial" w:hAnsi="Arial"/>
                <w:sz w:val="13"/>
                <w:szCs w:val="13"/>
                <w:color w:val="auto"/>
              </w:rPr>
              <w:t>0</w:t>
            </w:r>
          </w:p>
        </w:tc>
        <w:tc>
          <w:tcPr>
            <w:tcW w:w="54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r>
      <w:tr>
        <w:trPr>
          <w:trHeight w:val="301"/>
        </w:trPr>
        <w:tc>
          <w:tcPr>
            <w:tcW w:w="65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Change in Fair Value of Outstanding and Unvested Stock Awards Granted in Prior Fiscal Years</w:t>
            </w:r>
          </w:p>
        </w:tc>
        <w:tc>
          <w:tcPr>
            <w:tcW w:w="400" w:type="dxa"/>
            <w:vAlign w:val="bottom"/>
            <w:tcBorders>
              <w:top w:val="single" w:sz="8" w:color="939598"/>
              <w:bottom w:val="single" w:sz="8" w:color="F3F3F4"/>
            </w:tcBorders>
            <w:shd w:val="clear" w:color="auto" w:fill="F3F3F4"/>
          </w:tcPr>
          <w:p>
            <w:pPr>
              <w:spacing w:after="0"/>
              <w:rPr>
                <w:sz w:val="24"/>
                <w:szCs w:val="24"/>
                <w:color w:val="auto"/>
              </w:rPr>
            </w:pPr>
          </w:p>
        </w:tc>
        <w:tc>
          <w:tcPr>
            <w:tcW w:w="90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(182,607)</w:t>
            </w:r>
          </w:p>
        </w:tc>
        <w:tc>
          <w:tcPr>
            <w:tcW w:w="180" w:type="dxa"/>
            <w:vAlign w:val="bottom"/>
            <w:tcBorders>
              <w:top w:val="single" w:sz="8" w:color="939598"/>
              <w:bottom w:val="single" w:sz="8" w:color="F3F3F4"/>
            </w:tcBorders>
            <w:shd w:val="clear" w:color="auto" w:fill="F3F3F4"/>
          </w:tcPr>
          <w:p>
            <w:pPr>
              <w:spacing w:after="0"/>
              <w:rPr>
                <w:sz w:val="24"/>
                <w:szCs w:val="24"/>
                <w:color w:val="auto"/>
              </w:rPr>
            </w:pPr>
          </w:p>
        </w:tc>
        <w:tc>
          <w:tcPr>
            <w:tcW w:w="108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(159,075)</w:t>
            </w:r>
          </w:p>
        </w:tc>
        <w:tc>
          <w:tcPr>
            <w:tcW w:w="300" w:type="dxa"/>
            <w:vAlign w:val="bottom"/>
            <w:tcBorders>
              <w:top w:val="single" w:sz="8" w:color="939598"/>
              <w:bottom w:val="single" w:sz="8" w:color="F3F3F4"/>
            </w:tcBorders>
            <w:shd w:val="clear" w:color="auto" w:fill="F3F3F4"/>
          </w:tcPr>
          <w:p>
            <w:pPr>
              <w:spacing w:after="0"/>
              <w:rPr>
                <w:sz w:val="24"/>
                <w:szCs w:val="24"/>
                <w:color w:val="auto"/>
              </w:rPr>
            </w:pPr>
          </w:p>
        </w:tc>
        <w:tc>
          <w:tcPr>
            <w:tcW w:w="1320" w:type="dxa"/>
            <w:vAlign w:val="bottom"/>
            <w:tcBorders>
              <w:top w:val="single" w:sz="8" w:color="939598"/>
              <w:bottom w:val="single" w:sz="8" w:color="F3F3F4"/>
            </w:tcBorders>
            <w:shd w:val="clear" w:color="auto" w:fill="F3F3F4"/>
          </w:tcPr>
          <w:p>
            <w:pPr>
              <w:jc w:val="right"/>
              <w:ind w:right="393"/>
              <w:spacing w:after="0"/>
              <w:rPr>
                <w:sz w:val="20"/>
                <w:szCs w:val="20"/>
                <w:color w:val="auto"/>
              </w:rPr>
            </w:pPr>
            <w:r>
              <w:rPr>
                <w:rFonts w:ascii="Arial" w:cs="Arial" w:eastAsia="Arial" w:hAnsi="Arial"/>
                <w:sz w:val="13"/>
                <w:szCs w:val="13"/>
                <w:color w:val="auto"/>
              </w:rPr>
              <w:t>338,042</w:t>
            </w:r>
          </w:p>
        </w:tc>
        <w:tc>
          <w:tcPr>
            <w:tcW w:w="54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r>
      <w:tr>
        <w:trPr>
          <w:trHeight w:val="301"/>
        </w:trPr>
        <w:tc>
          <w:tcPr>
            <w:tcW w:w="65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Plus Fair Value at Vesting of Stock Awards Granted in Fiscal Year That Vested During Fiscal Year</w:t>
            </w:r>
          </w:p>
        </w:tc>
        <w:tc>
          <w:tcPr>
            <w:tcW w:w="400" w:type="dxa"/>
            <w:vAlign w:val="bottom"/>
            <w:tcBorders>
              <w:top w:val="single" w:sz="8" w:color="939598"/>
              <w:bottom w:val="single" w:sz="8" w:color="F3F3F4"/>
            </w:tcBorders>
            <w:shd w:val="clear" w:color="auto" w:fill="F3F3F4"/>
          </w:tcPr>
          <w:p>
            <w:pPr>
              <w:spacing w:after="0"/>
              <w:rPr>
                <w:sz w:val="24"/>
                <w:szCs w:val="24"/>
                <w:color w:val="auto"/>
              </w:rPr>
            </w:pPr>
          </w:p>
        </w:tc>
        <w:tc>
          <w:tcPr>
            <w:tcW w:w="90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80" w:type="dxa"/>
            <w:vAlign w:val="bottom"/>
            <w:tcBorders>
              <w:top w:val="single" w:sz="8" w:color="939598"/>
              <w:bottom w:val="single" w:sz="8" w:color="F3F3F4"/>
            </w:tcBorders>
            <w:shd w:val="clear" w:color="auto" w:fill="F3F3F4"/>
          </w:tcPr>
          <w:p>
            <w:pPr>
              <w:spacing w:after="0"/>
              <w:rPr>
                <w:sz w:val="24"/>
                <w:szCs w:val="24"/>
                <w:color w:val="auto"/>
              </w:rPr>
            </w:pPr>
          </w:p>
        </w:tc>
        <w:tc>
          <w:tcPr>
            <w:tcW w:w="108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300" w:type="dxa"/>
            <w:vAlign w:val="bottom"/>
            <w:tcBorders>
              <w:top w:val="single" w:sz="8" w:color="939598"/>
              <w:bottom w:val="single" w:sz="8" w:color="F3F3F4"/>
            </w:tcBorders>
            <w:shd w:val="clear" w:color="auto" w:fill="F3F3F4"/>
          </w:tcPr>
          <w:p>
            <w:pPr>
              <w:spacing w:after="0"/>
              <w:rPr>
                <w:sz w:val="24"/>
                <w:szCs w:val="24"/>
                <w:color w:val="auto"/>
              </w:rPr>
            </w:pPr>
          </w:p>
        </w:tc>
        <w:tc>
          <w:tcPr>
            <w:tcW w:w="1320" w:type="dxa"/>
            <w:vAlign w:val="bottom"/>
            <w:tcBorders>
              <w:top w:val="single" w:sz="8" w:color="939598"/>
              <w:bottom w:val="single" w:sz="8" w:color="F3F3F4"/>
            </w:tcBorders>
            <w:shd w:val="clear" w:color="auto" w:fill="F3F3F4"/>
          </w:tcPr>
          <w:p>
            <w:pPr>
              <w:jc w:val="right"/>
              <w:ind w:right="393"/>
              <w:spacing w:after="0"/>
              <w:rPr>
                <w:sz w:val="20"/>
                <w:szCs w:val="20"/>
                <w:color w:val="auto"/>
              </w:rPr>
            </w:pPr>
            <w:r>
              <w:rPr>
                <w:rFonts w:ascii="Arial" w:cs="Arial" w:eastAsia="Arial" w:hAnsi="Arial"/>
                <w:sz w:val="13"/>
                <w:szCs w:val="13"/>
                <w:color w:val="auto"/>
              </w:rPr>
              <w:t>1,786,685</w:t>
            </w:r>
          </w:p>
        </w:tc>
        <w:tc>
          <w:tcPr>
            <w:tcW w:w="54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r>
      <w:tr>
        <w:trPr>
          <w:trHeight w:val="212"/>
        </w:trPr>
        <w:tc>
          <w:tcPr>
            <w:tcW w:w="652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color w:val="auto"/>
              </w:rPr>
              <w:t>Change in Fair Value as of Vesting Date of Stock Awards Granted in Prior Fiscal Years For Which</w:t>
            </w:r>
          </w:p>
        </w:tc>
        <w:tc>
          <w:tcPr>
            <w:tcW w:w="400" w:type="dxa"/>
            <w:vAlign w:val="bottom"/>
            <w:tcBorders>
              <w:top w:val="single" w:sz="8" w:color="939598"/>
            </w:tcBorders>
            <w:shd w:val="clear" w:color="auto" w:fill="F3F3F4"/>
          </w:tcPr>
          <w:p>
            <w:pPr>
              <w:spacing w:after="0"/>
              <w:rPr>
                <w:sz w:val="18"/>
                <w:szCs w:val="18"/>
                <w:color w:val="auto"/>
              </w:rPr>
            </w:pPr>
          </w:p>
        </w:tc>
        <w:tc>
          <w:tcPr>
            <w:tcW w:w="90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80" w:type="dxa"/>
            <w:vAlign w:val="bottom"/>
            <w:tcBorders>
              <w:top w:val="single" w:sz="8" w:color="939598"/>
            </w:tcBorders>
            <w:shd w:val="clear" w:color="auto" w:fill="F3F3F4"/>
          </w:tcPr>
          <w:p>
            <w:pPr>
              <w:spacing w:after="0"/>
              <w:rPr>
                <w:sz w:val="18"/>
                <w:szCs w:val="18"/>
                <w:color w:val="auto"/>
              </w:rPr>
            </w:pPr>
          </w:p>
        </w:tc>
        <w:tc>
          <w:tcPr>
            <w:tcW w:w="108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218,272</w:t>
            </w:r>
          </w:p>
        </w:tc>
        <w:tc>
          <w:tcPr>
            <w:tcW w:w="300" w:type="dxa"/>
            <w:vAlign w:val="bottom"/>
            <w:tcBorders>
              <w:top w:val="single" w:sz="8" w:color="939598"/>
            </w:tcBorders>
            <w:shd w:val="clear" w:color="auto" w:fill="F3F3F4"/>
          </w:tcPr>
          <w:p>
            <w:pPr>
              <w:spacing w:after="0"/>
              <w:rPr>
                <w:sz w:val="18"/>
                <w:szCs w:val="18"/>
                <w:color w:val="auto"/>
              </w:rPr>
            </w:pPr>
          </w:p>
        </w:tc>
        <w:tc>
          <w:tcPr>
            <w:tcW w:w="1320" w:type="dxa"/>
            <w:vAlign w:val="bottom"/>
            <w:tcBorders>
              <w:top w:val="single" w:sz="8" w:color="939598"/>
            </w:tcBorders>
            <w:shd w:val="clear" w:color="auto" w:fill="F3F3F4"/>
          </w:tcPr>
          <w:p>
            <w:pPr>
              <w:jc w:val="right"/>
              <w:ind w:right="393"/>
              <w:spacing w:after="0"/>
              <w:rPr>
                <w:sz w:val="20"/>
                <w:szCs w:val="20"/>
                <w:color w:val="auto"/>
              </w:rPr>
            </w:pPr>
            <w:r>
              <w:rPr>
                <w:rFonts w:ascii="Arial" w:cs="Arial" w:eastAsia="Arial" w:hAnsi="Arial"/>
                <w:sz w:val="13"/>
                <w:szCs w:val="13"/>
                <w:color w:val="auto"/>
              </w:rPr>
              <w:t>1,015,817</w:t>
            </w:r>
          </w:p>
        </w:tc>
        <w:tc>
          <w:tcPr>
            <w:tcW w:w="540" w:type="dxa"/>
            <w:vAlign w:val="bottom"/>
            <w:tcBorders>
              <w:top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r>
      <w:tr>
        <w:trPr>
          <w:trHeight w:val="240"/>
        </w:trPr>
        <w:tc>
          <w:tcPr>
            <w:tcW w:w="65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Applicable Vesting Conditions Were Satisfied During Fiscal Year</w:t>
            </w:r>
          </w:p>
        </w:tc>
        <w:tc>
          <w:tcPr>
            <w:tcW w:w="400" w:type="dxa"/>
            <w:vAlign w:val="bottom"/>
            <w:tcBorders>
              <w:bottom w:val="single" w:sz="8" w:color="F3F3F4"/>
            </w:tcBorders>
            <w:shd w:val="clear" w:color="auto" w:fill="F3F3F4"/>
          </w:tcPr>
          <w:p>
            <w:pPr>
              <w:spacing w:after="0"/>
              <w:rPr>
                <w:sz w:val="20"/>
                <w:szCs w:val="20"/>
                <w:color w:val="auto"/>
              </w:rPr>
            </w:pPr>
          </w:p>
        </w:tc>
        <w:tc>
          <w:tcPr>
            <w:tcW w:w="900" w:type="dxa"/>
            <w:vAlign w:val="bottom"/>
            <w:tcBorders>
              <w:bottom w:val="single" w:sz="8" w:color="F3F3F4"/>
            </w:tcBorders>
            <w:shd w:val="clear" w:color="auto" w:fill="F3F3F4"/>
          </w:tcPr>
          <w:p>
            <w:pPr>
              <w:spacing w:after="0"/>
              <w:rPr>
                <w:sz w:val="20"/>
                <w:szCs w:val="20"/>
                <w:color w:val="auto"/>
              </w:rPr>
            </w:pPr>
          </w:p>
        </w:tc>
        <w:tc>
          <w:tcPr>
            <w:tcW w:w="180" w:type="dxa"/>
            <w:vAlign w:val="bottom"/>
            <w:tcBorders>
              <w:bottom w:val="single" w:sz="8" w:color="F3F3F4"/>
            </w:tcBorders>
            <w:shd w:val="clear" w:color="auto" w:fill="F3F3F4"/>
          </w:tcPr>
          <w:p>
            <w:pPr>
              <w:spacing w:after="0"/>
              <w:rPr>
                <w:sz w:val="20"/>
                <w:szCs w:val="20"/>
                <w:color w:val="auto"/>
              </w:rPr>
            </w:pPr>
          </w:p>
        </w:tc>
        <w:tc>
          <w:tcPr>
            <w:tcW w:w="1080" w:type="dxa"/>
            <w:vAlign w:val="bottom"/>
            <w:tcBorders>
              <w:bottom w:val="single" w:sz="8" w:color="F3F3F4"/>
            </w:tcBorders>
            <w:shd w:val="clear" w:color="auto" w:fill="F3F3F4"/>
          </w:tcPr>
          <w:p>
            <w:pPr>
              <w:spacing w:after="0"/>
              <w:rPr>
                <w:sz w:val="20"/>
                <w:szCs w:val="20"/>
                <w:color w:val="auto"/>
              </w:rPr>
            </w:pPr>
          </w:p>
        </w:tc>
        <w:tc>
          <w:tcPr>
            <w:tcW w:w="300" w:type="dxa"/>
            <w:vAlign w:val="bottom"/>
            <w:tcBorders>
              <w:bottom w:val="single" w:sz="8" w:color="F3F3F4"/>
            </w:tcBorders>
            <w:shd w:val="clear" w:color="auto" w:fill="F3F3F4"/>
          </w:tcPr>
          <w:p>
            <w:pPr>
              <w:spacing w:after="0"/>
              <w:rPr>
                <w:sz w:val="20"/>
                <w:szCs w:val="20"/>
                <w:color w:val="auto"/>
              </w:rPr>
            </w:pPr>
          </w:p>
        </w:tc>
        <w:tc>
          <w:tcPr>
            <w:tcW w:w="1320" w:type="dxa"/>
            <w:vAlign w:val="bottom"/>
            <w:tcBorders>
              <w:bottom w:val="single" w:sz="8" w:color="F3F3F4"/>
            </w:tcBorders>
            <w:shd w:val="clear" w:color="auto" w:fill="F3F3F4"/>
          </w:tcPr>
          <w:p>
            <w:pPr>
              <w:spacing w:after="0"/>
              <w:rPr>
                <w:sz w:val="20"/>
                <w:szCs w:val="20"/>
                <w:color w:val="auto"/>
              </w:rPr>
            </w:pPr>
          </w:p>
        </w:tc>
        <w:tc>
          <w:tcPr>
            <w:tcW w:w="540" w:type="dxa"/>
            <w:vAlign w:val="bottom"/>
            <w:tcBorders>
              <w:bottom w:val="single" w:sz="8" w:color="F3F3F4"/>
            </w:tcBorders>
            <w:shd w:val="clear" w:color="auto" w:fill="F3F3F4"/>
          </w:tcPr>
          <w:p>
            <w:pPr>
              <w:spacing w:after="0"/>
              <w:rPr>
                <w:sz w:val="20"/>
                <w:szCs w:val="20"/>
                <w:color w:val="auto"/>
              </w:rPr>
            </w:pPr>
          </w:p>
        </w:tc>
      </w:tr>
      <w:tr>
        <w:trPr>
          <w:trHeight w:val="212"/>
        </w:trPr>
        <w:tc>
          <w:tcPr>
            <w:tcW w:w="652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color w:val="auto"/>
              </w:rPr>
              <w:t>Less Fair Value as of Prior Fiscal Year-End of Stock Awards Granted in Prior Fiscal Years That Failed to</w:t>
            </w:r>
          </w:p>
        </w:tc>
        <w:tc>
          <w:tcPr>
            <w:tcW w:w="400" w:type="dxa"/>
            <w:vAlign w:val="bottom"/>
            <w:tcBorders>
              <w:top w:val="single" w:sz="8" w:color="939598"/>
            </w:tcBorders>
            <w:shd w:val="clear" w:color="auto" w:fill="F3F3F4"/>
          </w:tcPr>
          <w:p>
            <w:pPr>
              <w:spacing w:after="0"/>
              <w:rPr>
                <w:sz w:val="18"/>
                <w:szCs w:val="18"/>
                <w:color w:val="auto"/>
              </w:rPr>
            </w:pPr>
          </w:p>
        </w:tc>
        <w:tc>
          <w:tcPr>
            <w:tcW w:w="90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80" w:type="dxa"/>
            <w:vAlign w:val="bottom"/>
            <w:tcBorders>
              <w:top w:val="single" w:sz="8" w:color="939598"/>
            </w:tcBorders>
            <w:shd w:val="clear" w:color="auto" w:fill="F3F3F4"/>
          </w:tcPr>
          <w:p>
            <w:pPr>
              <w:spacing w:after="0"/>
              <w:rPr>
                <w:sz w:val="18"/>
                <w:szCs w:val="18"/>
                <w:color w:val="auto"/>
              </w:rPr>
            </w:pPr>
          </w:p>
        </w:tc>
        <w:tc>
          <w:tcPr>
            <w:tcW w:w="108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300" w:type="dxa"/>
            <w:vAlign w:val="bottom"/>
            <w:tcBorders>
              <w:top w:val="single" w:sz="8" w:color="939598"/>
            </w:tcBorders>
            <w:shd w:val="clear" w:color="auto" w:fill="F3F3F4"/>
          </w:tcPr>
          <w:p>
            <w:pPr>
              <w:spacing w:after="0"/>
              <w:rPr>
                <w:sz w:val="18"/>
                <w:szCs w:val="18"/>
                <w:color w:val="auto"/>
              </w:rPr>
            </w:pPr>
          </w:p>
        </w:tc>
        <w:tc>
          <w:tcPr>
            <w:tcW w:w="1320" w:type="dxa"/>
            <w:vAlign w:val="bottom"/>
            <w:tcBorders>
              <w:top w:val="single" w:sz="8" w:color="939598"/>
            </w:tcBorders>
            <w:shd w:val="clear" w:color="auto" w:fill="F3F3F4"/>
          </w:tcPr>
          <w:p>
            <w:pPr>
              <w:jc w:val="right"/>
              <w:ind w:right="393"/>
              <w:spacing w:after="0"/>
              <w:rPr>
                <w:sz w:val="20"/>
                <w:szCs w:val="20"/>
                <w:color w:val="auto"/>
              </w:rPr>
            </w:pPr>
            <w:r>
              <w:rPr>
                <w:rFonts w:ascii="Arial" w:cs="Arial" w:eastAsia="Arial" w:hAnsi="Arial"/>
                <w:sz w:val="13"/>
                <w:szCs w:val="13"/>
                <w:color w:val="auto"/>
              </w:rPr>
              <w:t>(2,011,558)</w:t>
            </w:r>
          </w:p>
        </w:tc>
        <w:tc>
          <w:tcPr>
            <w:tcW w:w="540" w:type="dxa"/>
            <w:vAlign w:val="bottom"/>
            <w:tcBorders>
              <w:top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r>
      <w:tr>
        <w:trPr>
          <w:trHeight w:val="240"/>
        </w:trPr>
        <w:tc>
          <w:tcPr>
            <w:tcW w:w="65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Meet Applicable Vesting Conditions During Fiscal Year</w:t>
            </w:r>
          </w:p>
        </w:tc>
        <w:tc>
          <w:tcPr>
            <w:tcW w:w="400" w:type="dxa"/>
            <w:vAlign w:val="bottom"/>
            <w:tcBorders>
              <w:bottom w:val="single" w:sz="8" w:color="F3F3F4"/>
            </w:tcBorders>
            <w:shd w:val="clear" w:color="auto" w:fill="F3F3F4"/>
          </w:tcPr>
          <w:p>
            <w:pPr>
              <w:spacing w:after="0"/>
              <w:rPr>
                <w:sz w:val="20"/>
                <w:szCs w:val="20"/>
                <w:color w:val="auto"/>
              </w:rPr>
            </w:pPr>
          </w:p>
        </w:tc>
        <w:tc>
          <w:tcPr>
            <w:tcW w:w="900" w:type="dxa"/>
            <w:vAlign w:val="bottom"/>
            <w:tcBorders>
              <w:bottom w:val="single" w:sz="8" w:color="F3F3F4"/>
            </w:tcBorders>
            <w:shd w:val="clear" w:color="auto" w:fill="F3F3F4"/>
          </w:tcPr>
          <w:p>
            <w:pPr>
              <w:spacing w:after="0"/>
              <w:rPr>
                <w:sz w:val="20"/>
                <w:szCs w:val="20"/>
                <w:color w:val="auto"/>
              </w:rPr>
            </w:pPr>
          </w:p>
        </w:tc>
        <w:tc>
          <w:tcPr>
            <w:tcW w:w="180" w:type="dxa"/>
            <w:vAlign w:val="bottom"/>
            <w:tcBorders>
              <w:bottom w:val="single" w:sz="8" w:color="F3F3F4"/>
            </w:tcBorders>
            <w:shd w:val="clear" w:color="auto" w:fill="F3F3F4"/>
          </w:tcPr>
          <w:p>
            <w:pPr>
              <w:spacing w:after="0"/>
              <w:rPr>
                <w:sz w:val="20"/>
                <w:szCs w:val="20"/>
                <w:color w:val="auto"/>
              </w:rPr>
            </w:pPr>
          </w:p>
        </w:tc>
        <w:tc>
          <w:tcPr>
            <w:tcW w:w="1080" w:type="dxa"/>
            <w:vAlign w:val="bottom"/>
            <w:tcBorders>
              <w:bottom w:val="single" w:sz="8" w:color="F3F3F4"/>
            </w:tcBorders>
            <w:shd w:val="clear" w:color="auto" w:fill="F3F3F4"/>
          </w:tcPr>
          <w:p>
            <w:pPr>
              <w:spacing w:after="0"/>
              <w:rPr>
                <w:sz w:val="20"/>
                <w:szCs w:val="20"/>
                <w:color w:val="auto"/>
              </w:rPr>
            </w:pPr>
          </w:p>
        </w:tc>
        <w:tc>
          <w:tcPr>
            <w:tcW w:w="300" w:type="dxa"/>
            <w:vAlign w:val="bottom"/>
            <w:tcBorders>
              <w:bottom w:val="single" w:sz="8" w:color="F3F3F4"/>
            </w:tcBorders>
            <w:shd w:val="clear" w:color="auto" w:fill="F3F3F4"/>
          </w:tcPr>
          <w:p>
            <w:pPr>
              <w:spacing w:after="0"/>
              <w:rPr>
                <w:sz w:val="20"/>
                <w:szCs w:val="20"/>
                <w:color w:val="auto"/>
              </w:rPr>
            </w:pPr>
          </w:p>
        </w:tc>
        <w:tc>
          <w:tcPr>
            <w:tcW w:w="1320" w:type="dxa"/>
            <w:vAlign w:val="bottom"/>
            <w:tcBorders>
              <w:bottom w:val="single" w:sz="8" w:color="F3F3F4"/>
            </w:tcBorders>
            <w:shd w:val="clear" w:color="auto" w:fill="F3F3F4"/>
          </w:tcPr>
          <w:p>
            <w:pPr>
              <w:spacing w:after="0"/>
              <w:rPr>
                <w:sz w:val="20"/>
                <w:szCs w:val="20"/>
                <w:color w:val="auto"/>
              </w:rPr>
            </w:pPr>
          </w:p>
        </w:tc>
        <w:tc>
          <w:tcPr>
            <w:tcW w:w="540" w:type="dxa"/>
            <w:vAlign w:val="bottom"/>
            <w:tcBorders>
              <w:bottom w:val="single" w:sz="8" w:color="F3F3F4"/>
            </w:tcBorders>
            <w:shd w:val="clear" w:color="auto" w:fill="F3F3F4"/>
          </w:tcPr>
          <w:p>
            <w:pPr>
              <w:spacing w:after="0"/>
              <w:rPr>
                <w:sz w:val="20"/>
                <w:szCs w:val="20"/>
                <w:color w:val="auto"/>
              </w:rPr>
            </w:pPr>
          </w:p>
        </w:tc>
      </w:tr>
      <w:tr>
        <w:trPr>
          <w:trHeight w:val="212"/>
        </w:trPr>
        <w:tc>
          <w:tcPr>
            <w:tcW w:w="652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color w:val="auto"/>
              </w:rPr>
              <w:t>Plus Dividends or Other Earnings Paid on Stock Awards in the Fiscal Year Prior to the Vesting Date that are</w:t>
            </w:r>
          </w:p>
        </w:tc>
        <w:tc>
          <w:tcPr>
            <w:tcW w:w="400" w:type="dxa"/>
            <w:vAlign w:val="bottom"/>
            <w:tcBorders>
              <w:top w:val="single" w:sz="8" w:color="939598"/>
            </w:tcBorders>
            <w:shd w:val="clear" w:color="auto" w:fill="F3F3F4"/>
          </w:tcPr>
          <w:p>
            <w:pPr>
              <w:spacing w:after="0"/>
              <w:rPr>
                <w:sz w:val="18"/>
                <w:szCs w:val="18"/>
                <w:color w:val="auto"/>
              </w:rPr>
            </w:pPr>
          </w:p>
        </w:tc>
        <w:tc>
          <w:tcPr>
            <w:tcW w:w="90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80" w:type="dxa"/>
            <w:vAlign w:val="bottom"/>
            <w:tcBorders>
              <w:top w:val="single" w:sz="8" w:color="939598"/>
            </w:tcBorders>
            <w:shd w:val="clear" w:color="auto" w:fill="F3F3F4"/>
          </w:tcPr>
          <w:p>
            <w:pPr>
              <w:spacing w:after="0"/>
              <w:rPr>
                <w:sz w:val="18"/>
                <w:szCs w:val="18"/>
                <w:color w:val="auto"/>
              </w:rPr>
            </w:pPr>
          </w:p>
        </w:tc>
        <w:tc>
          <w:tcPr>
            <w:tcW w:w="108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300" w:type="dxa"/>
            <w:vAlign w:val="bottom"/>
            <w:tcBorders>
              <w:top w:val="single" w:sz="8" w:color="939598"/>
            </w:tcBorders>
            <w:shd w:val="clear" w:color="auto" w:fill="F3F3F4"/>
          </w:tcPr>
          <w:p>
            <w:pPr>
              <w:spacing w:after="0"/>
              <w:rPr>
                <w:sz w:val="18"/>
                <w:szCs w:val="18"/>
                <w:color w:val="auto"/>
              </w:rPr>
            </w:pPr>
          </w:p>
        </w:tc>
        <w:tc>
          <w:tcPr>
            <w:tcW w:w="1320" w:type="dxa"/>
            <w:vAlign w:val="bottom"/>
            <w:tcBorders>
              <w:top w:val="single" w:sz="8" w:color="939598"/>
            </w:tcBorders>
            <w:shd w:val="clear" w:color="auto" w:fill="F3F3F4"/>
          </w:tcPr>
          <w:p>
            <w:pPr>
              <w:jc w:val="right"/>
              <w:ind w:right="393"/>
              <w:spacing w:after="0"/>
              <w:rPr>
                <w:sz w:val="20"/>
                <w:szCs w:val="20"/>
                <w:color w:val="auto"/>
              </w:rPr>
            </w:pPr>
            <w:r>
              <w:rPr>
                <w:rFonts w:ascii="Arial" w:cs="Arial" w:eastAsia="Arial" w:hAnsi="Arial"/>
                <w:sz w:val="13"/>
                <w:szCs w:val="13"/>
                <w:color w:val="auto"/>
              </w:rPr>
              <w:t>0</w:t>
            </w:r>
          </w:p>
        </w:tc>
        <w:tc>
          <w:tcPr>
            <w:tcW w:w="540" w:type="dxa"/>
            <w:vAlign w:val="bottom"/>
            <w:tcBorders>
              <w:top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w:t>
            </w:r>
          </w:p>
        </w:tc>
      </w:tr>
      <w:tr>
        <w:trPr>
          <w:trHeight w:val="240"/>
        </w:trPr>
        <w:tc>
          <w:tcPr>
            <w:tcW w:w="652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not otherwise included in the Total Compensation for the Fiscal Year</w:t>
            </w:r>
          </w:p>
        </w:tc>
        <w:tc>
          <w:tcPr>
            <w:tcW w:w="400" w:type="dxa"/>
            <w:vAlign w:val="bottom"/>
            <w:tcBorders>
              <w:bottom w:val="single" w:sz="8" w:color="F3F3F4"/>
            </w:tcBorders>
            <w:shd w:val="clear" w:color="auto" w:fill="F3F3F4"/>
          </w:tcPr>
          <w:p>
            <w:pPr>
              <w:spacing w:after="0"/>
              <w:rPr>
                <w:sz w:val="20"/>
                <w:szCs w:val="20"/>
                <w:color w:val="auto"/>
              </w:rPr>
            </w:pPr>
          </w:p>
        </w:tc>
        <w:tc>
          <w:tcPr>
            <w:tcW w:w="900" w:type="dxa"/>
            <w:vAlign w:val="bottom"/>
            <w:tcBorders>
              <w:bottom w:val="single" w:sz="8" w:color="F3F3F4"/>
            </w:tcBorders>
            <w:shd w:val="clear" w:color="auto" w:fill="F3F3F4"/>
          </w:tcPr>
          <w:p>
            <w:pPr>
              <w:spacing w:after="0"/>
              <w:rPr>
                <w:sz w:val="20"/>
                <w:szCs w:val="20"/>
                <w:color w:val="auto"/>
              </w:rPr>
            </w:pPr>
          </w:p>
        </w:tc>
        <w:tc>
          <w:tcPr>
            <w:tcW w:w="180" w:type="dxa"/>
            <w:vAlign w:val="bottom"/>
            <w:tcBorders>
              <w:bottom w:val="single" w:sz="8" w:color="F3F3F4"/>
            </w:tcBorders>
            <w:shd w:val="clear" w:color="auto" w:fill="F3F3F4"/>
          </w:tcPr>
          <w:p>
            <w:pPr>
              <w:spacing w:after="0"/>
              <w:rPr>
                <w:sz w:val="20"/>
                <w:szCs w:val="20"/>
                <w:color w:val="auto"/>
              </w:rPr>
            </w:pPr>
          </w:p>
        </w:tc>
        <w:tc>
          <w:tcPr>
            <w:tcW w:w="1080" w:type="dxa"/>
            <w:vAlign w:val="bottom"/>
            <w:tcBorders>
              <w:bottom w:val="single" w:sz="8" w:color="F3F3F4"/>
            </w:tcBorders>
            <w:shd w:val="clear" w:color="auto" w:fill="F3F3F4"/>
          </w:tcPr>
          <w:p>
            <w:pPr>
              <w:spacing w:after="0"/>
              <w:rPr>
                <w:sz w:val="20"/>
                <w:szCs w:val="20"/>
                <w:color w:val="auto"/>
              </w:rPr>
            </w:pPr>
          </w:p>
        </w:tc>
        <w:tc>
          <w:tcPr>
            <w:tcW w:w="300" w:type="dxa"/>
            <w:vAlign w:val="bottom"/>
            <w:tcBorders>
              <w:bottom w:val="single" w:sz="8" w:color="F3F3F4"/>
            </w:tcBorders>
            <w:shd w:val="clear" w:color="auto" w:fill="F3F3F4"/>
          </w:tcPr>
          <w:p>
            <w:pPr>
              <w:spacing w:after="0"/>
              <w:rPr>
                <w:sz w:val="20"/>
                <w:szCs w:val="20"/>
                <w:color w:val="auto"/>
              </w:rPr>
            </w:pPr>
          </w:p>
        </w:tc>
        <w:tc>
          <w:tcPr>
            <w:tcW w:w="1320" w:type="dxa"/>
            <w:vAlign w:val="bottom"/>
            <w:tcBorders>
              <w:bottom w:val="single" w:sz="8" w:color="F3F3F4"/>
            </w:tcBorders>
            <w:shd w:val="clear" w:color="auto" w:fill="F3F3F4"/>
          </w:tcPr>
          <w:p>
            <w:pPr>
              <w:spacing w:after="0"/>
              <w:rPr>
                <w:sz w:val="20"/>
                <w:szCs w:val="20"/>
                <w:color w:val="auto"/>
              </w:rPr>
            </w:pPr>
          </w:p>
        </w:tc>
        <w:tc>
          <w:tcPr>
            <w:tcW w:w="540" w:type="dxa"/>
            <w:vAlign w:val="bottom"/>
            <w:tcBorders>
              <w:bottom w:val="single" w:sz="8" w:color="F3F3F4"/>
            </w:tcBorders>
            <w:shd w:val="clear" w:color="auto" w:fill="F3F3F4"/>
          </w:tcPr>
          <w:p>
            <w:pPr>
              <w:spacing w:after="0"/>
              <w:rPr>
                <w:sz w:val="20"/>
                <w:szCs w:val="20"/>
                <w:color w:val="auto"/>
              </w:rPr>
            </w:pPr>
          </w:p>
        </w:tc>
      </w:tr>
      <w:tr>
        <w:trPr>
          <w:trHeight w:val="301"/>
        </w:trPr>
        <w:tc>
          <w:tcPr>
            <w:tcW w:w="652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Compensation Actually Paid (CAP)</w:t>
            </w:r>
          </w:p>
        </w:tc>
        <w:tc>
          <w:tcPr>
            <w:tcW w:w="400" w:type="dxa"/>
            <w:vAlign w:val="bottom"/>
            <w:tcBorders>
              <w:top w:val="single" w:sz="8" w:color="939598"/>
              <w:bottom w:val="single" w:sz="8" w:color="F3F3F4"/>
            </w:tcBorders>
            <w:shd w:val="clear" w:color="auto" w:fill="F3F3F4"/>
          </w:tcPr>
          <w:p>
            <w:pPr>
              <w:jc w:val="right"/>
              <w:ind w:right="93"/>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3,230,464</w:t>
            </w:r>
          </w:p>
        </w:tc>
        <w:tc>
          <w:tcPr>
            <w:tcW w:w="18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5,361,519</w:t>
            </w:r>
          </w:p>
        </w:tc>
        <w:tc>
          <w:tcPr>
            <w:tcW w:w="300" w:type="dxa"/>
            <w:vAlign w:val="bottom"/>
            <w:tcBorders>
              <w:top w:val="single" w:sz="8" w:color="939598"/>
              <w:bottom w:val="single" w:sz="8" w:color="F3F3F4"/>
            </w:tcBorders>
            <w:shd w:val="clear" w:color="auto" w:fill="F3F3F4"/>
          </w:tcPr>
          <w:p>
            <w:pPr>
              <w:ind w:left="80"/>
              <w:spacing w:after="0"/>
              <w:rPr>
                <w:sz w:val="20"/>
                <w:szCs w:val="20"/>
                <w:color w:val="auto"/>
              </w:rPr>
            </w:pPr>
            <w:r>
              <w:rPr>
                <w:rFonts w:ascii="Arial" w:cs="Arial" w:eastAsia="Arial" w:hAnsi="Arial"/>
                <w:sz w:val="13"/>
                <w:szCs w:val="13"/>
                <w:b w:val="1"/>
                <w:bCs w:val="1"/>
                <w:color w:val="auto"/>
              </w:rPr>
              <w:t>$</w:t>
            </w:r>
          </w:p>
        </w:tc>
        <w:tc>
          <w:tcPr>
            <w:tcW w:w="1320" w:type="dxa"/>
            <w:vAlign w:val="bottom"/>
            <w:tcBorders>
              <w:top w:val="single" w:sz="8" w:color="939598"/>
              <w:bottom w:val="single" w:sz="8" w:color="F3F3F4"/>
            </w:tcBorders>
            <w:shd w:val="clear" w:color="auto" w:fill="F3F3F4"/>
          </w:tcPr>
          <w:p>
            <w:pPr>
              <w:jc w:val="right"/>
              <w:ind w:right="393"/>
              <w:spacing w:after="0"/>
              <w:rPr>
                <w:sz w:val="20"/>
                <w:szCs w:val="20"/>
                <w:color w:val="auto"/>
              </w:rPr>
            </w:pPr>
            <w:r>
              <w:rPr>
                <w:rFonts w:ascii="Arial" w:cs="Arial" w:eastAsia="Arial" w:hAnsi="Arial"/>
                <w:sz w:val="13"/>
                <w:szCs w:val="13"/>
                <w:b w:val="1"/>
                <w:bCs w:val="1"/>
                <w:color w:val="auto"/>
              </w:rPr>
              <w:t>2,306,171</w:t>
            </w:r>
          </w:p>
        </w:tc>
        <w:tc>
          <w:tcPr>
            <w:tcW w:w="540" w:type="dxa"/>
            <w:vAlign w:val="bottom"/>
            <w:tcBorders>
              <w:top w:val="single" w:sz="8" w:color="939598"/>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b w:val="1"/>
                <w:bCs w:val="1"/>
                <w:color w:val="auto"/>
              </w:rPr>
              <w:t>N/A</w:t>
            </w:r>
          </w:p>
        </w:tc>
      </w:tr>
      <w:tr>
        <w:trPr>
          <w:trHeight w:val="427"/>
        </w:trPr>
        <w:tc>
          <w:tcPr>
            <w:tcW w:w="6520" w:type="dxa"/>
            <w:vAlign w:val="bottom"/>
            <w:tcBorders>
              <w:top w:val="single" w:sz="8" w:color="939598"/>
              <w:bottom w:val="single" w:sz="8" w:color="D1D2D4"/>
            </w:tcBorders>
          </w:tcPr>
          <w:p>
            <w:pPr>
              <w:spacing w:after="0"/>
              <w:rPr>
                <w:sz w:val="24"/>
                <w:szCs w:val="24"/>
                <w:color w:val="auto"/>
              </w:rPr>
            </w:pPr>
          </w:p>
        </w:tc>
        <w:tc>
          <w:tcPr>
            <w:tcW w:w="400" w:type="dxa"/>
            <w:vAlign w:val="bottom"/>
            <w:tcBorders>
              <w:top w:val="single" w:sz="8" w:color="939598"/>
              <w:bottom w:val="single" w:sz="8" w:color="D1D2D4"/>
            </w:tcBorders>
          </w:tcPr>
          <w:p>
            <w:pPr>
              <w:spacing w:after="0"/>
              <w:rPr>
                <w:sz w:val="24"/>
                <w:szCs w:val="24"/>
                <w:color w:val="auto"/>
              </w:rPr>
            </w:pPr>
          </w:p>
        </w:tc>
        <w:tc>
          <w:tcPr>
            <w:tcW w:w="900" w:type="dxa"/>
            <w:vAlign w:val="bottom"/>
            <w:tcBorders>
              <w:top w:val="single" w:sz="8" w:color="939598"/>
              <w:bottom w:val="single" w:sz="8" w:color="D1D2D4"/>
            </w:tcBorders>
          </w:tcPr>
          <w:p>
            <w:pPr>
              <w:spacing w:after="0"/>
              <w:rPr>
                <w:sz w:val="24"/>
                <w:szCs w:val="24"/>
                <w:color w:val="auto"/>
              </w:rPr>
            </w:pPr>
          </w:p>
        </w:tc>
        <w:tc>
          <w:tcPr>
            <w:tcW w:w="180" w:type="dxa"/>
            <w:vAlign w:val="bottom"/>
            <w:tcBorders>
              <w:top w:val="single" w:sz="8" w:color="939598"/>
              <w:bottom w:val="single" w:sz="8" w:color="D1D2D4"/>
            </w:tcBorders>
          </w:tcPr>
          <w:p>
            <w:pPr>
              <w:spacing w:after="0"/>
              <w:rPr>
                <w:sz w:val="24"/>
                <w:szCs w:val="24"/>
                <w:color w:val="auto"/>
              </w:rPr>
            </w:pPr>
          </w:p>
        </w:tc>
        <w:tc>
          <w:tcPr>
            <w:tcW w:w="1080" w:type="dxa"/>
            <w:vAlign w:val="bottom"/>
            <w:tcBorders>
              <w:top w:val="single" w:sz="8" w:color="939598"/>
              <w:bottom w:val="single" w:sz="8" w:color="D1D2D4"/>
            </w:tcBorders>
          </w:tcPr>
          <w:p>
            <w:pPr>
              <w:spacing w:after="0"/>
              <w:rPr>
                <w:sz w:val="24"/>
                <w:szCs w:val="24"/>
                <w:color w:val="auto"/>
              </w:rPr>
            </w:pPr>
          </w:p>
        </w:tc>
        <w:tc>
          <w:tcPr>
            <w:tcW w:w="300" w:type="dxa"/>
            <w:vAlign w:val="bottom"/>
            <w:tcBorders>
              <w:top w:val="single" w:sz="8" w:color="939598"/>
              <w:bottom w:val="single" w:sz="8" w:color="D1D2D4"/>
            </w:tcBorders>
          </w:tcPr>
          <w:p>
            <w:pPr>
              <w:spacing w:after="0"/>
              <w:rPr>
                <w:sz w:val="24"/>
                <w:szCs w:val="24"/>
                <w:color w:val="auto"/>
              </w:rPr>
            </w:pPr>
          </w:p>
        </w:tc>
        <w:tc>
          <w:tcPr>
            <w:tcW w:w="1320" w:type="dxa"/>
            <w:vAlign w:val="bottom"/>
            <w:tcBorders>
              <w:top w:val="single" w:sz="8" w:color="939598"/>
              <w:bottom w:val="single" w:sz="8" w:color="D1D2D4"/>
            </w:tcBorders>
          </w:tcPr>
          <w:p>
            <w:pPr>
              <w:spacing w:after="0"/>
              <w:rPr>
                <w:sz w:val="24"/>
                <w:szCs w:val="24"/>
                <w:color w:val="auto"/>
              </w:rPr>
            </w:pPr>
          </w:p>
        </w:tc>
        <w:tc>
          <w:tcPr>
            <w:tcW w:w="540" w:type="dxa"/>
            <w:vAlign w:val="bottom"/>
            <w:tcBorders>
              <w:top w:val="single" w:sz="8" w:color="939598"/>
              <w:bottom w:val="single" w:sz="8" w:color="D1D2D4"/>
            </w:tcBorders>
          </w:tcPr>
          <w:p>
            <w:pPr>
              <w:spacing w:after="0"/>
              <w:rPr>
                <w:sz w:val="24"/>
                <w:szCs w:val="24"/>
                <w:color w:val="auto"/>
              </w:rPr>
            </w:pPr>
          </w:p>
        </w:tc>
      </w:tr>
      <w:tr>
        <w:trPr>
          <w:trHeight w:val="290"/>
        </w:trPr>
        <w:tc>
          <w:tcPr>
            <w:tcW w:w="6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color w:val="auto"/>
              </w:rPr>
              <w:t>PROPOSAL 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45</w:t>
            </w:r>
          </w:p>
        </w:tc>
      </w:tr>
    </w:tbl>
    <w:p>
      <w:pPr>
        <w:sectPr>
          <w:pgSz w:w="11900" w:h="16838" w:orient="portrait"/>
          <w:cols w:equalWidth="0" w:num="1">
            <w:col w:w="11240"/>
          </w:cols>
          <w:pgMar w:left="320" w:top="850"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16"/>
          <w:szCs w:val="16"/>
          <w:b w:val="1"/>
          <w:bCs w:val="1"/>
          <w:color w:val="auto"/>
        </w:rPr>
        <w:t>Adjustments to Determine Compensation Actually Paid to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121285</wp:posOffset>
            </wp:positionV>
            <wp:extent cx="71329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860" w:type="dxa"/>
            <w:vAlign w:val="bottom"/>
          </w:tcPr>
          <w:p>
            <w:pPr>
              <w:ind w:left="100"/>
              <w:spacing w:after="0"/>
              <w:rPr>
                <w:sz w:val="20"/>
                <w:szCs w:val="20"/>
                <w:color w:val="auto"/>
              </w:rPr>
            </w:pPr>
            <w:r>
              <w:rPr>
                <w:rFonts w:ascii="Arial" w:cs="Arial" w:eastAsia="Arial" w:hAnsi="Arial"/>
                <w:sz w:val="12"/>
                <w:szCs w:val="12"/>
                <w:b w:val="1"/>
                <w:bCs w:val="1"/>
                <w:color w:val="auto"/>
              </w:rPr>
              <w:t>Average Compensation</w:t>
            </w:r>
          </w:p>
        </w:tc>
        <w:tc>
          <w:tcPr>
            <w:tcW w:w="146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146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146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1000" w:type="dxa"/>
            <w:vAlign w:val="bottom"/>
          </w:tcPr>
          <w:p>
            <w:pPr>
              <w:jc w:val="right"/>
              <w:ind w:right="14"/>
              <w:spacing w:after="0"/>
              <w:rPr>
                <w:sz w:val="20"/>
                <w:szCs w:val="20"/>
                <w:color w:val="auto"/>
              </w:rPr>
            </w:pPr>
            <w:r>
              <w:rPr>
                <w:rFonts w:ascii="Arial" w:cs="Arial" w:eastAsia="Arial" w:hAnsi="Arial"/>
                <w:sz w:val="12"/>
                <w:szCs w:val="12"/>
                <w:b w:val="1"/>
                <w:bCs w:val="1"/>
                <w:color w:val="auto"/>
              </w:rPr>
              <w:t>2024</w:t>
            </w:r>
          </w:p>
        </w:tc>
      </w:tr>
      <w:tr>
        <w:trPr>
          <w:trHeight w:val="32"/>
        </w:trPr>
        <w:tc>
          <w:tcPr>
            <w:tcW w:w="5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586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SCT Total Compensation</w:t>
            </w:r>
          </w:p>
        </w:tc>
        <w:tc>
          <w:tcPr>
            <w:tcW w:w="146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$ 1,039,962</w:t>
            </w:r>
          </w:p>
        </w:tc>
        <w:tc>
          <w:tcPr>
            <w:tcW w:w="146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$ 1,428,876</w:t>
            </w:r>
          </w:p>
        </w:tc>
        <w:tc>
          <w:tcPr>
            <w:tcW w:w="1460" w:type="dxa"/>
            <w:vAlign w:val="bottom"/>
            <w:tcBorders>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$ 1,434,053</w:t>
            </w:r>
          </w:p>
        </w:tc>
        <w:tc>
          <w:tcPr>
            <w:tcW w:w="1000" w:type="dxa"/>
            <w:vAlign w:val="bottom"/>
            <w:tcBorders>
              <w:bottom w:val="single" w:sz="8" w:color="F3F3F4"/>
            </w:tcBorders>
            <w:shd w:val="clear" w:color="auto" w:fill="F3F3F4"/>
          </w:tcPr>
          <w:p>
            <w:pPr>
              <w:jc w:val="right"/>
              <w:ind w:right="14"/>
              <w:spacing w:after="0"/>
              <w:rPr>
                <w:sz w:val="20"/>
                <w:szCs w:val="20"/>
                <w:color w:val="auto"/>
              </w:rPr>
            </w:pPr>
            <w:r>
              <w:rPr>
                <w:rFonts w:ascii="Arial" w:cs="Arial" w:eastAsia="Arial" w:hAnsi="Arial"/>
                <w:sz w:val="13"/>
                <w:szCs w:val="13"/>
                <w:color w:val="auto"/>
              </w:rPr>
              <w:t>$ 1,289,492</w:t>
            </w:r>
          </w:p>
        </w:tc>
      </w:tr>
      <w:tr>
        <w:trPr>
          <w:trHeight w:val="250"/>
        </w:trPr>
        <w:tc>
          <w:tcPr>
            <w:tcW w:w="586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Less Equity Award Values Reported in SCT</w:t>
            </w:r>
          </w:p>
        </w:tc>
        <w:tc>
          <w:tcPr>
            <w:tcW w:w="14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(257,270)</w:t>
            </w:r>
          </w:p>
        </w:tc>
        <w:tc>
          <w:tcPr>
            <w:tcW w:w="14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(543,430)</w:t>
            </w:r>
          </w:p>
        </w:tc>
        <w:tc>
          <w:tcPr>
            <w:tcW w:w="14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(576,795)</w:t>
            </w:r>
          </w:p>
        </w:tc>
        <w:tc>
          <w:tcPr>
            <w:tcW w:w="1000" w:type="dxa"/>
            <w:vAlign w:val="bottom"/>
            <w:tcBorders>
              <w:top w:val="single" w:sz="8" w:color="939598"/>
              <w:bottom w:val="single" w:sz="8" w:color="F3F3F4"/>
            </w:tcBorders>
            <w:shd w:val="clear" w:color="auto" w:fill="F3F3F4"/>
          </w:tcPr>
          <w:p>
            <w:pPr>
              <w:jc w:val="right"/>
              <w:ind w:right="14"/>
              <w:spacing w:after="0"/>
              <w:rPr>
                <w:sz w:val="20"/>
                <w:szCs w:val="20"/>
                <w:color w:val="auto"/>
              </w:rPr>
            </w:pPr>
            <w:r>
              <w:rPr>
                <w:rFonts w:ascii="Arial" w:cs="Arial" w:eastAsia="Arial" w:hAnsi="Arial"/>
                <w:sz w:val="13"/>
                <w:szCs w:val="13"/>
                <w:color w:val="auto"/>
              </w:rPr>
              <w:t>(493,819)</w:t>
            </w:r>
          </w:p>
        </w:tc>
      </w:tr>
      <w:tr>
        <w:trPr>
          <w:trHeight w:val="187"/>
        </w:trPr>
        <w:tc>
          <w:tcPr>
            <w:tcW w:w="586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color w:val="auto"/>
              </w:rPr>
              <w:t>Plus Fair Value at Fiscal Year-End of Outstanding and Unvested Stock Awards Granted in Fiscal</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179,064</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517,034</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645,518</w:t>
            </w:r>
          </w:p>
        </w:tc>
        <w:tc>
          <w:tcPr>
            <w:tcW w:w="1000" w:type="dxa"/>
            <w:vAlign w:val="bottom"/>
            <w:tcBorders>
              <w:top w:val="single" w:sz="8" w:color="939598"/>
            </w:tcBorders>
            <w:shd w:val="clear" w:color="auto" w:fill="F3F3F4"/>
          </w:tcPr>
          <w:p>
            <w:pPr>
              <w:jc w:val="right"/>
              <w:ind w:right="14"/>
              <w:spacing w:after="0"/>
              <w:rPr>
                <w:sz w:val="20"/>
                <w:szCs w:val="20"/>
                <w:color w:val="auto"/>
              </w:rPr>
            </w:pPr>
            <w:r>
              <w:rPr>
                <w:rFonts w:ascii="Arial" w:cs="Arial" w:eastAsia="Arial" w:hAnsi="Arial"/>
                <w:sz w:val="13"/>
                <w:szCs w:val="13"/>
                <w:color w:val="auto"/>
              </w:rPr>
              <w:t>599,886</w:t>
            </w:r>
          </w:p>
        </w:tc>
      </w:tr>
      <w:tr>
        <w:trPr>
          <w:trHeight w:val="214"/>
        </w:trPr>
        <w:tc>
          <w:tcPr>
            <w:tcW w:w="586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Year</w:t>
            </w:r>
          </w:p>
        </w:tc>
        <w:tc>
          <w:tcPr>
            <w:tcW w:w="1460" w:type="dxa"/>
            <w:vAlign w:val="bottom"/>
            <w:tcBorders>
              <w:bottom w:val="single" w:sz="8" w:color="F3F3F4"/>
            </w:tcBorders>
            <w:shd w:val="clear" w:color="auto" w:fill="F3F3F4"/>
          </w:tcPr>
          <w:p>
            <w:pPr>
              <w:spacing w:after="0"/>
              <w:rPr>
                <w:sz w:val="18"/>
                <w:szCs w:val="18"/>
                <w:color w:val="auto"/>
              </w:rPr>
            </w:pPr>
          </w:p>
        </w:tc>
        <w:tc>
          <w:tcPr>
            <w:tcW w:w="1460" w:type="dxa"/>
            <w:vAlign w:val="bottom"/>
            <w:tcBorders>
              <w:bottom w:val="single" w:sz="8" w:color="F3F3F4"/>
            </w:tcBorders>
            <w:shd w:val="clear" w:color="auto" w:fill="F3F3F4"/>
          </w:tcPr>
          <w:p>
            <w:pPr>
              <w:spacing w:after="0"/>
              <w:rPr>
                <w:sz w:val="18"/>
                <w:szCs w:val="18"/>
                <w:color w:val="auto"/>
              </w:rPr>
            </w:pPr>
          </w:p>
        </w:tc>
        <w:tc>
          <w:tcPr>
            <w:tcW w:w="1460" w:type="dxa"/>
            <w:vAlign w:val="bottom"/>
            <w:tcBorders>
              <w:bottom w:val="single" w:sz="8" w:color="F3F3F4"/>
            </w:tcBorders>
            <w:shd w:val="clear" w:color="auto" w:fill="F3F3F4"/>
          </w:tcPr>
          <w:p>
            <w:pPr>
              <w:spacing w:after="0"/>
              <w:rPr>
                <w:sz w:val="18"/>
                <w:szCs w:val="18"/>
                <w:color w:val="auto"/>
              </w:rPr>
            </w:pPr>
          </w:p>
        </w:tc>
        <w:tc>
          <w:tcPr>
            <w:tcW w:w="1000" w:type="dxa"/>
            <w:vAlign w:val="bottom"/>
            <w:tcBorders>
              <w:bottom w:val="single" w:sz="8" w:color="F3F3F4"/>
            </w:tcBorders>
            <w:shd w:val="clear" w:color="auto" w:fill="F3F3F4"/>
          </w:tcPr>
          <w:p>
            <w:pPr>
              <w:spacing w:after="0"/>
              <w:rPr>
                <w:sz w:val="18"/>
                <w:szCs w:val="18"/>
                <w:color w:val="auto"/>
              </w:rPr>
            </w:pPr>
          </w:p>
        </w:tc>
      </w:tr>
      <w:tr>
        <w:trPr>
          <w:trHeight w:val="250"/>
        </w:trPr>
        <w:tc>
          <w:tcPr>
            <w:tcW w:w="586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Change in Fair Value of Outstanding and Unvested Stock Awards Granted in Prior Fiscal Years</w:t>
            </w:r>
          </w:p>
        </w:tc>
        <w:tc>
          <w:tcPr>
            <w:tcW w:w="14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(23,168)</w:t>
            </w:r>
          </w:p>
        </w:tc>
        <w:tc>
          <w:tcPr>
            <w:tcW w:w="14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(15,413)</w:t>
            </w:r>
          </w:p>
        </w:tc>
        <w:tc>
          <w:tcPr>
            <w:tcW w:w="14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color w:val="auto"/>
              </w:rPr>
              <w:t>332,101</w:t>
            </w:r>
          </w:p>
        </w:tc>
        <w:tc>
          <w:tcPr>
            <w:tcW w:w="1000" w:type="dxa"/>
            <w:vAlign w:val="bottom"/>
            <w:tcBorders>
              <w:top w:val="single" w:sz="8" w:color="939598"/>
              <w:bottom w:val="single" w:sz="8" w:color="F3F3F4"/>
            </w:tcBorders>
            <w:shd w:val="clear" w:color="auto" w:fill="F3F3F4"/>
          </w:tcPr>
          <w:p>
            <w:pPr>
              <w:jc w:val="right"/>
              <w:ind w:right="14"/>
              <w:spacing w:after="0"/>
              <w:rPr>
                <w:sz w:val="20"/>
                <w:szCs w:val="20"/>
                <w:color w:val="auto"/>
              </w:rPr>
            </w:pPr>
            <w:r>
              <w:rPr>
                <w:rFonts w:ascii="Arial" w:cs="Arial" w:eastAsia="Arial" w:hAnsi="Arial"/>
                <w:sz w:val="13"/>
                <w:szCs w:val="13"/>
                <w:color w:val="auto"/>
              </w:rPr>
              <w:t>493,583</w:t>
            </w:r>
          </w:p>
        </w:tc>
      </w:tr>
      <w:tr>
        <w:trPr>
          <w:trHeight w:val="187"/>
        </w:trPr>
        <w:tc>
          <w:tcPr>
            <w:tcW w:w="586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color w:val="auto"/>
              </w:rPr>
              <w:t>Plus Fair Value at Vesting of Stock Awards Granted in Fiscal Year That Vested During Fiscal</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0" w:type="dxa"/>
            <w:vAlign w:val="bottom"/>
            <w:tcBorders>
              <w:top w:val="single" w:sz="8" w:color="939598"/>
            </w:tcBorders>
            <w:shd w:val="clear" w:color="auto" w:fill="F3F3F4"/>
          </w:tcPr>
          <w:p>
            <w:pPr>
              <w:jc w:val="right"/>
              <w:ind w:right="14"/>
              <w:spacing w:after="0"/>
              <w:rPr>
                <w:sz w:val="20"/>
                <w:szCs w:val="20"/>
                <w:color w:val="auto"/>
              </w:rPr>
            </w:pPr>
            <w:r>
              <w:rPr>
                <w:rFonts w:ascii="Arial" w:cs="Arial" w:eastAsia="Arial" w:hAnsi="Arial"/>
                <w:sz w:val="13"/>
                <w:szCs w:val="13"/>
                <w:color w:val="auto"/>
              </w:rPr>
              <w:t>0</w:t>
            </w:r>
          </w:p>
        </w:tc>
      </w:tr>
      <w:tr>
        <w:trPr>
          <w:trHeight w:val="214"/>
        </w:trPr>
        <w:tc>
          <w:tcPr>
            <w:tcW w:w="586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Year</w:t>
            </w:r>
          </w:p>
        </w:tc>
        <w:tc>
          <w:tcPr>
            <w:tcW w:w="1460" w:type="dxa"/>
            <w:vAlign w:val="bottom"/>
            <w:tcBorders>
              <w:bottom w:val="single" w:sz="8" w:color="F3F3F4"/>
            </w:tcBorders>
            <w:shd w:val="clear" w:color="auto" w:fill="F3F3F4"/>
          </w:tcPr>
          <w:p>
            <w:pPr>
              <w:spacing w:after="0"/>
              <w:rPr>
                <w:sz w:val="18"/>
                <w:szCs w:val="18"/>
                <w:color w:val="auto"/>
              </w:rPr>
            </w:pPr>
          </w:p>
        </w:tc>
        <w:tc>
          <w:tcPr>
            <w:tcW w:w="1460" w:type="dxa"/>
            <w:vAlign w:val="bottom"/>
            <w:tcBorders>
              <w:bottom w:val="single" w:sz="8" w:color="F3F3F4"/>
            </w:tcBorders>
            <w:shd w:val="clear" w:color="auto" w:fill="F3F3F4"/>
          </w:tcPr>
          <w:p>
            <w:pPr>
              <w:spacing w:after="0"/>
              <w:rPr>
                <w:sz w:val="18"/>
                <w:szCs w:val="18"/>
                <w:color w:val="auto"/>
              </w:rPr>
            </w:pPr>
          </w:p>
        </w:tc>
        <w:tc>
          <w:tcPr>
            <w:tcW w:w="1460" w:type="dxa"/>
            <w:vAlign w:val="bottom"/>
            <w:tcBorders>
              <w:bottom w:val="single" w:sz="8" w:color="F3F3F4"/>
            </w:tcBorders>
            <w:shd w:val="clear" w:color="auto" w:fill="F3F3F4"/>
          </w:tcPr>
          <w:p>
            <w:pPr>
              <w:spacing w:after="0"/>
              <w:rPr>
                <w:sz w:val="18"/>
                <w:szCs w:val="18"/>
                <w:color w:val="auto"/>
              </w:rPr>
            </w:pPr>
          </w:p>
        </w:tc>
        <w:tc>
          <w:tcPr>
            <w:tcW w:w="1000" w:type="dxa"/>
            <w:vAlign w:val="bottom"/>
            <w:tcBorders>
              <w:bottom w:val="single" w:sz="8" w:color="F3F3F4"/>
            </w:tcBorders>
            <w:shd w:val="clear" w:color="auto" w:fill="F3F3F4"/>
          </w:tcPr>
          <w:p>
            <w:pPr>
              <w:spacing w:after="0"/>
              <w:rPr>
                <w:sz w:val="18"/>
                <w:szCs w:val="18"/>
                <w:color w:val="auto"/>
              </w:rPr>
            </w:pPr>
          </w:p>
        </w:tc>
      </w:tr>
      <w:tr>
        <w:trPr>
          <w:trHeight w:val="187"/>
        </w:trPr>
        <w:tc>
          <w:tcPr>
            <w:tcW w:w="586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color w:val="auto"/>
              </w:rPr>
              <w:t>Plus Change in Fair Value as of Vesting Date of Stock Awards Granted in Prior Fiscal Years For</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276,464</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18,900</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27,940</w:t>
            </w:r>
          </w:p>
        </w:tc>
        <w:tc>
          <w:tcPr>
            <w:tcW w:w="1000" w:type="dxa"/>
            <w:vAlign w:val="bottom"/>
            <w:tcBorders>
              <w:top w:val="single" w:sz="8" w:color="939598"/>
            </w:tcBorders>
            <w:shd w:val="clear" w:color="auto" w:fill="F3F3F4"/>
          </w:tcPr>
          <w:p>
            <w:pPr>
              <w:jc w:val="right"/>
              <w:ind w:right="14"/>
              <w:spacing w:after="0"/>
              <w:rPr>
                <w:sz w:val="20"/>
                <w:szCs w:val="20"/>
                <w:color w:val="auto"/>
              </w:rPr>
            </w:pPr>
            <w:r>
              <w:rPr>
                <w:rFonts w:ascii="Arial" w:cs="Arial" w:eastAsia="Arial" w:hAnsi="Arial"/>
                <w:sz w:val="13"/>
                <w:szCs w:val="13"/>
                <w:color w:val="auto"/>
              </w:rPr>
              <w:t>(14,618)</w:t>
            </w:r>
          </w:p>
        </w:tc>
      </w:tr>
      <w:tr>
        <w:trPr>
          <w:trHeight w:val="214"/>
        </w:trPr>
        <w:tc>
          <w:tcPr>
            <w:tcW w:w="586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Which Applicable Vesting Conditions Were Satisfied During Fiscal Year</w:t>
            </w:r>
          </w:p>
        </w:tc>
        <w:tc>
          <w:tcPr>
            <w:tcW w:w="1460" w:type="dxa"/>
            <w:vAlign w:val="bottom"/>
            <w:tcBorders>
              <w:bottom w:val="single" w:sz="8" w:color="F3F3F4"/>
            </w:tcBorders>
            <w:shd w:val="clear" w:color="auto" w:fill="F3F3F4"/>
          </w:tcPr>
          <w:p>
            <w:pPr>
              <w:spacing w:after="0"/>
              <w:rPr>
                <w:sz w:val="18"/>
                <w:szCs w:val="18"/>
                <w:color w:val="auto"/>
              </w:rPr>
            </w:pPr>
          </w:p>
        </w:tc>
        <w:tc>
          <w:tcPr>
            <w:tcW w:w="1460" w:type="dxa"/>
            <w:vAlign w:val="bottom"/>
            <w:tcBorders>
              <w:bottom w:val="single" w:sz="8" w:color="F3F3F4"/>
            </w:tcBorders>
            <w:shd w:val="clear" w:color="auto" w:fill="F3F3F4"/>
          </w:tcPr>
          <w:p>
            <w:pPr>
              <w:spacing w:after="0"/>
              <w:rPr>
                <w:sz w:val="18"/>
                <w:szCs w:val="18"/>
                <w:color w:val="auto"/>
              </w:rPr>
            </w:pPr>
          </w:p>
        </w:tc>
        <w:tc>
          <w:tcPr>
            <w:tcW w:w="1460" w:type="dxa"/>
            <w:vAlign w:val="bottom"/>
            <w:tcBorders>
              <w:bottom w:val="single" w:sz="8" w:color="F3F3F4"/>
            </w:tcBorders>
            <w:shd w:val="clear" w:color="auto" w:fill="F3F3F4"/>
          </w:tcPr>
          <w:p>
            <w:pPr>
              <w:spacing w:after="0"/>
              <w:rPr>
                <w:sz w:val="18"/>
                <w:szCs w:val="18"/>
                <w:color w:val="auto"/>
              </w:rPr>
            </w:pPr>
          </w:p>
        </w:tc>
        <w:tc>
          <w:tcPr>
            <w:tcW w:w="1000" w:type="dxa"/>
            <w:vAlign w:val="bottom"/>
            <w:tcBorders>
              <w:bottom w:val="single" w:sz="8" w:color="F3F3F4"/>
            </w:tcBorders>
            <w:shd w:val="clear" w:color="auto" w:fill="F3F3F4"/>
          </w:tcPr>
          <w:p>
            <w:pPr>
              <w:spacing w:after="0"/>
              <w:rPr>
                <w:sz w:val="18"/>
                <w:szCs w:val="18"/>
                <w:color w:val="auto"/>
              </w:rPr>
            </w:pPr>
          </w:p>
        </w:tc>
      </w:tr>
      <w:tr>
        <w:trPr>
          <w:trHeight w:val="187"/>
        </w:trPr>
        <w:tc>
          <w:tcPr>
            <w:tcW w:w="586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color w:val="auto"/>
              </w:rPr>
              <w:t>Less Fair Value as of Prior Fiscal Year-End of Stock Awards Granted in Prior Fiscal Years That</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0" w:type="dxa"/>
            <w:vAlign w:val="bottom"/>
            <w:tcBorders>
              <w:top w:val="single" w:sz="8" w:color="939598"/>
            </w:tcBorders>
            <w:shd w:val="clear" w:color="auto" w:fill="F3F3F4"/>
          </w:tcPr>
          <w:p>
            <w:pPr>
              <w:jc w:val="right"/>
              <w:ind w:right="14"/>
              <w:spacing w:after="0"/>
              <w:rPr>
                <w:sz w:val="20"/>
                <w:szCs w:val="20"/>
                <w:color w:val="auto"/>
              </w:rPr>
            </w:pPr>
            <w:r>
              <w:rPr>
                <w:rFonts w:ascii="Arial" w:cs="Arial" w:eastAsia="Arial" w:hAnsi="Arial"/>
                <w:sz w:val="13"/>
                <w:szCs w:val="13"/>
                <w:color w:val="auto"/>
              </w:rPr>
              <w:t>0</w:t>
            </w:r>
          </w:p>
        </w:tc>
      </w:tr>
      <w:tr>
        <w:trPr>
          <w:trHeight w:val="214"/>
        </w:trPr>
        <w:tc>
          <w:tcPr>
            <w:tcW w:w="586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Failed to Meet Applicable Vesting Conditions During Fiscal Year</w:t>
            </w:r>
          </w:p>
        </w:tc>
        <w:tc>
          <w:tcPr>
            <w:tcW w:w="1460" w:type="dxa"/>
            <w:vAlign w:val="bottom"/>
            <w:tcBorders>
              <w:bottom w:val="single" w:sz="8" w:color="F3F3F4"/>
            </w:tcBorders>
            <w:shd w:val="clear" w:color="auto" w:fill="F3F3F4"/>
          </w:tcPr>
          <w:p>
            <w:pPr>
              <w:spacing w:after="0"/>
              <w:rPr>
                <w:sz w:val="18"/>
                <w:szCs w:val="18"/>
                <w:color w:val="auto"/>
              </w:rPr>
            </w:pPr>
          </w:p>
        </w:tc>
        <w:tc>
          <w:tcPr>
            <w:tcW w:w="1460" w:type="dxa"/>
            <w:vAlign w:val="bottom"/>
            <w:tcBorders>
              <w:bottom w:val="single" w:sz="8" w:color="F3F3F4"/>
            </w:tcBorders>
            <w:shd w:val="clear" w:color="auto" w:fill="F3F3F4"/>
          </w:tcPr>
          <w:p>
            <w:pPr>
              <w:spacing w:after="0"/>
              <w:rPr>
                <w:sz w:val="18"/>
                <w:szCs w:val="18"/>
                <w:color w:val="auto"/>
              </w:rPr>
            </w:pPr>
          </w:p>
        </w:tc>
        <w:tc>
          <w:tcPr>
            <w:tcW w:w="1460" w:type="dxa"/>
            <w:vAlign w:val="bottom"/>
            <w:tcBorders>
              <w:bottom w:val="single" w:sz="8" w:color="F3F3F4"/>
            </w:tcBorders>
            <w:shd w:val="clear" w:color="auto" w:fill="F3F3F4"/>
          </w:tcPr>
          <w:p>
            <w:pPr>
              <w:spacing w:after="0"/>
              <w:rPr>
                <w:sz w:val="18"/>
                <w:szCs w:val="18"/>
                <w:color w:val="auto"/>
              </w:rPr>
            </w:pPr>
          </w:p>
        </w:tc>
        <w:tc>
          <w:tcPr>
            <w:tcW w:w="1000" w:type="dxa"/>
            <w:vAlign w:val="bottom"/>
            <w:tcBorders>
              <w:bottom w:val="single" w:sz="8" w:color="F3F3F4"/>
            </w:tcBorders>
            <w:shd w:val="clear" w:color="auto" w:fill="F3F3F4"/>
          </w:tcPr>
          <w:p>
            <w:pPr>
              <w:spacing w:after="0"/>
              <w:rPr>
                <w:sz w:val="18"/>
                <w:szCs w:val="18"/>
                <w:color w:val="auto"/>
              </w:rPr>
            </w:pPr>
          </w:p>
        </w:tc>
      </w:tr>
      <w:tr>
        <w:trPr>
          <w:trHeight w:val="187"/>
        </w:trPr>
        <w:tc>
          <w:tcPr>
            <w:tcW w:w="5860" w:type="dxa"/>
            <w:vAlign w:val="bottom"/>
            <w:tcBorders>
              <w:top w:val="single" w:sz="8" w:color="939598"/>
            </w:tcBorders>
            <w:shd w:val="clear" w:color="auto" w:fill="F3F3F4"/>
          </w:tcPr>
          <w:p>
            <w:pPr>
              <w:ind w:left="100"/>
              <w:spacing w:after="0"/>
              <w:rPr>
                <w:sz w:val="20"/>
                <w:szCs w:val="20"/>
                <w:color w:val="auto"/>
              </w:rPr>
            </w:pPr>
            <w:r>
              <w:rPr>
                <w:rFonts w:ascii="Arial" w:cs="Arial" w:eastAsia="Arial" w:hAnsi="Arial"/>
                <w:sz w:val="13"/>
                <w:szCs w:val="13"/>
                <w:color w:val="auto"/>
              </w:rPr>
              <w:t>Plus Dividends or Other Earnings Paid on Stock Awards in the Fiscal Year Prior to the Vesting</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460" w:type="dxa"/>
            <w:vAlign w:val="bottom"/>
            <w:tcBorders>
              <w:top w:val="single" w:sz="8" w:color="939598"/>
            </w:tcBorders>
            <w:shd w:val="clear" w:color="auto" w:fill="F3F3F4"/>
          </w:tcPr>
          <w:p>
            <w:pPr>
              <w:jc w:val="right"/>
              <w:spacing w:after="0"/>
              <w:rPr>
                <w:sz w:val="20"/>
                <w:szCs w:val="20"/>
                <w:color w:val="auto"/>
              </w:rPr>
            </w:pPr>
            <w:r>
              <w:rPr>
                <w:rFonts w:ascii="Arial" w:cs="Arial" w:eastAsia="Arial" w:hAnsi="Arial"/>
                <w:sz w:val="13"/>
                <w:szCs w:val="13"/>
                <w:color w:val="auto"/>
              </w:rPr>
              <w:t>$0</w:t>
            </w:r>
          </w:p>
        </w:tc>
        <w:tc>
          <w:tcPr>
            <w:tcW w:w="1000" w:type="dxa"/>
            <w:vAlign w:val="bottom"/>
            <w:tcBorders>
              <w:top w:val="single" w:sz="8" w:color="939598"/>
            </w:tcBorders>
            <w:shd w:val="clear" w:color="auto" w:fill="F3F3F4"/>
          </w:tcPr>
          <w:p>
            <w:pPr>
              <w:jc w:val="right"/>
              <w:ind w:right="14"/>
              <w:spacing w:after="0"/>
              <w:rPr>
                <w:sz w:val="20"/>
                <w:szCs w:val="20"/>
                <w:color w:val="auto"/>
              </w:rPr>
            </w:pPr>
            <w:r>
              <w:rPr>
                <w:rFonts w:ascii="Arial" w:cs="Arial" w:eastAsia="Arial" w:hAnsi="Arial"/>
                <w:sz w:val="13"/>
                <w:szCs w:val="13"/>
                <w:color w:val="auto"/>
              </w:rPr>
              <w:t>$0</w:t>
            </w:r>
          </w:p>
        </w:tc>
      </w:tr>
      <w:tr>
        <w:trPr>
          <w:trHeight w:val="214"/>
        </w:trPr>
        <w:tc>
          <w:tcPr>
            <w:tcW w:w="586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color w:val="auto"/>
              </w:rPr>
              <w:t>Date that are not otherwise included in the Total Compensation for the Fiscal Year</w:t>
            </w:r>
          </w:p>
        </w:tc>
        <w:tc>
          <w:tcPr>
            <w:tcW w:w="1460" w:type="dxa"/>
            <w:vAlign w:val="bottom"/>
            <w:tcBorders>
              <w:bottom w:val="single" w:sz="8" w:color="F3F3F4"/>
            </w:tcBorders>
            <w:shd w:val="clear" w:color="auto" w:fill="F3F3F4"/>
          </w:tcPr>
          <w:p>
            <w:pPr>
              <w:spacing w:after="0"/>
              <w:rPr>
                <w:sz w:val="18"/>
                <w:szCs w:val="18"/>
                <w:color w:val="auto"/>
              </w:rPr>
            </w:pPr>
          </w:p>
        </w:tc>
        <w:tc>
          <w:tcPr>
            <w:tcW w:w="1460" w:type="dxa"/>
            <w:vAlign w:val="bottom"/>
            <w:tcBorders>
              <w:bottom w:val="single" w:sz="8" w:color="F3F3F4"/>
            </w:tcBorders>
            <w:shd w:val="clear" w:color="auto" w:fill="F3F3F4"/>
          </w:tcPr>
          <w:p>
            <w:pPr>
              <w:spacing w:after="0"/>
              <w:rPr>
                <w:sz w:val="18"/>
                <w:szCs w:val="18"/>
                <w:color w:val="auto"/>
              </w:rPr>
            </w:pPr>
          </w:p>
        </w:tc>
        <w:tc>
          <w:tcPr>
            <w:tcW w:w="1460" w:type="dxa"/>
            <w:vAlign w:val="bottom"/>
            <w:tcBorders>
              <w:bottom w:val="single" w:sz="8" w:color="F3F3F4"/>
            </w:tcBorders>
            <w:shd w:val="clear" w:color="auto" w:fill="F3F3F4"/>
          </w:tcPr>
          <w:p>
            <w:pPr>
              <w:spacing w:after="0"/>
              <w:rPr>
                <w:sz w:val="18"/>
                <w:szCs w:val="18"/>
                <w:color w:val="auto"/>
              </w:rPr>
            </w:pPr>
          </w:p>
        </w:tc>
        <w:tc>
          <w:tcPr>
            <w:tcW w:w="1000" w:type="dxa"/>
            <w:vAlign w:val="bottom"/>
            <w:tcBorders>
              <w:bottom w:val="single" w:sz="8" w:color="F3F3F4"/>
            </w:tcBorders>
            <w:shd w:val="clear" w:color="auto" w:fill="F3F3F4"/>
          </w:tcPr>
          <w:p>
            <w:pPr>
              <w:spacing w:after="0"/>
              <w:rPr>
                <w:sz w:val="18"/>
                <w:szCs w:val="18"/>
                <w:color w:val="auto"/>
              </w:rPr>
            </w:pPr>
          </w:p>
        </w:tc>
      </w:tr>
      <w:tr>
        <w:trPr>
          <w:trHeight w:val="225"/>
        </w:trPr>
        <w:tc>
          <w:tcPr>
            <w:tcW w:w="5860" w:type="dxa"/>
            <w:vAlign w:val="bottom"/>
            <w:tcBorders>
              <w:top w:val="single" w:sz="8" w:color="939598"/>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Compensation Actually Paid (CAP)</w:t>
            </w:r>
          </w:p>
        </w:tc>
        <w:tc>
          <w:tcPr>
            <w:tcW w:w="14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$ 1,215,051</w:t>
            </w:r>
          </w:p>
        </w:tc>
        <w:tc>
          <w:tcPr>
            <w:tcW w:w="14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$ 1,405,968</w:t>
            </w:r>
          </w:p>
        </w:tc>
        <w:tc>
          <w:tcPr>
            <w:tcW w:w="1460" w:type="dxa"/>
            <w:vAlign w:val="bottom"/>
            <w:tcBorders>
              <w:top w:val="single" w:sz="8" w:color="939598"/>
              <w:bottom w:val="single" w:sz="8" w:color="F3F3F4"/>
            </w:tcBorders>
            <w:shd w:val="clear" w:color="auto" w:fill="F3F3F4"/>
          </w:tcPr>
          <w:p>
            <w:pPr>
              <w:jc w:val="right"/>
              <w:spacing w:after="0"/>
              <w:rPr>
                <w:sz w:val="20"/>
                <w:szCs w:val="20"/>
                <w:color w:val="auto"/>
              </w:rPr>
            </w:pPr>
            <w:r>
              <w:rPr>
                <w:rFonts w:ascii="Arial" w:cs="Arial" w:eastAsia="Arial" w:hAnsi="Arial"/>
                <w:sz w:val="13"/>
                <w:szCs w:val="13"/>
                <w:b w:val="1"/>
                <w:bCs w:val="1"/>
                <w:color w:val="auto"/>
              </w:rPr>
              <w:t>$ 1,862,816</w:t>
            </w:r>
          </w:p>
        </w:tc>
        <w:tc>
          <w:tcPr>
            <w:tcW w:w="1000" w:type="dxa"/>
            <w:vAlign w:val="bottom"/>
            <w:tcBorders>
              <w:top w:val="single" w:sz="8" w:color="939598"/>
              <w:bottom w:val="single" w:sz="8" w:color="F3F3F4"/>
            </w:tcBorders>
            <w:shd w:val="clear" w:color="auto" w:fill="F3F3F4"/>
          </w:tcPr>
          <w:p>
            <w:pPr>
              <w:jc w:val="right"/>
              <w:ind w:right="14"/>
              <w:spacing w:after="0"/>
              <w:rPr>
                <w:sz w:val="20"/>
                <w:szCs w:val="20"/>
                <w:color w:val="auto"/>
              </w:rPr>
            </w:pPr>
            <w:r>
              <w:rPr>
                <w:rFonts w:ascii="Arial" w:cs="Arial" w:eastAsia="Arial" w:hAnsi="Arial"/>
                <w:sz w:val="13"/>
                <w:szCs w:val="13"/>
                <w:b w:val="1"/>
                <w:bCs w:val="1"/>
                <w:color w:val="auto"/>
              </w:rPr>
              <w:t>$ 1,874,523</w:t>
            </w:r>
          </w:p>
        </w:tc>
      </w:tr>
      <w:tr>
        <w:trPr>
          <w:trHeight w:val="20"/>
        </w:trPr>
        <w:tc>
          <w:tcPr>
            <w:tcW w:w="5860" w:type="dxa"/>
            <w:vAlign w:val="bottom"/>
            <w:shd w:val="clear" w:color="auto" w:fill="939598"/>
          </w:tcPr>
          <w:p>
            <w:pPr>
              <w:spacing w:after="0" w:line="20" w:lineRule="exact"/>
              <w:rPr>
                <w:sz w:val="1"/>
                <w:szCs w:val="1"/>
                <w:color w:val="auto"/>
              </w:rPr>
            </w:pPr>
          </w:p>
        </w:tc>
        <w:tc>
          <w:tcPr>
            <w:tcW w:w="1460" w:type="dxa"/>
            <w:vAlign w:val="bottom"/>
            <w:shd w:val="clear" w:color="auto" w:fill="939598"/>
          </w:tcPr>
          <w:p>
            <w:pPr>
              <w:spacing w:after="0" w:line="20" w:lineRule="exact"/>
              <w:rPr>
                <w:sz w:val="1"/>
                <w:szCs w:val="1"/>
                <w:color w:val="auto"/>
              </w:rPr>
            </w:pPr>
          </w:p>
        </w:tc>
        <w:tc>
          <w:tcPr>
            <w:tcW w:w="1460" w:type="dxa"/>
            <w:vAlign w:val="bottom"/>
            <w:shd w:val="clear" w:color="auto" w:fill="939598"/>
          </w:tcPr>
          <w:p>
            <w:pPr>
              <w:spacing w:after="0" w:line="20" w:lineRule="exact"/>
              <w:rPr>
                <w:sz w:val="1"/>
                <w:szCs w:val="1"/>
                <w:color w:val="auto"/>
              </w:rPr>
            </w:pPr>
          </w:p>
        </w:tc>
        <w:tc>
          <w:tcPr>
            <w:tcW w:w="1460" w:type="dxa"/>
            <w:vAlign w:val="bottom"/>
            <w:shd w:val="clear" w:color="auto" w:fill="939598"/>
          </w:tcPr>
          <w:p>
            <w:pPr>
              <w:spacing w:after="0" w:line="20" w:lineRule="exact"/>
              <w:rPr>
                <w:sz w:val="1"/>
                <w:szCs w:val="1"/>
                <w:color w:val="auto"/>
              </w:rPr>
            </w:pPr>
          </w:p>
        </w:tc>
        <w:tc>
          <w:tcPr>
            <w:tcW w:w="1000" w:type="dxa"/>
            <w:vAlign w:val="bottom"/>
            <w:shd w:val="clear" w:color="auto" w:fill="939598"/>
          </w:tcPr>
          <w:p>
            <w:pPr>
              <w:spacing w:after="0" w:line="20" w:lineRule="exact"/>
              <w:rPr>
                <w:sz w:val="1"/>
                <w:szCs w:val="1"/>
                <w:color w:val="auto"/>
              </w:rPr>
            </w:pPr>
          </w:p>
        </w:tc>
      </w:tr>
    </w:tbl>
    <w:p>
      <w:pPr>
        <w:spacing w:after="0" w:line="189" w:lineRule="exact"/>
        <w:rPr>
          <w:sz w:val="20"/>
          <w:szCs w:val="20"/>
          <w:color w:val="auto"/>
        </w:rPr>
      </w:pPr>
    </w:p>
    <w:p>
      <w:pPr>
        <w:jc w:val="both"/>
        <w:ind w:left="300" w:hanging="299"/>
        <w:spacing w:after="0" w:line="237" w:lineRule="auto"/>
        <w:tabs>
          <w:tab w:leader="none" w:pos="3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Peer Group TSR set forth in this table utilizes the S&amp;P SmallCap 600 Industrials Index, which we also utilize in the stock performance graph required by Item 201(e) of Regulation S-K included in our Annual Report for the year ended September 30, 2024. The comparison assumes $100 was invested for the period starting September 30, 2020 through the last day of the subsequent fiscal years, in the Company and in the S&amp;P SmallCap 600 Industrials Index, respectively. Historical stock performance is not necessarily indicative of future stock performance.</w:t>
      </w:r>
    </w:p>
    <w:p>
      <w:pPr>
        <w:spacing w:after="0" w:line="112" w:lineRule="exact"/>
        <w:rPr>
          <w:sz w:val="20"/>
          <w:szCs w:val="20"/>
          <w:color w:val="auto"/>
        </w:rPr>
      </w:pPr>
    </w:p>
    <w:p>
      <w:pPr>
        <w:jc w:val="both"/>
        <w:ind w:left="300" w:hanging="299"/>
        <w:spacing w:after="0" w:line="233" w:lineRule="auto"/>
        <w:tabs>
          <w:tab w:leader="none" w:pos="3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 xml:space="preserve">We determined Adjusted EPS to be the most important financial performance measure used to link Company performance to Compensation Actually Paid to our PEO and the other executive officers in 2024, as it was in 2023. Fiscal 2024 Adjusted EPS of $4.18 equaled GAAP diluted EPS of $3.94 excluding $0.24 per share of after-tax charges, as described in the </w:t>
      </w:r>
      <w:r>
        <w:rPr>
          <w:rFonts w:ascii="Arial" w:cs="Arial" w:eastAsia="Arial" w:hAnsi="Arial"/>
          <w:sz w:val="13"/>
          <w:szCs w:val="13"/>
          <w:b w:val="1"/>
          <w:bCs w:val="1"/>
          <w:i w:val="1"/>
          <w:iCs w:val="1"/>
          <w:color w:val="auto"/>
        </w:rPr>
        <w:t>Compensation</w:t>
      </w:r>
      <w:r>
        <w:rPr>
          <w:rFonts w:ascii="Arial" w:cs="Arial" w:eastAsia="Arial" w:hAnsi="Arial"/>
          <w:sz w:val="13"/>
          <w:szCs w:val="13"/>
          <w:color w:val="auto"/>
        </w:rPr>
        <w:t xml:space="preserve"> </w:t>
      </w:r>
      <w:r>
        <w:rPr>
          <w:rFonts w:ascii="Arial" w:cs="Arial" w:eastAsia="Arial" w:hAnsi="Arial"/>
          <w:sz w:val="13"/>
          <w:szCs w:val="13"/>
          <w:b w:val="1"/>
          <w:bCs w:val="1"/>
          <w:i w:val="1"/>
          <w:iCs w:val="1"/>
          <w:color w:val="auto"/>
        </w:rPr>
        <w:t xml:space="preserve">Discussion and Analysis </w:t>
      </w:r>
      <w:r>
        <w:rPr>
          <w:rFonts w:ascii="Arial" w:cs="Arial" w:eastAsia="Arial" w:hAnsi="Arial"/>
          <w:sz w:val="13"/>
          <w:szCs w:val="13"/>
          <w:color w:val="auto"/>
        </w:rPr>
        <w:t>section of this Proxy Statement. This performance measure may not have been the most important financial performance measure for one or more of fiscal years 2021</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through 2022 and we may determine a different financial performance measure to be the most important financial performance measure in future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Relationships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 vs.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2606040</wp:posOffset>
            </wp:positionV>
            <wp:extent cx="7141210"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153035</wp:posOffset>
            </wp:positionH>
            <wp:positionV relativeFrom="paragraph">
              <wp:posOffset>105410</wp:posOffset>
            </wp:positionV>
            <wp:extent cx="6812915" cy="22282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12915" cy="2228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CAP vs.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137160</wp:posOffset>
            </wp:positionV>
            <wp:extent cx="7141210" cy="24765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1210" cy="247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 vs.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137160</wp:posOffset>
            </wp:positionV>
            <wp:extent cx="6812915" cy="23406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12915" cy="2340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List of Most Important Financial Performance Measures</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following table presents the financial performance measures that the Company considers to have been the most important in linking 2024 Compensation Actually Paid to our PEO and the non-PEO NEOs to Company performance, due to their use in the PCP and the PSU awards. More information about each of these measures, including why the Company uses these measures and how they are calculated with respect to applicable compensation plans, is included in the Compensation Discussion and Analysis section of this Proxy Statement.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113665</wp:posOffset>
            </wp:positionV>
            <wp:extent cx="3574415" cy="9220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74415" cy="92202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Adjusted EPS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Adjusted Cash Flow from Operating Activities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EBITDA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Return on Invested Capital (ROIC)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Total Shareholder Return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47625</wp:posOffset>
            </wp:positionV>
            <wp:extent cx="35744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311785</wp:posOffset>
            </wp:positionV>
            <wp:extent cx="7141210"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2</w:t>
      </w:r>
      <w:r>
        <w:rPr>
          <w:sz w:val="20"/>
          <w:szCs w:val="20"/>
          <w:color w:val="auto"/>
        </w:rPr>
        <w:tab/>
      </w:r>
      <w:r>
        <w:rPr>
          <w:rFonts w:ascii="Arial" w:cs="Arial" w:eastAsia="Arial" w:hAnsi="Arial"/>
          <w:sz w:val="12"/>
          <w:szCs w:val="12"/>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sectPr>
      </w:pPr>
    </w:p>
    <w:bookmarkStart w:id="52" w:name="page53"/>
    <w:bookmarkEnd w:id="52"/>
    <w:p>
      <w:pPr>
        <w:ind w:right="1460"/>
        <w:spacing w:after="0" w:line="283" w:lineRule="auto"/>
        <w:rPr>
          <w:sz w:val="20"/>
          <w:szCs w:val="20"/>
          <w:color w:val="auto"/>
        </w:rPr>
      </w:pPr>
      <w:r>
        <w:rPr>
          <w:rFonts w:ascii="Times New Roman" w:cs="Times New Roman" w:eastAsia="Times New Roman" w:hAnsi="Times New Roman"/>
          <w:sz w:val="50"/>
          <w:szCs w:val="50"/>
          <w:color w:val="auto"/>
        </w:rPr>
        <w:t>Proposal 3: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714121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214630</wp:posOffset>
            </wp:positionV>
            <wp:extent cx="7141210" cy="408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1210" cy="40894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27"/>
          <w:szCs w:val="27"/>
          <w:b w:val="1"/>
          <w:bCs w:val="1"/>
          <w:color w:val="auto"/>
        </w:rPr>
        <w:t>The Board of Directors recommends a vote FOR this Proposal.</w:t>
      </w:r>
    </w:p>
    <w:p>
      <w:pPr>
        <w:spacing w:after="0" w:line="200" w:lineRule="exact"/>
        <w:rPr>
          <w:sz w:val="20"/>
          <w:szCs w:val="20"/>
          <w:color w:val="auto"/>
        </w:rPr>
      </w:pPr>
    </w:p>
    <w:p>
      <w:pPr>
        <w:spacing w:after="0" w:line="216"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The Audit Committee has appointed Grant Thornton LLP (Grant Thornton), an independent registered public accounting firm, as our independent public accounting firm for the fiscal year ending September 30, 2024. We first retained Grant Thornton to audit our consolidated financial statements for fiscal 2022.</w:t>
      </w:r>
    </w:p>
    <w:p>
      <w:pPr>
        <w:spacing w:after="0" w:line="175"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Although we are not required to submit the appointment of Grant Thornton to a vote of the shareholders, our Board of Directors believes it is appropriate to request that the shareholders ratify the appointment. If the shareholders do not ratify this appointment by a majority of shares voting at the meeting, the Committee will investigate the reasons for the rejection and will reconsider the appointment. A representative of Grant Thornton is expected to be present at the Meeting and will have the opportunity to make a statement if they desire to do so and be available to respond to appropriate questions from shareholders.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PRE-APPROVAL OF AUDIT AND PERMITTED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7141210"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05"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The Audit Committee has adopted pre-approval policies and procedures requiring the Committee to pre approve all audit and permitted non-audit services to be provided by our independent registered public accounting firm. In accordance with this policy, the Committee has pre-approved and has set specific quarterly limitations on fees for the following categories of services: general accounting and SEC consultation, compliance with pertinent legislation, general taxation matters and tax returns. Services which have not received specific pre-approval by the Committee must receive such approval prior to the rendering of the services.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AUDITOR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7141210"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05"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We have incurred the following fees to Grant Thornton, our independent registered public accounting firm for fiscal 2024 and fiscal 2023, for services rendered for each of those years, respectively. All of these fees were pre approved by the Audit Committee.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ind w:left="100"/>
              <w:spacing w:after="0"/>
              <w:rPr>
                <w:sz w:val="20"/>
                <w:szCs w:val="20"/>
                <w:color w:val="auto"/>
              </w:rPr>
            </w:pPr>
            <w:r>
              <w:rPr>
                <w:rFonts w:ascii="Arial" w:cs="Arial" w:eastAsia="Arial" w:hAnsi="Arial"/>
                <w:sz w:val="13"/>
                <w:szCs w:val="13"/>
                <w:b w:val="1"/>
                <w:bCs w:val="1"/>
                <w:color w:val="auto"/>
              </w:rPr>
              <w:t>Fee Category</w:t>
            </w:r>
          </w:p>
        </w:tc>
        <w:tc>
          <w:tcPr>
            <w:tcW w:w="2400" w:type="dxa"/>
            <w:vAlign w:val="bottom"/>
          </w:tcPr>
          <w:p>
            <w:pPr>
              <w:jc w:val="right"/>
              <w:ind w:right="33"/>
              <w:spacing w:after="0"/>
              <w:rPr>
                <w:sz w:val="20"/>
                <w:szCs w:val="20"/>
                <w:color w:val="auto"/>
              </w:rPr>
            </w:pPr>
            <w:r>
              <w:rPr>
                <w:rFonts w:ascii="Arial" w:cs="Arial" w:eastAsia="Arial" w:hAnsi="Arial"/>
                <w:sz w:val="13"/>
                <w:szCs w:val="13"/>
                <w:b w:val="1"/>
                <w:bCs w:val="1"/>
                <w:color w:val="auto"/>
              </w:rPr>
              <w:t>2024</w:t>
            </w:r>
          </w:p>
        </w:tc>
        <w:tc>
          <w:tcPr>
            <w:tcW w:w="1500" w:type="dxa"/>
            <w:vAlign w:val="bottom"/>
          </w:tcPr>
          <w:p>
            <w:pPr>
              <w:spacing w:after="0"/>
              <w:rPr>
                <w:sz w:val="16"/>
                <w:szCs w:val="16"/>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b w:val="1"/>
                <w:bCs w:val="1"/>
                <w:color w:val="auto"/>
              </w:rPr>
              <w:t>2023</w:t>
            </w:r>
          </w:p>
        </w:tc>
      </w:tr>
      <w:tr>
        <w:trPr>
          <w:trHeight w:val="26"/>
        </w:trPr>
        <w:tc>
          <w:tcPr>
            <w:tcW w:w="66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r>
      <w:tr>
        <w:trPr>
          <w:trHeight w:val="270"/>
        </w:trPr>
        <w:tc>
          <w:tcPr>
            <w:tcW w:w="6640" w:type="dxa"/>
            <w:vAlign w:val="bottom"/>
            <w:tcBorders>
              <w:bottom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Audit Fees</w:t>
            </w:r>
            <w:r>
              <w:rPr>
                <w:rFonts w:ascii="Arial" w:cs="Arial" w:eastAsia="Arial" w:hAnsi="Arial"/>
                <w:sz w:val="22"/>
                <w:szCs w:val="22"/>
                <w:b w:val="1"/>
                <w:bCs w:val="1"/>
                <w:color w:val="auto"/>
                <w:vertAlign w:val="superscript"/>
              </w:rPr>
              <w:t>1</w:t>
            </w:r>
          </w:p>
        </w:tc>
        <w:tc>
          <w:tcPr>
            <w:tcW w:w="2400" w:type="dxa"/>
            <w:vAlign w:val="bottom"/>
            <w:tcBorders>
              <w:bottom w:val="single" w:sz="8" w:color="939598"/>
            </w:tcBorders>
            <w:shd w:val="clear" w:color="auto" w:fill="F3F3F4"/>
          </w:tcPr>
          <w:p>
            <w:pPr>
              <w:jc w:val="right"/>
              <w:ind w:right="33"/>
              <w:spacing w:after="0"/>
              <w:rPr>
                <w:sz w:val="20"/>
                <w:szCs w:val="20"/>
                <w:color w:val="auto"/>
              </w:rPr>
            </w:pPr>
            <w:r>
              <w:rPr>
                <w:rFonts w:ascii="Arial" w:cs="Arial" w:eastAsia="Arial" w:hAnsi="Arial"/>
                <w:sz w:val="13"/>
                <w:szCs w:val="13"/>
                <w:color w:val="auto"/>
              </w:rPr>
              <w:t>$   1,350,000</w:t>
            </w:r>
          </w:p>
        </w:tc>
        <w:tc>
          <w:tcPr>
            <w:tcW w:w="2200" w:type="dxa"/>
            <w:vAlign w:val="bottom"/>
            <w:tcBorders>
              <w:bottom w:val="single" w:sz="8" w:color="939598"/>
            </w:tcBorders>
            <w:gridSpan w:val="2"/>
            <w:shd w:val="clear" w:color="auto" w:fill="F3F3F4"/>
          </w:tcPr>
          <w:p>
            <w:pPr>
              <w:jc w:val="right"/>
              <w:ind w:right="13"/>
              <w:spacing w:after="0"/>
              <w:rPr>
                <w:sz w:val="20"/>
                <w:szCs w:val="20"/>
                <w:color w:val="auto"/>
              </w:rPr>
            </w:pPr>
            <w:r>
              <w:rPr>
                <w:rFonts w:ascii="Arial" w:cs="Arial" w:eastAsia="Arial" w:hAnsi="Arial"/>
                <w:sz w:val="13"/>
                <w:szCs w:val="13"/>
                <w:color w:val="auto"/>
              </w:rPr>
              <w:t>$   1,400,000</w:t>
            </w:r>
          </w:p>
        </w:tc>
      </w:tr>
      <w:tr>
        <w:trPr>
          <w:trHeight w:val="270"/>
        </w:trPr>
        <w:tc>
          <w:tcPr>
            <w:tcW w:w="6640" w:type="dxa"/>
            <w:vAlign w:val="bottom"/>
            <w:tcBorders>
              <w:bottom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Audit-Related Fees</w:t>
            </w:r>
            <w:r>
              <w:rPr>
                <w:rFonts w:ascii="Arial" w:cs="Arial" w:eastAsia="Arial" w:hAnsi="Arial"/>
                <w:sz w:val="22"/>
                <w:szCs w:val="22"/>
                <w:b w:val="1"/>
                <w:bCs w:val="1"/>
                <w:color w:val="auto"/>
                <w:vertAlign w:val="superscript"/>
              </w:rPr>
              <w:t>2</w:t>
            </w:r>
          </w:p>
        </w:tc>
        <w:tc>
          <w:tcPr>
            <w:tcW w:w="2400" w:type="dxa"/>
            <w:vAlign w:val="bottom"/>
            <w:tcBorders>
              <w:bottom w:val="single" w:sz="8" w:color="939598"/>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500" w:type="dxa"/>
            <w:vAlign w:val="bottom"/>
            <w:tcBorders>
              <w:bottom w:val="single" w:sz="8" w:color="939598"/>
            </w:tcBorders>
            <w:shd w:val="clear" w:color="auto" w:fill="F3F3F4"/>
          </w:tcPr>
          <w:p>
            <w:pPr>
              <w:spacing w:after="0"/>
              <w:rPr>
                <w:sz w:val="23"/>
                <w:szCs w:val="23"/>
                <w:color w:val="auto"/>
              </w:rPr>
            </w:pPr>
          </w:p>
        </w:tc>
        <w:tc>
          <w:tcPr>
            <w:tcW w:w="700" w:type="dxa"/>
            <w:vAlign w:val="bottom"/>
            <w:tcBorders>
              <w:bottom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0</w:t>
            </w:r>
          </w:p>
        </w:tc>
      </w:tr>
      <w:tr>
        <w:trPr>
          <w:trHeight w:val="270"/>
        </w:trPr>
        <w:tc>
          <w:tcPr>
            <w:tcW w:w="6640" w:type="dxa"/>
            <w:vAlign w:val="bottom"/>
            <w:tcBorders>
              <w:bottom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Tax Fees</w:t>
            </w:r>
            <w:r>
              <w:rPr>
                <w:rFonts w:ascii="Arial" w:cs="Arial" w:eastAsia="Arial" w:hAnsi="Arial"/>
                <w:sz w:val="22"/>
                <w:szCs w:val="22"/>
                <w:b w:val="1"/>
                <w:bCs w:val="1"/>
                <w:color w:val="auto"/>
                <w:vertAlign w:val="superscript"/>
              </w:rPr>
              <w:t>3</w:t>
            </w:r>
          </w:p>
        </w:tc>
        <w:tc>
          <w:tcPr>
            <w:tcW w:w="2400" w:type="dxa"/>
            <w:vAlign w:val="bottom"/>
            <w:tcBorders>
              <w:bottom w:val="single" w:sz="8" w:color="939598"/>
            </w:tcBorders>
            <w:shd w:val="clear" w:color="auto" w:fill="F3F3F4"/>
          </w:tcPr>
          <w:p>
            <w:pPr>
              <w:jc w:val="right"/>
              <w:ind w:right="33"/>
              <w:spacing w:after="0"/>
              <w:rPr>
                <w:sz w:val="20"/>
                <w:szCs w:val="20"/>
                <w:color w:val="auto"/>
              </w:rPr>
            </w:pPr>
            <w:r>
              <w:rPr>
                <w:rFonts w:ascii="Arial" w:cs="Arial" w:eastAsia="Arial" w:hAnsi="Arial"/>
                <w:sz w:val="13"/>
                <w:szCs w:val="13"/>
                <w:color w:val="auto"/>
              </w:rPr>
              <w:t>0</w:t>
            </w:r>
          </w:p>
        </w:tc>
        <w:tc>
          <w:tcPr>
            <w:tcW w:w="1500" w:type="dxa"/>
            <w:vAlign w:val="bottom"/>
            <w:tcBorders>
              <w:bottom w:val="single" w:sz="8" w:color="939598"/>
            </w:tcBorders>
            <w:shd w:val="clear" w:color="auto" w:fill="F3F3F4"/>
          </w:tcPr>
          <w:p>
            <w:pPr>
              <w:spacing w:after="0"/>
              <w:rPr>
                <w:sz w:val="23"/>
                <w:szCs w:val="23"/>
                <w:color w:val="auto"/>
              </w:rPr>
            </w:pPr>
          </w:p>
        </w:tc>
        <w:tc>
          <w:tcPr>
            <w:tcW w:w="700" w:type="dxa"/>
            <w:vAlign w:val="bottom"/>
            <w:tcBorders>
              <w:bottom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0</w:t>
            </w:r>
          </w:p>
        </w:tc>
      </w:tr>
      <w:tr>
        <w:trPr>
          <w:trHeight w:val="270"/>
        </w:trPr>
        <w:tc>
          <w:tcPr>
            <w:tcW w:w="6640" w:type="dxa"/>
            <w:vAlign w:val="bottom"/>
            <w:tcBorders>
              <w:bottom w:val="single" w:sz="8" w:color="939598"/>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All Other Fees</w:t>
            </w:r>
            <w:r>
              <w:rPr>
                <w:rFonts w:ascii="Arial" w:cs="Arial" w:eastAsia="Arial" w:hAnsi="Arial"/>
                <w:sz w:val="22"/>
                <w:szCs w:val="22"/>
                <w:b w:val="1"/>
                <w:bCs w:val="1"/>
                <w:color w:val="auto"/>
                <w:vertAlign w:val="superscript"/>
              </w:rPr>
              <w:t>4</w:t>
            </w:r>
          </w:p>
        </w:tc>
        <w:tc>
          <w:tcPr>
            <w:tcW w:w="2400" w:type="dxa"/>
            <w:vAlign w:val="bottom"/>
            <w:tcBorders>
              <w:bottom w:val="single" w:sz="8" w:color="939598"/>
            </w:tcBorders>
            <w:shd w:val="clear" w:color="auto" w:fill="F3F3F4"/>
          </w:tcPr>
          <w:p>
            <w:pPr>
              <w:jc w:val="right"/>
              <w:ind w:right="33"/>
              <w:spacing w:after="0"/>
              <w:rPr>
                <w:sz w:val="20"/>
                <w:szCs w:val="20"/>
                <w:color w:val="auto"/>
              </w:rPr>
            </w:pPr>
            <w:r>
              <w:rPr>
                <w:rFonts w:ascii="Arial" w:cs="Arial" w:eastAsia="Arial" w:hAnsi="Arial"/>
                <w:sz w:val="13"/>
                <w:szCs w:val="13"/>
                <w:color w:val="auto"/>
              </w:rPr>
              <w:t>100,830</w:t>
            </w:r>
          </w:p>
        </w:tc>
        <w:tc>
          <w:tcPr>
            <w:tcW w:w="1500" w:type="dxa"/>
            <w:vAlign w:val="bottom"/>
            <w:tcBorders>
              <w:bottom w:val="single" w:sz="8" w:color="939598"/>
            </w:tcBorders>
            <w:shd w:val="clear" w:color="auto" w:fill="F3F3F4"/>
          </w:tcPr>
          <w:p>
            <w:pPr>
              <w:spacing w:after="0"/>
              <w:rPr>
                <w:sz w:val="23"/>
                <w:szCs w:val="23"/>
                <w:color w:val="auto"/>
              </w:rPr>
            </w:pPr>
          </w:p>
        </w:tc>
        <w:tc>
          <w:tcPr>
            <w:tcW w:w="700" w:type="dxa"/>
            <w:vAlign w:val="bottom"/>
            <w:tcBorders>
              <w:bottom w:val="single" w:sz="8" w:color="939598"/>
            </w:tcBorders>
            <w:shd w:val="clear" w:color="auto" w:fill="F3F3F4"/>
          </w:tcPr>
          <w:p>
            <w:pPr>
              <w:jc w:val="right"/>
              <w:ind w:right="13"/>
              <w:spacing w:after="0"/>
              <w:rPr>
                <w:sz w:val="20"/>
                <w:szCs w:val="20"/>
                <w:color w:val="auto"/>
              </w:rPr>
            </w:pPr>
            <w:r>
              <w:rPr>
                <w:rFonts w:ascii="Arial" w:cs="Arial" w:eastAsia="Arial" w:hAnsi="Arial"/>
                <w:sz w:val="13"/>
                <w:szCs w:val="13"/>
                <w:color w:val="auto"/>
              </w:rPr>
              <w:t>119,899</w:t>
            </w:r>
          </w:p>
        </w:tc>
      </w:tr>
      <w:tr>
        <w:trPr>
          <w:trHeight w:val="250"/>
        </w:trPr>
        <w:tc>
          <w:tcPr>
            <w:tcW w:w="6640" w:type="dxa"/>
            <w:vAlign w:val="bottom"/>
            <w:tcBorders>
              <w:bottom w:val="single" w:sz="8" w:color="F3F3F4"/>
            </w:tcBorders>
            <w:shd w:val="clear" w:color="auto" w:fill="F3F3F4"/>
          </w:tcPr>
          <w:p>
            <w:pPr>
              <w:ind w:left="100"/>
              <w:spacing w:after="0"/>
              <w:rPr>
                <w:sz w:val="20"/>
                <w:szCs w:val="20"/>
                <w:color w:val="auto"/>
              </w:rPr>
            </w:pPr>
            <w:r>
              <w:rPr>
                <w:rFonts w:ascii="Arial" w:cs="Arial" w:eastAsia="Arial" w:hAnsi="Arial"/>
                <w:sz w:val="13"/>
                <w:szCs w:val="13"/>
                <w:b w:val="1"/>
                <w:bCs w:val="1"/>
                <w:color w:val="auto"/>
              </w:rPr>
              <w:t>Total</w:t>
            </w:r>
          </w:p>
        </w:tc>
        <w:tc>
          <w:tcPr>
            <w:tcW w:w="2400" w:type="dxa"/>
            <w:vAlign w:val="bottom"/>
            <w:tcBorders>
              <w:bottom w:val="single" w:sz="8" w:color="F3F3F4"/>
            </w:tcBorders>
            <w:shd w:val="clear" w:color="auto" w:fill="F3F3F4"/>
          </w:tcPr>
          <w:p>
            <w:pPr>
              <w:jc w:val="right"/>
              <w:ind w:right="33"/>
              <w:spacing w:after="0"/>
              <w:rPr>
                <w:sz w:val="20"/>
                <w:szCs w:val="20"/>
                <w:color w:val="auto"/>
              </w:rPr>
            </w:pPr>
            <w:r>
              <w:rPr>
                <w:rFonts w:ascii="Arial" w:cs="Arial" w:eastAsia="Arial" w:hAnsi="Arial"/>
                <w:sz w:val="13"/>
                <w:szCs w:val="13"/>
                <w:color w:val="auto"/>
              </w:rPr>
              <w:t>1,450,830</w:t>
            </w:r>
          </w:p>
        </w:tc>
        <w:tc>
          <w:tcPr>
            <w:tcW w:w="1500" w:type="dxa"/>
            <w:vAlign w:val="bottom"/>
            <w:tcBorders>
              <w:bottom w:val="single" w:sz="8" w:color="F3F3F4"/>
            </w:tcBorders>
            <w:shd w:val="clear" w:color="auto" w:fill="F3F3F4"/>
          </w:tcPr>
          <w:p>
            <w:pPr>
              <w:spacing w:after="0"/>
              <w:rPr>
                <w:sz w:val="21"/>
                <w:szCs w:val="21"/>
                <w:color w:val="auto"/>
              </w:rPr>
            </w:pPr>
          </w:p>
        </w:tc>
        <w:tc>
          <w:tcPr>
            <w:tcW w:w="700" w:type="dxa"/>
            <w:vAlign w:val="bottom"/>
            <w:tcBorders>
              <w:bottom w:val="single" w:sz="8" w:color="F3F3F4"/>
            </w:tcBorders>
            <w:shd w:val="clear" w:color="auto" w:fill="F3F3F4"/>
          </w:tcPr>
          <w:p>
            <w:pPr>
              <w:jc w:val="right"/>
              <w:ind w:right="13"/>
              <w:spacing w:after="0"/>
              <w:rPr>
                <w:sz w:val="20"/>
                <w:szCs w:val="20"/>
                <w:color w:val="auto"/>
              </w:rPr>
            </w:pPr>
            <w:r>
              <w:rPr>
                <w:rFonts w:ascii="Arial" w:cs="Arial" w:eastAsia="Arial" w:hAnsi="Arial"/>
                <w:sz w:val="13"/>
                <w:szCs w:val="13"/>
                <w:color w:val="auto"/>
              </w:rPr>
              <w:t>1,519,899</w:t>
            </w:r>
          </w:p>
        </w:tc>
      </w:tr>
      <w:tr>
        <w:trPr>
          <w:trHeight w:val="402"/>
        </w:trPr>
        <w:tc>
          <w:tcPr>
            <w:tcW w:w="6640" w:type="dxa"/>
            <w:vAlign w:val="bottom"/>
            <w:tcBorders>
              <w:top w:val="single" w:sz="8" w:color="939598"/>
              <w:bottom w:val="single" w:sz="8" w:color="D1D2D4"/>
            </w:tcBorders>
          </w:tcPr>
          <w:p>
            <w:pPr>
              <w:spacing w:after="0"/>
              <w:rPr>
                <w:sz w:val="24"/>
                <w:szCs w:val="24"/>
                <w:color w:val="auto"/>
              </w:rPr>
            </w:pPr>
          </w:p>
        </w:tc>
        <w:tc>
          <w:tcPr>
            <w:tcW w:w="2400" w:type="dxa"/>
            <w:vAlign w:val="bottom"/>
            <w:tcBorders>
              <w:top w:val="single" w:sz="8" w:color="939598"/>
              <w:bottom w:val="single" w:sz="8" w:color="D1D2D4"/>
            </w:tcBorders>
          </w:tcPr>
          <w:p>
            <w:pPr>
              <w:spacing w:after="0"/>
              <w:rPr>
                <w:sz w:val="24"/>
                <w:szCs w:val="24"/>
                <w:color w:val="auto"/>
              </w:rPr>
            </w:pPr>
          </w:p>
        </w:tc>
        <w:tc>
          <w:tcPr>
            <w:tcW w:w="1500" w:type="dxa"/>
            <w:vAlign w:val="bottom"/>
            <w:tcBorders>
              <w:top w:val="single" w:sz="8" w:color="939598"/>
              <w:bottom w:val="single" w:sz="8" w:color="D1D2D4"/>
            </w:tcBorders>
          </w:tcPr>
          <w:p>
            <w:pPr>
              <w:spacing w:after="0"/>
              <w:rPr>
                <w:sz w:val="24"/>
                <w:szCs w:val="24"/>
                <w:color w:val="auto"/>
              </w:rPr>
            </w:pPr>
          </w:p>
        </w:tc>
        <w:tc>
          <w:tcPr>
            <w:tcW w:w="700" w:type="dxa"/>
            <w:vAlign w:val="bottom"/>
            <w:tcBorders>
              <w:top w:val="single" w:sz="8" w:color="939598"/>
              <w:bottom w:val="single" w:sz="8" w:color="D1D2D4"/>
            </w:tcBorders>
          </w:tcPr>
          <w:p>
            <w:pPr>
              <w:spacing w:after="0"/>
              <w:rPr>
                <w:sz w:val="24"/>
                <w:szCs w:val="24"/>
                <w:color w:val="auto"/>
              </w:rPr>
            </w:pPr>
          </w:p>
        </w:tc>
      </w:tr>
      <w:tr>
        <w:trPr>
          <w:trHeight w:val="290"/>
        </w:trPr>
        <w:tc>
          <w:tcPr>
            <w:tcW w:w="6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p>
        </w:tc>
        <w:tc>
          <w:tcPr>
            <w:tcW w:w="2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760"/>
              <w:spacing w:after="0"/>
              <w:rPr>
                <w:sz w:val="20"/>
                <w:szCs w:val="20"/>
                <w:color w:val="auto"/>
              </w:rPr>
            </w:pPr>
            <w:r>
              <w:rPr>
                <w:rFonts w:ascii="Arial" w:cs="Arial" w:eastAsia="Arial" w:hAnsi="Arial"/>
                <w:sz w:val="12"/>
                <w:szCs w:val="12"/>
                <w:color w:val="auto"/>
                <w:w w:val="94"/>
              </w:rPr>
              <w:t>PROPOSAL 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w:t>
            </w:r>
          </w:p>
        </w:tc>
      </w:tr>
    </w:tbl>
    <w:p>
      <w:pPr>
        <w:sectPr>
          <w:pgSz w:w="11900" w:h="16838" w:orient="portrait"/>
          <w:cols w:equalWidth="0" w:num="1">
            <w:col w:w="11240"/>
          </w:cols>
          <w:pgMar w:left="320" w:top="805" w:right="339" w:bottom="1440" w:gutter="0" w:footer="0" w:header="0"/>
        </w:sectPr>
      </w:pPr>
    </w:p>
    <w:bookmarkStart w:id="53" w:name="page54"/>
    <w:bookmarkEnd w:id="53"/>
    <w:p>
      <w:pPr>
        <w:jc w:val="both"/>
        <w:ind w:left="220" w:hanging="219"/>
        <w:spacing w:after="0" w:line="237" w:lineRule="auto"/>
        <w:tabs>
          <w:tab w:leader="none" w:pos="22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Audit Fees primarily represent amounts paid for the audit of our Consolidated Financial Statements included in our Annual Report to Shareholders, reviews of the quarterly financial statements included in our SEC Forms 10-Q, the performance of statutory audits for certain of our foreign subsidiaries, and services that are normally provided in connection with statutory and regulatory filings for those fiscal years, including expressing an opinion on our internal control over financial reporting.</w:t>
      </w:r>
    </w:p>
    <w:p>
      <w:pPr>
        <w:spacing w:after="0" w:line="112" w:lineRule="exact"/>
        <w:rPr>
          <w:sz w:val="20"/>
          <w:szCs w:val="20"/>
          <w:color w:val="auto"/>
        </w:rPr>
      </w:pPr>
    </w:p>
    <w:p>
      <w:pPr>
        <w:ind w:left="220" w:hanging="219"/>
        <w:spacing w:after="0" w:line="249" w:lineRule="auto"/>
        <w:tabs>
          <w:tab w:leader="none" w:pos="220" w:val="left"/>
        </w:tabs>
        <w:numPr>
          <w:ilvl w:val="0"/>
          <w:numId w:val="71"/>
        </w:numPr>
        <w:rPr>
          <w:rFonts w:ascii="Arial" w:cs="Arial" w:eastAsia="Arial" w:hAnsi="Arial"/>
          <w:sz w:val="13"/>
          <w:szCs w:val="13"/>
          <w:color w:val="auto"/>
        </w:rPr>
      </w:pPr>
      <w:r>
        <w:rPr>
          <w:rFonts w:ascii="Arial" w:cs="Arial" w:eastAsia="Arial" w:hAnsi="Arial"/>
          <w:sz w:val="13"/>
          <w:szCs w:val="13"/>
          <w:color w:val="auto"/>
        </w:rPr>
        <w:t>Audit-Related Fees represent amounts paid for assurance and related services that are reasonably related to the performance of the audit or review of financial statements and which are not included in Audit Fees above.</w:t>
      </w:r>
    </w:p>
    <w:p>
      <w:pPr>
        <w:spacing w:after="0" w:line="106" w:lineRule="exact"/>
        <w:rPr>
          <w:sz w:val="20"/>
          <w:szCs w:val="20"/>
          <w:color w:val="auto"/>
        </w:rPr>
      </w:pPr>
    </w:p>
    <w:p>
      <w:pPr>
        <w:ind w:left="220" w:hanging="219"/>
        <w:spacing w:after="0"/>
        <w:tabs>
          <w:tab w:leader="none" w:pos="2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Tax Fees represent amounts paid for tax compliance, tax advice and tax planning services.</w:t>
      </w:r>
    </w:p>
    <w:p>
      <w:pPr>
        <w:spacing w:after="0" w:line="128" w:lineRule="exact"/>
        <w:rPr>
          <w:sz w:val="20"/>
          <w:szCs w:val="20"/>
          <w:color w:val="auto"/>
        </w:rPr>
      </w:pPr>
    </w:p>
    <w:p>
      <w:pPr>
        <w:ind w:left="220" w:hanging="219"/>
        <w:spacing w:after="0"/>
        <w:tabs>
          <w:tab w:leader="none" w:pos="2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All Other Fees includes amounts paid for out-of-pocket expenses in connection with the audit.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7141210"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05"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Audit and Finance Committee oversees and monitors the Company’s financial reporting process on behalf of the Board of Directors. Management has the primary responsibility for the financial statements and the reporting process, including the Company’s system of internal controls. In fulfilling its oversight responsibilities, the Committee reviewed and discussed with management the audited financial statements to be included in the Company’s Annual Report on Form 10-K for the year ended September 30, 2024, including a discussion of the quality and the acceptability of the Company’s financial reporting practices and the internal controls over financial reporting.</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The Committee reviewed with Grant Thornton, the independent registered public accounting firm which is responsible for expressing opinions on the conformity of those audited financial statements with accounting principles generally accepted in the United States of America and on the Company’s internal control over financial reporting, its judgments as to the quality and the acceptability of the Company’s financial reporting and such other matters as are required to be discussed with the Committee under auditing standards generally accepted in the United States of America. In addition, the Committee discussed with Grant Thornton its independence from management and the Company, including the impact of any non-audit-related services provided to the Company, the matters in that firm’s written disclosures and the letter from Grant Thornton to the Committee pursuant to the applicable requirements of the Public Company Accounting Oversight Board (PCAOB) and the SEC regarding the independent accountants’ communications with the Audit Committee concerning independence, and the other matters required by the PCAOB’s Auditing Standards.</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Further, the Committee discussed with both the Company’s internal audit executive and Grant Thornton the overall scope and plans for their respective fiscal 2024 audits. The Committee met periodically with the Company’s internal audit executive and representatives of Grant Thornton, with and without management present, to discuss the results of their respective examinations, their respective evaluations of the Company’s internal controls (including internal controls over financial reporting), and the overall quality of the Company’s financial reporting.</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In reliance on the reviews and discussions referred to above, the Committee recommended to the Board of Directors that the audited financial statements be included in the Company’s Annual Report on Form 10-K for the fiscal year ended September 30, 2024 filed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Committee also appointed Grant Thornton as the Company’s independent registered public accounting firm for fiscal 2025.</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Audit And Finance Committee</w:t>
      </w:r>
    </w:p>
    <w:p>
      <w:pPr>
        <w:spacing w:after="0" w:line="238" w:lineRule="exact"/>
        <w:rPr>
          <w:sz w:val="20"/>
          <w:szCs w:val="20"/>
          <w:color w:val="auto"/>
        </w:rPr>
      </w:pPr>
    </w:p>
    <w:p>
      <w:pPr>
        <w:ind w:left="4800"/>
        <w:spacing w:after="0"/>
        <w:rPr>
          <w:sz w:val="20"/>
          <w:szCs w:val="20"/>
          <w:color w:val="auto"/>
        </w:rPr>
      </w:pPr>
      <w:r>
        <w:rPr>
          <w:rFonts w:ascii="Arial" w:cs="Arial" w:eastAsia="Arial" w:hAnsi="Arial"/>
          <w:sz w:val="15"/>
          <w:szCs w:val="15"/>
          <w:color w:val="auto"/>
        </w:rPr>
        <w:t>Patrick M. Dewar, Chair</w:t>
      </w:r>
    </w:p>
    <w:p>
      <w:pPr>
        <w:spacing w:after="0" w:line="18"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David A. Campbell</w:t>
      </w:r>
    </w:p>
    <w:p>
      <w:pPr>
        <w:spacing w:after="0" w:line="4"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Janice L. Hess</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15"/>
          <w:szCs w:val="15"/>
          <w:color w:val="auto"/>
        </w:rPr>
        <w:t>Vinod M. Khilnani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274320</wp:posOffset>
            </wp:positionV>
            <wp:extent cx="7141210"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PROPOSAL 3</w:t>
      </w:r>
      <w:r>
        <w:rPr>
          <w:sz w:val="20"/>
          <w:szCs w:val="20"/>
          <w:color w:val="auto"/>
        </w:rPr>
        <w:tab/>
      </w:r>
      <w:r>
        <w:rPr>
          <w:rFonts w:ascii="Arial" w:cs="Arial" w:eastAsia="Arial" w:hAnsi="Arial"/>
          <w:sz w:val="12"/>
          <w:szCs w:val="12"/>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1412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50"/>
          <w:szCs w:val="50"/>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141210" cy="400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12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SECURITIES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7141210"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05" w:lineRule="exact"/>
        <w:rPr>
          <w:sz w:val="20"/>
          <w:szCs w:val="20"/>
          <w:color w:val="auto"/>
        </w:rPr>
      </w:pPr>
    </w:p>
    <w:p>
      <w:pPr>
        <w:jc w:val="both"/>
        <w:ind w:left="20" w:right="20"/>
        <w:spacing w:after="0" w:line="255" w:lineRule="auto"/>
        <w:rPr>
          <w:sz w:val="20"/>
          <w:szCs w:val="20"/>
          <w:color w:val="auto"/>
        </w:rPr>
      </w:pPr>
      <w:r>
        <w:rPr>
          <w:rFonts w:ascii="Arial" w:cs="Arial" w:eastAsia="Arial" w:hAnsi="Arial"/>
          <w:sz w:val="15"/>
          <w:szCs w:val="15"/>
          <w:color w:val="auto"/>
        </w:rPr>
        <w:t>The following table sets forth certain information with respect to the number of shares beneficially owned by our directors and executive officers as of November 27, 2024, the record date for the Meeting. For purposes of this table and the following table, the “beneficial ownership” of shares means the power, either alone or shared with one or more other persons, to vote or direct the voting of the shares, and/or to dispose of or direct the disposition of the shares, and includes any shares with respect to which the named person had the right to acquire beneficial ownership within the next 60 days. Unless otherwise noted, each person had the sole voting and dispositive power over the shares listed.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Name of Beneficial Owner</w:t>
            </w:r>
          </w:p>
        </w:tc>
        <w:tc>
          <w:tcPr>
            <w:tcW w:w="338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Number of Shares Beneficially Owned</w:t>
            </w:r>
          </w:p>
        </w:tc>
        <w:tc>
          <w:tcPr>
            <w:tcW w:w="336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Percent of Outstanding Shares</w:t>
            </w:r>
            <w:r>
              <w:rPr>
                <w:rFonts w:ascii="Arial" w:cs="Arial" w:eastAsia="Arial" w:hAnsi="Arial"/>
                <w:sz w:val="22"/>
                <w:szCs w:val="22"/>
                <w:b w:val="1"/>
                <w:bCs w:val="1"/>
                <w:color w:val="auto"/>
                <w:vertAlign w:val="superscript"/>
              </w:rPr>
              <w:t>1</w:t>
            </w:r>
          </w:p>
        </w:tc>
      </w:tr>
      <w:tr>
        <w:trPr>
          <w:trHeight w:val="258"/>
        </w:trPr>
        <w:tc>
          <w:tcPr>
            <w:tcW w:w="450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David A. Campbell</w:t>
            </w:r>
          </w:p>
        </w:tc>
        <w:tc>
          <w:tcPr>
            <w:tcW w:w="3380" w:type="dxa"/>
            <w:vAlign w:val="bottom"/>
            <w:tcBorders>
              <w:bottom w:val="single" w:sz="8" w:color="808080"/>
            </w:tcBorders>
            <w:shd w:val="clear" w:color="auto" w:fill="F3F3F4"/>
          </w:tcPr>
          <w:p>
            <w:pPr>
              <w:jc w:val="right"/>
              <w:ind w:right="173"/>
              <w:spacing w:after="0"/>
              <w:rPr>
                <w:sz w:val="20"/>
                <w:szCs w:val="20"/>
                <w:color w:val="auto"/>
              </w:rPr>
            </w:pPr>
            <w:r>
              <w:rPr>
                <w:rFonts w:ascii="Arial" w:cs="Arial" w:eastAsia="Arial" w:hAnsi="Arial"/>
                <w:sz w:val="13"/>
                <w:szCs w:val="13"/>
                <w:color w:val="auto"/>
              </w:rPr>
              <w:t>916</w:t>
            </w:r>
            <w:r>
              <w:rPr>
                <w:rFonts w:ascii="Arial" w:cs="Arial" w:eastAsia="Arial" w:hAnsi="Arial"/>
                <w:sz w:val="19"/>
                <w:szCs w:val="19"/>
                <w:color w:val="auto"/>
                <w:vertAlign w:val="superscript"/>
              </w:rPr>
              <w:t>2</w:t>
            </w:r>
          </w:p>
        </w:tc>
        <w:tc>
          <w:tcPr>
            <w:tcW w:w="3360" w:type="dxa"/>
            <w:vAlign w:val="bottom"/>
            <w:tcBorders>
              <w:bottom w:val="single" w:sz="8" w:color="808080"/>
            </w:tcBorders>
            <w:shd w:val="clear" w:color="auto" w:fill="F3F3F4"/>
          </w:tcPr>
          <w:p>
            <w:pPr>
              <w:jc w:val="right"/>
              <w:ind w:right="15"/>
              <w:spacing w:after="0"/>
              <w:rPr>
                <w:sz w:val="20"/>
                <w:szCs w:val="20"/>
                <w:color w:val="auto"/>
              </w:rPr>
            </w:pPr>
            <w:r>
              <w:rPr>
                <w:rFonts w:ascii="Arial" w:cs="Arial" w:eastAsia="Arial" w:hAnsi="Arial"/>
                <w:sz w:val="8"/>
                <w:szCs w:val="8"/>
                <w:color w:val="auto"/>
              </w:rPr>
              <w:t>3</w:t>
            </w:r>
          </w:p>
        </w:tc>
      </w:tr>
      <w:tr>
        <w:trPr>
          <w:trHeight w:val="258"/>
        </w:trPr>
        <w:tc>
          <w:tcPr>
            <w:tcW w:w="450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Penelope M. Conner</w:t>
            </w:r>
          </w:p>
        </w:tc>
        <w:tc>
          <w:tcPr>
            <w:tcW w:w="3380" w:type="dxa"/>
            <w:vAlign w:val="bottom"/>
            <w:tcBorders>
              <w:bottom w:val="single" w:sz="8" w:color="808080"/>
            </w:tcBorders>
            <w:shd w:val="clear" w:color="auto" w:fill="F3F3F4"/>
          </w:tcPr>
          <w:p>
            <w:pPr>
              <w:jc w:val="right"/>
              <w:ind w:right="173"/>
              <w:spacing w:after="0"/>
              <w:rPr>
                <w:sz w:val="20"/>
                <w:szCs w:val="20"/>
                <w:color w:val="auto"/>
              </w:rPr>
            </w:pPr>
            <w:r>
              <w:rPr>
                <w:rFonts w:ascii="Arial" w:cs="Arial" w:eastAsia="Arial" w:hAnsi="Arial"/>
                <w:sz w:val="13"/>
                <w:szCs w:val="13"/>
                <w:color w:val="auto"/>
              </w:rPr>
              <w:t>704</w:t>
            </w:r>
            <w:r>
              <w:rPr>
                <w:rFonts w:ascii="Arial" w:cs="Arial" w:eastAsia="Arial" w:hAnsi="Arial"/>
                <w:sz w:val="19"/>
                <w:szCs w:val="19"/>
                <w:color w:val="auto"/>
                <w:vertAlign w:val="superscript"/>
              </w:rPr>
              <w:t>2</w:t>
            </w:r>
          </w:p>
        </w:tc>
        <w:tc>
          <w:tcPr>
            <w:tcW w:w="3360" w:type="dxa"/>
            <w:vAlign w:val="bottom"/>
            <w:tcBorders>
              <w:bottom w:val="single" w:sz="8" w:color="808080"/>
            </w:tcBorders>
            <w:shd w:val="clear" w:color="auto" w:fill="F3F3F4"/>
          </w:tcPr>
          <w:p>
            <w:pPr>
              <w:jc w:val="right"/>
              <w:ind w:right="15"/>
              <w:spacing w:after="0"/>
              <w:rPr>
                <w:sz w:val="20"/>
                <w:szCs w:val="20"/>
                <w:color w:val="auto"/>
              </w:rPr>
            </w:pPr>
            <w:r>
              <w:rPr>
                <w:rFonts w:ascii="Arial" w:cs="Arial" w:eastAsia="Arial" w:hAnsi="Arial"/>
                <w:sz w:val="8"/>
                <w:szCs w:val="8"/>
                <w:color w:val="auto"/>
              </w:rPr>
              <w:t>3</w:t>
            </w:r>
          </w:p>
        </w:tc>
      </w:tr>
      <w:tr>
        <w:trPr>
          <w:trHeight w:val="258"/>
        </w:trPr>
        <w:tc>
          <w:tcPr>
            <w:tcW w:w="450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Patrick M. Dewar</w:t>
            </w:r>
          </w:p>
        </w:tc>
        <w:tc>
          <w:tcPr>
            <w:tcW w:w="3380" w:type="dxa"/>
            <w:vAlign w:val="bottom"/>
            <w:tcBorders>
              <w:bottom w:val="single" w:sz="8" w:color="808080"/>
            </w:tcBorders>
            <w:shd w:val="clear" w:color="auto" w:fill="F3F3F4"/>
          </w:tcPr>
          <w:p>
            <w:pPr>
              <w:jc w:val="right"/>
              <w:ind w:right="173"/>
              <w:spacing w:after="0"/>
              <w:rPr>
                <w:sz w:val="20"/>
                <w:szCs w:val="20"/>
                <w:color w:val="auto"/>
              </w:rPr>
            </w:pPr>
            <w:r>
              <w:rPr>
                <w:rFonts w:ascii="Arial" w:cs="Arial" w:eastAsia="Arial" w:hAnsi="Arial"/>
                <w:sz w:val="13"/>
                <w:szCs w:val="13"/>
                <w:color w:val="auto"/>
              </w:rPr>
              <w:t>20,762</w:t>
            </w:r>
            <w:r>
              <w:rPr>
                <w:rFonts w:ascii="Arial" w:cs="Arial" w:eastAsia="Arial" w:hAnsi="Arial"/>
                <w:sz w:val="19"/>
                <w:szCs w:val="19"/>
                <w:color w:val="auto"/>
                <w:vertAlign w:val="superscript"/>
              </w:rPr>
              <w:t>2</w:t>
            </w:r>
          </w:p>
        </w:tc>
        <w:tc>
          <w:tcPr>
            <w:tcW w:w="3360" w:type="dxa"/>
            <w:vAlign w:val="bottom"/>
            <w:tcBorders>
              <w:bottom w:val="single" w:sz="8" w:color="808080"/>
            </w:tcBorders>
            <w:shd w:val="clear" w:color="auto" w:fill="F3F3F4"/>
          </w:tcPr>
          <w:p>
            <w:pPr>
              <w:jc w:val="right"/>
              <w:ind w:right="15"/>
              <w:spacing w:after="0"/>
              <w:rPr>
                <w:sz w:val="20"/>
                <w:szCs w:val="20"/>
                <w:color w:val="auto"/>
              </w:rPr>
            </w:pPr>
            <w:r>
              <w:rPr>
                <w:rFonts w:ascii="Arial" w:cs="Arial" w:eastAsia="Arial" w:hAnsi="Arial"/>
                <w:sz w:val="8"/>
                <w:szCs w:val="8"/>
                <w:color w:val="auto"/>
              </w:rPr>
              <w:t>3</w:t>
            </w:r>
          </w:p>
        </w:tc>
      </w:tr>
      <w:tr>
        <w:trPr>
          <w:trHeight w:val="258"/>
        </w:trPr>
        <w:tc>
          <w:tcPr>
            <w:tcW w:w="450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Janice L. Hess</w:t>
            </w:r>
          </w:p>
        </w:tc>
        <w:tc>
          <w:tcPr>
            <w:tcW w:w="3380" w:type="dxa"/>
            <w:vAlign w:val="bottom"/>
            <w:tcBorders>
              <w:bottom w:val="single" w:sz="8" w:color="808080"/>
            </w:tcBorders>
            <w:shd w:val="clear" w:color="auto" w:fill="F3F3F4"/>
          </w:tcPr>
          <w:p>
            <w:pPr>
              <w:jc w:val="right"/>
              <w:ind w:right="173"/>
              <w:spacing w:after="0"/>
              <w:rPr>
                <w:sz w:val="20"/>
                <w:szCs w:val="20"/>
                <w:color w:val="auto"/>
              </w:rPr>
            </w:pPr>
            <w:r>
              <w:rPr>
                <w:rFonts w:ascii="Arial" w:cs="Arial" w:eastAsia="Arial" w:hAnsi="Arial"/>
                <w:sz w:val="13"/>
                <w:szCs w:val="13"/>
                <w:color w:val="auto"/>
              </w:rPr>
              <w:t>7,173</w:t>
            </w:r>
            <w:r>
              <w:rPr>
                <w:rFonts w:ascii="Arial" w:cs="Arial" w:eastAsia="Arial" w:hAnsi="Arial"/>
                <w:sz w:val="19"/>
                <w:szCs w:val="19"/>
                <w:color w:val="auto"/>
                <w:vertAlign w:val="superscript"/>
              </w:rPr>
              <w:t>2</w:t>
            </w:r>
          </w:p>
        </w:tc>
        <w:tc>
          <w:tcPr>
            <w:tcW w:w="3360" w:type="dxa"/>
            <w:vAlign w:val="bottom"/>
            <w:tcBorders>
              <w:bottom w:val="single" w:sz="8" w:color="808080"/>
            </w:tcBorders>
            <w:shd w:val="clear" w:color="auto" w:fill="F3F3F4"/>
          </w:tcPr>
          <w:p>
            <w:pPr>
              <w:jc w:val="right"/>
              <w:ind w:right="15"/>
              <w:spacing w:after="0"/>
              <w:rPr>
                <w:sz w:val="20"/>
                <w:szCs w:val="20"/>
                <w:color w:val="auto"/>
              </w:rPr>
            </w:pPr>
            <w:r>
              <w:rPr>
                <w:rFonts w:ascii="Arial" w:cs="Arial" w:eastAsia="Arial" w:hAnsi="Arial"/>
                <w:sz w:val="8"/>
                <w:szCs w:val="8"/>
                <w:color w:val="auto"/>
              </w:rPr>
              <w:t>3</w:t>
            </w:r>
          </w:p>
        </w:tc>
      </w:tr>
      <w:tr>
        <w:trPr>
          <w:trHeight w:val="258"/>
        </w:trPr>
        <w:tc>
          <w:tcPr>
            <w:tcW w:w="450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Vinod M. Khilnani</w:t>
            </w:r>
          </w:p>
        </w:tc>
        <w:tc>
          <w:tcPr>
            <w:tcW w:w="3380" w:type="dxa"/>
            <w:vAlign w:val="bottom"/>
            <w:tcBorders>
              <w:bottom w:val="single" w:sz="8" w:color="808080"/>
            </w:tcBorders>
            <w:shd w:val="clear" w:color="auto" w:fill="F3F3F4"/>
          </w:tcPr>
          <w:p>
            <w:pPr>
              <w:jc w:val="right"/>
              <w:ind w:right="173"/>
              <w:spacing w:after="0"/>
              <w:rPr>
                <w:sz w:val="20"/>
                <w:szCs w:val="20"/>
                <w:color w:val="auto"/>
              </w:rPr>
            </w:pPr>
            <w:r>
              <w:rPr>
                <w:rFonts w:ascii="Arial" w:cs="Arial" w:eastAsia="Arial" w:hAnsi="Arial"/>
                <w:sz w:val="13"/>
                <w:szCs w:val="13"/>
                <w:color w:val="auto"/>
              </w:rPr>
              <w:t>23,684</w:t>
            </w:r>
            <w:r>
              <w:rPr>
                <w:rFonts w:ascii="Arial" w:cs="Arial" w:eastAsia="Arial" w:hAnsi="Arial"/>
                <w:sz w:val="19"/>
                <w:szCs w:val="19"/>
                <w:color w:val="auto"/>
                <w:vertAlign w:val="superscript"/>
              </w:rPr>
              <w:t>2</w:t>
            </w:r>
          </w:p>
        </w:tc>
        <w:tc>
          <w:tcPr>
            <w:tcW w:w="3360" w:type="dxa"/>
            <w:vAlign w:val="bottom"/>
            <w:tcBorders>
              <w:bottom w:val="single" w:sz="8" w:color="808080"/>
            </w:tcBorders>
            <w:shd w:val="clear" w:color="auto" w:fill="F3F3F4"/>
          </w:tcPr>
          <w:p>
            <w:pPr>
              <w:jc w:val="right"/>
              <w:ind w:right="15"/>
              <w:spacing w:after="0"/>
              <w:rPr>
                <w:sz w:val="20"/>
                <w:szCs w:val="20"/>
                <w:color w:val="auto"/>
              </w:rPr>
            </w:pPr>
            <w:r>
              <w:rPr>
                <w:rFonts w:ascii="Arial" w:cs="Arial" w:eastAsia="Arial" w:hAnsi="Arial"/>
                <w:sz w:val="8"/>
                <w:szCs w:val="8"/>
                <w:color w:val="auto"/>
              </w:rPr>
              <w:t>3</w:t>
            </w:r>
          </w:p>
        </w:tc>
      </w:tr>
      <w:tr>
        <w:trPr>
          <w:trHeight w:val="258"/>
        </w:trPr>
        <w:tc>
          <w:tcPr>
            <w:tcW w:w="450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Leon J. Olivier</w:t>
            </w:r>
          </w:p>
        </w:tc>
        <w:tc>
          <w:tcPr>
            <w:tcW w:w="3380" w:type="dxa"/>
            <w:vAlign w:val="bottom"/>
            <w:tcBorders>
              <w:bottom w:val="single" w:sz="8" w:color="808080"/>
            </w:tcBorders>
            <w:shd w:val="clear" w:color="auto" w:fill="F3F3F4"/>
          </w:tcPr>
          <w:p>
            <w:pPr>
              <w:jc w:val="right"/>
              <w:ind w:right="173"/>
              <w:spacing w:after="0"/>
              <w:rPr>
                <w:sz w:val="20"/>
                <w:szCs w:val="20"/>
                <w:color w:val="auto"/>
              </w:rPr>
            </w:pPr>
            <w:r>
              <w:rPr>
                <w:rFonts w:ascii="Arial" w:cs="Arial" w:eastAsia="Arial" w:hAnsi="Arial"/>
                <w:sz w:val="13"/>
                <w:szCs w:val="13"/>
                <w:color w:val="auto"/>
              </w:rPr>
              <w:t>37,019</w:t>
            </w:r>
            <w:r>
              <w:rPr>
                <w:rFonts w:ascii="Arial" w:cs="Arial" w:eastAsia="Arial" w:hAnsi="Arial"/>
                <w:sz w:val="19"/>
                <w:szCs w:val="19"/>
                <w:color w:val="auto"/>
                <w:vertAlign w:val="superscript"/>
              </w:rPr>
              <w:t>2</w:t>
            </w:r>
          </w:p>
        </w:tc>
        <w:tc>
          <w:tcPr>
            <w:tcW w:w="3360" w:type="dxa"/>
            <w:vAlign w:val="bottom"/>
            <w:tcBorders>
              <w:bottom w:val="single" w:sz="8" w:color="808080"/>
            </w:tcBorders>
            <w:shd w:val="clear" w:color="auto" w:fill="F3F3F4"/>
          </w:tcPr>
          <w:p>
            <w:pPr>
              <w:jc w:val="right"/>
              <w:ind w:right="15"/>
              <w:spacing w:after="0"/>
              <w:rPr>
                <w:sz w:val="20"/>
                <w:szCs w:val="20"/>
                <w:color w:val="auto"/>
              </w:rPr>
            </w:pPr>
            <w:r>
              <w:rPr>
                <w:rFonts w:ascii="Arial" w:cs="Arial" w:eastAsia="Arial" w:hAnsi="Arial"/>
                <w:sz w:val="8"/>
                <w:szCs w:val="8"/>
                <w:color w:val="auto"/>
              </w:rPr>
              <w:t>3</w:t>
            </w:r>
          </w:p>
        </w:tc>
      </w:tr>
      <w:tr>
        <w:trPr>
          <w:trHeight w:val="258"/>
        </w:trPr>
        <w:tc>
          <w:tcPr>
            <w:tcW w:w="450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Robert J. Phillippy</w:t>
            </w:r>
          </w:p>
        </w:tc>
        <w:tc>
          <w:tcPr>
            <w:tcW w:w="3380" w:type="dxa"/>
            <w:vAlign w:val="bottom"/>
            <w:tcBorders>
              <w:bottom w:val="single" w:sz="8" w:color="808080"/>
            </w:tcBorders>
            <w:shd w:val="clear" w:color="auto" w:fill="F3F3F4"/>
          </w:tcPr>
          <w:p>
            <w:pPr>
              <w:jc w:val="right"/>
              <w:ind w:right="173"/>
              <w:spacing w:after="0"/>
              <w:rPr>
                <w:sz w:val="20"/>
                <w:szCs w:val="20"/>
                <w:color w:val="auto"/>
              </w:rPr>
            </w:pPr>
            <w:r>
              <w:rPr>
                <w:rFonts w:ascii="Arial" w:cs="Arial" w:eastAsia="Arial" w:hAnsi="Arial"/>
                <w:sz w:val="13"/>
                <w:szCs w:val="13"/>
                <w:color w:val="auto"/>
              </w:rPr>
              <w:t>29,237</w:t>
            </w:r>
            <w:r>
              <w:rPr>
                <w:rFonts w:ascii="Arial" w:cs="Arial" w:eastAsia="Arial" w:hAnsi="Arial"/>
                <w:sz w:val="19"/>
                <w:szCs w:val="19"/>
                <w:color w:val="auto"/>
                <w:vertAlign w:val="superscript"/>
              </w:rPr>
              <w:t>2</w:t>
            </w:r>
          </w:p>
        </w:tc>
        <w:tc>
          <w:tcPr>
            <w:tcW w:w="3360" w:type="dxa"/>
            <w:vAlign w:val="bottom"/>
            <w:tcBorders>
              <w:bottom w:val="single" w:sz="8" w:color="808080"/>
            </w:tcBorders>
            <w:shd w:val="clear" w:color="auto" w:fill="F3F3F4"/>
          </w:tcPr>
          <w:p>
            <w:pPr>
              <w:jc w:val="right"/>
              <w:ind w:right="15"/>
              <w:spacing w:after="0"/>
              <w:rPr>
                <w:sz w:val="20"/>
                <w:szCs w:val="20"/>
                <w:color w:val="auto"/>
              </w:rPr>
            </w:pPr>
            <w:r>
              <w:rPr>
                <w:rFonts w:ascii="Arial" w:cs="Arial" w:eastAsia="Arial" w:hAnsi="Arial"/>
                <w:sz w:val="8"/>
                <w:szCs w:val="8"/>
                <w:color w:val="auto"/>
              </w:rPr>
              <w:t>3</w:t>
            </w:r>
          </w:p>
        </w:tc>
      </w:tr>
      <w:tr>
        <w:trPr>
          <w:trHeight w:val="258"/>
        </w:trPr>
        <w:tc>
          <w:tcPr>
            <w:tcW w:w="450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Bryan H. Sayler</w:t>
            </w:r>
          </w:p>
        </w:tc>
        <w:tc>
          <w:tcPr>
            <w:tcW w:w="3380" w:type="dxa"/>
            <w:vAlign w:val="bottom"/>
            <w:tcBorders>
              <w:bottom w:val="single" w:sz="8" w:color="808080"/>
            </w:tcBorders>
            <w:shd w:val="clear" w:color="auto" w:fill="F3F3F4"/>
          </w:tcPr>
          <w:p>
            <w:pPr>
              <w:jc w:val="right"/>
              <w:ind w:right="173"/>
              <w:spacing w:after="0"/>
              <w:rPr>
                <w:sz w:val="20"/>
                <w:szCs w:val="20"/>
                <w:color w:val="auto"/>
              </w:rPr>
            </w:pPr>
            <w:r>
              <w:rPr>
                <w:rFonts w:ascii="Arial" w:cs="Arial" w:eastAsia="Arial" w:hAnsi="Arial"/>
                <w:sz w:val="13"/>
                <w:szCs w:val="13"/>
                <w:color w:val="auto"/>
              </w:rPr>
              <w:t>17,441</w:t>
            </w:r>
            <w:r>
              <w:rPr>
                <w:rFonts w:ascii="Arial" w:cs="Arial" w:eastAsia="Arial" w:hAnsi="Arial"/>
                <w:sz w:val="19"/>
                <w:szCs w:val="19"/>
                <w:color w:val="auto"/>
                <w:vertAlign w:val="superscript"/>
              </w:rPr>
              <w:t>4</w:t>
            </w:r>
          </w:p>
        </w:tc>
        <w:tc>
          <w:tcPr>
            <w:tcW w:w="3360" w:type="dxa"/>
            <w:vAlign w:val="bottom"/>
            <w:tcBorders>
              <w:bottom w:val="single" w:sz="8" w:color="808080"/>
            </w:tcBorders>
            <w:shd w:val="clear" w:color="auto" w:fill="F3F3F4"/>
          </w:tcPr>
          <w:p>
            <w:pPr>
              <w:jc w:val="right"/>
              <w:ind w:right="15"/>
              <w:spacing w:after="0"/>
              <w:rPr>
                <w:sz w:val="20"/>
                <w:szCs w:val="20"/>
                <w:color w:val="auto"/>
              </w:rPr>
            </w:pPr>
            <w:r>
              <w:rPr>
                <w:rFonts w:ascii="Arial" w:cs="Arial" w:eastAsia="Arial" w:hAnsi="Arial"/>
                <w:sz w:val="8"/>
                <w:szCs w:val="8"/>
                <w:color w:val="auto"/>
              </w:rPr>
              <w:t>3</w:t>
            </w:r>
          </w:p>
        </w:tc>
      </w:tr>
      <w:tr>
        <w:trPr>
          <w:trHeight w:val="258"/>
        </w:trPr>
        <w:tc>
          <w:tcPr>
            <w:tcW w:w="450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David M. Schatz</w:t>
            </w:r>
          </w:p>
        </w:tc>
        <w:tc>
          <w:tcPr>
            <w:tcW w:w="3380" w:type="dxa"/>
            <w:vAlign w:val="bottom"/>
            <w:tcBorders>
              <w:bottom w:val="single" w:sz="8" w:color="808080"/>
            </w:tcBorders>
            <w:shd w:val="clear" w:color="auto" w:fill="F3F3F4"/>
          </w:tcPr>
          <w:p>
            <w:pPr>
              <w:jc w:val="right"/>
              <w:ind w:right="173"/>
              <w:spacing w:after="0"/>
              <w:rPr>
                <w:sz w:val="20"/>
                <w:szCs w:val="20"/>
                <w:color w:val="auto"/>
              </w:rPr>
            </w:pPr>
            <w:r>
              <w:rPr>
                <w:rFonts w:ascii="Arial" w:cs="Arial" w:eastAsia="Arial" w:hAnsi="Arial"/>
                <w:sz w:val="13"/>
                <w:szCs w:val="13"/>
                <w:color w:val="auto"/>
              </w:rPr>
              <w:t>21,003</w:t>
            </w:r>
            <w:r>
              <w:rPr>
                <w:rFonts w:ascii="Arial" w:cs="Arial" w:eastAsia="Arial" w:hAnsi="Arial"/>
                <w:sz w:val="19"/>
                <w:szCs w:val="19"/>
                <w:color w:val="auto"/>
                <w:vertAlign w:val="superscript"/>
              </w:rPr>
              <w:t>4</w:t>
            </w:r>
          </w:p>
        </w:tc>
        <w:tc>
          <w:tcPr>
            <w:tcW w:w="3360" w:type="dxa"/>
            <w:vAlign w:val="bottom"/>
            <w:tcBorders>
              <w:bottom w:val="single" w:sz="8" w:color="808080"/>
            </w:tcBorders>
            <w:shd w:val="clear" w:color="auto" w:fill="F3F3F4"/>
          </w:tcPr>
          <w:p>
            <w:pPr>
              <w:jc w:val="right"/>
              <w:ind w:right="15"/>
              <w:spacing w:after="0"/>
              <w:rPr>
                <w:sz w:val="20"/>
                <w:szCs w:val="20"/>
                <w:color w:val="auto"/>
              </w:rPr>
            </w:pPr>
            <w:r>
              <w:rPr>
                <w:rFonts w:ascii="Arial" w:cs="Arial" w:eastAsia="Arial" w:hAnsi="Arial"/>
                <w:sz w:val="8"/>
                <w:szCs w:val="8"/>
                <w:color w:val="auto"/>
              </w:rPr>
              <w:t>3</w:t>
            </w:r>
          </w:p>
        </w:tc>
      </w:tr>
      <w:tr>
        <w:trPr>
          <w:trHeight w:val="258"/>
        </w:trPr>
        <w:tc>
          <w:tcPr>
            <w:tcW w:w="450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Christopher L. Tucker</w:t>
            </w:r>
          </w:p>
        </w:tc>
        <w:tc>
          <w:tcPr>
            <w:tcW w:w="3380" w:type="dxa"/>
            <w:vAlign w:val="bottom"/>
            <w:tcBorders>
              <w:bottom w:val="single" w:sz="8" w:color="808080"/>
            </w:tcBorders>
            <w:shd w:val="clear" w:color="auto" w:fill="F3F3F4"/>
          </w:tcPr>
          <w:p>
            <w:pPr>
              <w:jc w:val="right"/>
              <w:ind w:right="173"/>
              <w:spacing w:after="0"/>
              <w:rPr>
                <w:sz w:val="20"/>
                <w:szCs w:val="20"/>
                <w:color w:val="auto"/>
              </w:rPr>
            </w:pPr>
            <w:r>
              <w:rPr>
                <w:rFonts w:ascii="Arial" w:cs="Arial" w:eastAsia="Arial" w:hAnsi="Arial"/>
                <w:sz w:val="13"/>
                <w:szCs w:val="13"/>
                <w:color w:val="auto"/>
              </w:rPr>
              <w:t>9,499</w:t>
            </w:r>
            <w:r>
              <w:rPr>
                <w:rFonts w:ascii="Arial" w:cs="Arial" w:eastAsia="Arial" w:hAnsi="Arial"/>
                <w:sz w:val="19"/>
                <w:szCs w:val="19"/>
                <w:color w:val="auto"/>
                <w:vertAlign w:val="superscript"/>
              </w:rPr>
              <w:t>4</w:t>
            </w:r>
          </w:p>
        </w:tc>
        <w:tc>
          <w:tcPr>
            <w:tcW w:w="3360" w:type="dxa"/>
            <w:vAlign w:val="bottom"/>
            <w:tcBorders>
              <w:bottom w:val="single" w:sz="8" w:color="808080"/>
            </w:tcBorders>
            <w:shd w:val="clear" w:color="auto" w:fill="F3F3F4"/>
          </w:tcPr>
          <w:p>
            <w:pPr>
              <w:jc w:val="right"/>
              <w:ind w:right="15"/>
              <w:spacing w:after="0"/>
              <w:rPr>
                <w:sz w:val="20"/>
                <w:szCs w:val="20"/>
                <w:color w:val="auto"/>
              </w:rPr>
            </w:pPr>
            <w:r>
              <w:rPr>
                <w:rFonts w:ascii="Arial" w:cs="Arial" w:eastAsia="Arial" w:hAnsi="Arial"/>
                <w:sz w:val="8"/>
                <w:szCs w:val="8"/>
                <w:color w:val="auto"/>
              </w:rPr>
              <w:t>3</w:t>
            </w:r>
          </w:p>
        </w:tc>
      </w:tr>
      <w:tr>
        <w:trPr>
          <w:trHeight w:val="258"/>
        </w:trPr>
        <w:tc>
          <w:tcPr>
            <w:tcW w:w="4500" w:type="dxa"/>
            <w:vAlign w:val="bottom"/>
            <w:tcBorders>
              <w:bottom w:val="single" w:sz="8" w:color="808080"/>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Gloria L. Valdez</w:t>
            </w:r>
          </w:p>
        </w:tc>
        <w:tc>
          <w:tcPr>
            <w:tcW w:w="3380" w:type="dxa"/>
            <w:vAlign w:val="bottom"/>
            <w:tcBorders>
              <w:bottom w:val="single" w:sz="8" w:color="808080"/>
            </w:tcBorders>
            <w:shd w:val="clear" w:color="auto" w:fill="F3F3F4"/>
          </w:tcPr>
          <w:p>
            <w:pPr>
              <w:jc w:val="right"/>
              <w:ind w:right="173"/>
              <w:spacing w:after="0"/>
              <w:rPr>
                <w:sz w:val="20"/>
                <w:szCs w:val="20"/>
                <w:color w:val="auto"/>
              </w:rPr>
            </w:pPr>
            <w:r>
              <w:rPr>
                <w:rFonts w:ascii="Arial" w:cs="Arial" w:eastAsia="Arial" w:hAnsi="Arial"/>
                <w:sz w:val="13"/>
                <w:szCs w:val="13"/>
                <w:color w:val="auto"/>
              </w:rPr>
              <w:t>9,622</w:t>
            </w:r>
            <w:r>
              <w:rPr>
                <w:rFonts w:ascii="Arial" w:cs="Arial" w:eastAsia="Arial" w:hAnsi="Arial"/>
                <w:sz w:val="19"/>
                <w:szCs w:val="19"/>
                <w:color w:val="auto"/>
                <w:vertAlign w:val="superscript"/>
              </w:rPr>
              <w:t>2</w:t>
            </w:r>
          </w:p>
        </w:tc>
        <w:tc>
          <w:tcPr>
            <w:tcW w:w="3360" w:type="dxa"/>
            <w:vAlign w:val="bottom"/>
            <w:tcBorders>
              <w:bottom w:val="single" w:sz="8" w:color="808080"/>
            </w:tcBorders>
            <w:shd w:val="clear" w:color="auto" w:fill="F3F3F4"/>
          </w:tcPr>
          <w:p>
            <w:pPr>
              <w:jc w:val="right"/>
              <w:ind w:right="15"/>
              <w:spacing w:after="0"/>
              <w:rPr>
                <w:sz w:val="20"/>
                <w:szCs w:val="20"/>
                <w:color w:val="auto"/>
              </w:rPr>
            </w:pPr>
            <w:r>
              <w:rPr>
                <w:rFonts w:ascii="Arial" w:cs="Arial" w:eastAsia="Arial" w:hAnsi="Arial"/>
                <w:sz w:val="8"/>
                <w:szCs w:val="8"/>
                <w:color w:val="auto"/>
              </w:rPr>
              <w:t>3</w:t>
            </w:r>
          </w:p>
        </w:tc>
      </w:tr>
      <w:tr>
        <w:trPr>
          <w:trHeight w:val="225"/>
        </w:trPr>
        <w:tc>
          <w:tcPr>
            <w:tcW w:w="4500" w:type="dxa"/>
            <w:vAlign w:val="bottom"/>
            <w:tcBorders>
              <w:bottom w:val="single" w:sz="8" w:color="F3F3F4"/>
            </w:tcBorders>
            <w:shd w:val="clear" w:color="auto" w:fill="F3F3F4"/>
          </w:tcPr>
          <w:p>
            <w:pPr>
              <w:ind w:left="120"/>
              <w:spacing w:after="0"/>
              <w:rPr>
                <w:sz w:val="20"/>
                <w:szCs w:val="20"/>
                <w:color w:val="auto"/>
              </w:rPr>
            </w:pPr>
            <w:r>
              <w:rPr>
                <w:rFonts w:ascii="Arial" w:cs="Arial" w:eastAsia="Arial" w:hAnsi="Arial"/>
                <w:sz w:val="13"/>
                <w:szCs w:val="13"/>
                <w:b w:val="1"/>
                <w:bCs w:val="1"/>
                <w:color w:val="auto"/>
              </w:rPr>
              <w:t>All directors and executive officers as a group (11 persons)</w:t>
            </w:r>
          </w:p>
        </w:tc>
        <w:tc>
          <w:tcPr>
            <w:tcW w:w="3380" w:type="dxa"/>
            <w:vAlign w:val="bottom"/>
            <w:tcBorders>
              <w:bottom w:val="single" w:sz="8" w:color="F3F3F4"/>
            </w:tcBorders>
            <w:shd w:val="clear" w:color="auto" w:fill="F3F3F4"/>
          </w:tcPr>
          <w:p>
            <w:pPr>
              <w:jc w:val="right"/>
              <w:ind w:right="173"/>
              <w:spacing w:after="0"/>
              <w:rPr>
                <w:sz w:val="20"/>
                <w:szCs w:val="20"/>
                <w:color w:val="auto"/>
              </w:rPr>
            </w:pPr>
            <w:r>
              <w:rPr>
                <w:rFonts w:ascii="Arial" w:cs="Arial" w:eastAsia="Arial" w:hAnsi="Arial"/>
                <w:sz w:val="13"/>
                <w:szCs w:val="13"/>
                <w:color w:val="auto"/>
              </w:rPr>
              <w:t>177,024</w:t>
            </w:r>
          </w:p>
        </w:tc>
        <w:tc>
          <w:tcPr>
            <w:tcW w:w="3360" w:type="dxa"/>
            <w:vAlign w:val="bottom"/>
            <w:tcBorders>
              <w:bottom w:val="single" w:sz="8" w:color="F3F3F4"/>
            </w:tcBorders>
            <w:shd w:val="clear" w:color="auto" w:fill="F3F3F4"/>
          </w:tcPr>
          <w:p>
            <w:pPr>
              <w:jc w:val="right"/>
              <w:ind w:right="15"/>
              <w:spacing w:after="0"/>
              <w:rPr>
                <w:sz w:val="20"/>
                <w:szCs w:val="20"/>
                <w:color w:val="auto"/>
              </w:rPr>
            </w:pPr>
            <w:r>
              <w:rPr>
                <w:rFonts w:ascii="Arial" w:cs="Arial" w:eastAsia="Arial" w:hAnsi="Arial"/>
                <w:sz w:val="13"/>
                <w:szCs w:val="13"/>
                <w:color w:val="auto"/>
              </w:rPr>
              <w:t>0.7%</w:t>
            </w:r>
          </w:p>
        </w:tc>
      </w:tr>
      <w:tr>
        <w:trPr>
          <w:trHeight w:val="20"/>
        </w:trPr>
        <w:tc>
          <w:tcPr>
            <w:tcW w:w="4500" w:type="dxa"/>
            <w:vAlign w:val="bottom"/>
            <w:shd w:val="clear" w:color="auto" w:fill="808080"/>
          </w:tcPr>
          <w:p>
            <w:pPr>
              <w:spacing w:after="0" w:line="20" w:lineRule="exact"/>
              <w:rPr>
                <w:sz w:val="1"/>
                <w:szCs w:val="1"/>
                <w:color w:val="auto"/>
              </w:rPr>
            </w:pPr>
          </w:p>
        </w:tc>
        <w:tc>
          <w:tcPr>
            <w:tcW w:w="3380" w:type="dxa"/>
            <w:vAlign w:val="bottom"/>
            <w:shd w:val="clear" w:color="auto" w:fill="808080"/>
          </w:tcPr>
          <w:p>
            <w:pPr>
              <w:spacing w:after="0" w:line="20" w:lineRule="exact"/>
              <w:rPr>
                <w:sz w:val="1"/>
                <w:szCs w:val="1"/>
                <w:color w:val="auto"/>
              </w:rPr>
            </w:pPr>
          </w:p>
        </w:tc>
        <w:tc>
          <w:tcPr>
            <w:tcW w:w="3360" w:type="dxa"/>
            <w:vAlign w:val="bottom"/>
            <w:shd w:val="clear" w:color="auto" w:fill="808080"/>
          </w:tcPr>
          <w:p>
            <w:pPr>
              <w:spacing w:after="0" w:line="20" w:lineRule="exact"/>
              <w:rPr>
                <w:sz w:val="1"/>
                <w:szCs w:val="1"/>
                <w:color w:val="auto"/>
              </w:rPr>
            </w:pPr>
          </w:p>
        </w:tc>
      </w:tr>
    </w:tbl>
    <w:p>
      <w:pPr>
        <w:spacing w:after="0" w:line="215" w:lineRule="exact"/>
        <w:rPr>
          <w:sz w:val="20"/>
          <w:szCs w:val="20"/>
          <w:color w:val="auto"/>
        </w:rPr>
      </w:pPr>
    </w:p>
    <w:p>
      <w:pPr>
        <w:ind w:left="240" w:hanging="226"/>
        <w:spacing w:after="0"/>
        <w:tabs>
          <w:tab w:leader="none" w:pos="2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Based on 25,793,175 shares outstanding as of November 27, 2024, the record date for the Meeting.</w:t>
      </w:r>
    </w:p>
    <w:p>
      <w:pPr>
        <w:spacing w:after="0" w:line="128" w:lineRule="exact"/>
        <w:rPr>
          <w:sz w:val="20"/>
          <w:szCs w:val="20"/>
          <w:color w:val="auto"/>
        </w:rPr>
      </w:pPr>
    </w:p>
    <w:p>
      <w:pPr>
        <w:jc w:val="both"/>
        <w:ind w:left="240" w:right="20" w:hanging="226"/>
        <w:spacing w:after="0" w:line="237" w:lineRule="auto"/>
        <w:tabs>
          <w:tab w:leader="none" w:pos="2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 xml:space="preserve">Includes approximately 916, 704, 20,762, 7,173, 1,737, 37,019, 20,755 and 9,622 common stock equivalents credited to the deferred compensation accounts of Mr. Campbell, Ms. Conner, Mr. Dewar, Ms. Hess, Mr. Khilnani, Mr. Olivier, Mr. Phillippy and Ms. Valdez, respectively, under the Compensation Plan for Non Employee Directors. See </w:t>
      </w:r>
      <w:r>
        <w:rPr>
          <w:rFonts w:ascii="Arial" w:cs="Arial" w:eastAsia="Arial" w:hAnsi="Arial"/>
          <w:sz w:val="13"/>
          <w:szCs w:val="13"/>
          <w:b w:val="1"/>
          <w:bCs w:val="1"/>
          <w:i w:val="1"/>
          <w:iCs w:val="1"/>
          <w:color w:val="auto"/>
        </w:rPr>
        <w:t>Director Compensation</w:t>
      </w:r>
      <w:r>
        <w:rPr>
          <w:rFonts w:ascii="Arial" w:cs="Arial" w:eastAsia="Arial" w:hAnsi="Arial"/>
          <w:sz w:val="13"/>
          <w:szCs w:val="13"/>
          <w:color w:val="auto"/>
        </w:rPr>
        <w:t xml:space="preserve"> beginning on </w:t>
      </w:r>
      <w:r>
        <w:rPr>
          <w:rFonts w:ascii="Arial" w:cs="Arial" w:eastAsia="Arial" w:hAnsi="Arial"/>
          <w:sz w:val="13"/>
          <w:szCs w:val="13"/>
          <w:u w:val="single" w:color="auto"/>
          <w:color w:val="auto"/>
        </w:rPr>
        <w:t>page</w:t>
      </w:r>
      <w:r>
        <w:rPr>
          <w:rFonts w:ascii="Arial" w:cs="Arial" w:eastAsia="Arial" w:hAnsi="Arial"/>
          <w:sz w:val="13"/>
          <w:szCs w:val="13"/>
          <w:color w:val="auto"/>
        </w:rPr>
        <w:t xml:space="preserve"> </w:t>
      </w:r>
      <w:r>
        <w:rPr>
          <w:rFonts w:ascii="Arial" w:cs="Arial" w:eastAsia="Arial" w:hAnsi="Arial"/>
          <w:sz w:val="13"/>
          <w:szCs w:val="13"/>
          <w:u w:val="single" w:color="auto"/>
          <w:color w:val="auto"/>
        </w:rPr>
        <w:t>20</w:t>
      </w:r>
      <w:r>
        <w:rPr>
          <w:rFonts w:ascii="Arial" w:cs="Arial" w:eastAsia="Arial" w:hAnsi="Arial"/>
          <w:sz w:val="13"/>
          <w:szCs w:val="13"/>
          <w:color w:val="auto"/>
        </w:rPr>
        <w:t>. Stock equivalents have been rounded to the nearest whole share.</w:t>
      </w:r>
    </w:p>
    <w:p>
      <w:pPr>
        <w:spacing w:after="0" w:line="112" w:lineRule="exact"/>
        <w:rPr>
          <w:sz w:val="20"/>
          <w:szCs w:val="20"/>
          <w:color w:val="auto"/>
        </w:rPr>
      </w:pPr>
    </w:p>
    <w:p>
      <w:pPr>
        <w:ind w:left="240" w:hanging="226"/>
        <w:spacing w:after="0"/>
        <w:tabs>
          <w:tab w:leader="none" w:pos="2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Less than 0.2%.</w:t>
      </w:r>
    </w:p>
    <w:p>
      <w:pPr>
        <w:spacing w:after="0" w:line="128" w:lineRule="exact"/>
        <w:rPr>
          <w:sz w:val="20"/>
          <w:szCs w:val="20"/>
          <w:color w:val="auto"/>
        </w:rPr>
      </w:pPr>
    </w:p>
    <w:p>
      <w:pPr>
        <w:ind w:left="240" w:right="20" w:hanging="226"/>
        <w:spacing w:after="0" w:line="301" w:lineRule="auto"/>
        <w:tabs>
          <w:tab w:leader="none" w:pos="2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 xml:space="preserve">Includes shares held in our Employee Stock Purchase Plan. Does not include 24,147, 15,172 and 6,452 unvested RSU award units held by Mr. Sayler, Mr. Tucker and Mr. Schatz, respectively, and a currently indeterminate number of shares issuable upon vesting of unvested PSUs held by the executive officers, as described under </w:t>
      </w:r>
      <w:r>
        <w:rPr>
          <w:rFonts w:ascii="Arial" w:cs="Arial" w:eastAsia="Arial" w:hAnsi="Arial"/>
          <w:sz w:val="12"/>
          <w:szCs w:val="12"/>
          <w:b w:val="1"/>
          <w:bCs w:val="1"/>
          <w:i w:val="1"/>
          <w:iCs w:val="1"/>
          <w:color w:val="auto"/>
        </w:rPr>
        <w:t>Long-Term Equity Incentive Compensation</w:t>
      </w:r>
      <w:r>
        <w:rPr>
          <w:rFonts w:ascii="Arial" w:cs="Arial" w:eastAsia="Arial" w:hAnsi="Arial"/>
          <w:sz w:val="12"/>
          <w:szCs w:val="12"/>
          <w:color w:val="auto"/>
        </w:rPr>
        <w:t xml:space="preserve"> on </w:t>
      </w:r>
      <w:r>
        <w:rPr>
          <w:rFonts w:ascii="Arial" w:cs="Arial" w:eastAsia="Arial" w:hAnsi="Arial"/>
          <w:sz w:val="12"/>
          <w:szCs w:val="12"/>
          <w:u w:val="single" w:color="auto"/>
          <w:color w:val="auto"/>
        </w:rPr>
        <w:t>page 31</w:t>
      </w:r>
      <w:r>
        <w:rPr>
          <w:rFonts w:ascii="Arial" w:cs="Arial" w:eastAsia="Arial" w:hAnsi="Arial"/>
          <w:sz w:val="12"/>
          <w:szCs w:val="12"/>
          <w:color w:val="auto"/>
        </w:rPr>
        <w:t>.</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SECURITIES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7141210"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05"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5"/>
          <w:szCs w:val="15"/>
          <w:color w:val="auto"/>
        </w:rPr>
        <w:t>The following table sets forth certain information with respect to each person known by us as of the dates set forth in the footnotes below to be deemed, pursuant to applicable SEC regulations, to beneficially own more than five percent of our outstanding shares. For this purpose, beneficial ownership of shares is determined in accordance with SEC Rule 13d-3 and includes sole or shared voting and/or dispositive power with respect to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7141210"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spacing w:after="0"/>
        <w:tabs>
          <w:tab w:leader="none" w:pos="932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OTHER INFORMATION</w:t>
      </w:r>
      <w:r>
        <w:rPr>
          <w:sz w:val="20"/>
          <w:szCs w:val="20"/>
          <w:color w:val="auto"/>
        </w:rPr>
        <w:tab/>
      </w:r>
      <w:r>
        <w:rPr>
          <w:rFonts w:ascii="Arial" w:cs="Arial" w:eastAsia="Arial" w:hAnsi="Arial"/>
          <w:sz w:val="12"/>
          <w:szCs w:val="12"/>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1412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50"/>
        </w:trPr>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Name and Address of Beneficial Owner</w:t>
            </w:r>
          </w:p>
        </w:tc>
        <w:tc>
          <w:tcPr>
            <w:tcW w:w="358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Number of Shares Beneficially Owned</w:t>
            </w:r>
          </w:p>
        </w:tc>
        <w:tc>
          <w:tcPr>
            <w:tcW w:w="36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Percent of Outstanding Shares</w:t>
            </w:r>
            <w:r>
              <w:rPr>
                <w:rFonts w:ascii="Arial" w:cs="Arial" w:eastAsia="Arial" w:hAnsi="Arial"/>
                <w:sz w:val="19"/>
                <w:szCs w:val="19"/>
                <w:b w:val="1"/>
                <w:bCs w:val="1"/>
                <w:color w:val="auto"/>
                <w:vertAlign w:val="superscript"/>
              </w:rPr>
              <w:t>1</w:t>
            </w:r>
          </w:p>
        </w:tc>
      </w:tr>
      <w:tr>
        <w:trPr>
          <w:trHeight w:val="245"/>
        </w:trPr>
        <w:tc>
          <w:tcPr>
            <w:tcW w:w="4060" w:type="dxa"/>
            <w:vAlign w:val="bottom"/>
            <w:shd w:val="clear" w:color="auto" w:fill="F3F3F4"/>
          </w:tcPr>
          <w:p>
            <w:pPr>
              <w:ind w:left="80"/>
              <w:spacing w:after="0"/>
              <w:rPr>
                <w:sz w:val="20"/>
                <w:szCs w:val="20"/>
                <w:color w:val="auto"/>
              </w:rPr>
            </w:pPr>
            <w:r>
              <w:rPr>
                <w:rFonts w:ascii="Arial" w:cs="Arial" w:eastAsia="Arial" w:hAnsi="Arial"/>
                <w:sz w:val="13"/>
                <w:szCs w:val="13"/>
                <w:b w:val="1"/>
                <w:bCs w:val="1"/>
                <w:color w:val="auto"/>
              </w:rPr>
              <w:t>BlackRock, Inc</w:t>
            </w:r>
          </w:p>
        </w:tc>
        <w:tc>
          <w:tcPr>
            <w:tcW w:w="3580" w:type="dxa"/>
            <w:vAlign w:val="bottom"/>
            <w:shd w:val="clear" w:color="auto" w:fill="F3F3F4"/>
          </w:tcPr>
          <w:p>
            <w:pPr>
              <w:jc w:val="right"/>
              <w:ind w:right="15"/>
              <w:spacing w:after="0" w:line="245" w:lineRule="exact"/>
              <w:rPr>
                <w:sz w:val="20"/>
                <w:szCs w:val="20"/>
                <w:color w:val="auto"/>
              </w:rPr>
            </w:pPr>
            <w:r>
              <w:rPr>
                <w:rFonts w:ascii="Arial" w:cs="Arial" w:eastAsia="Arial" w:hAnsi="Arial"/>
                <w:sz w:val="13"/>
                <w:szCs w:val="13"/>
                <w:color w:val="auto"/>
              </w:rPr>
              <w:t>3,972,329</w:t>
            </w:r>
            <w:r>
              <w:rPr>
                <w:rFonts w:ascii="Arial" w:cs="Arial" w:eastAsia="Arial" w:hAnsi="Arial"/>
                <w:sz w:val="22"/>
                <w:szCs w:val="22"/>
                <w:color w:val="auto"/>
                <w:vertAlign w:val="superscript"/>
              </w:rPr>
              <w:t>2</w:t>
            </w:r>
          </w:p>
        </w:tc>
        <w:tc>
          <w:tcPr>
            <w:tcW w:w="3600" w:type="dxa"/>
            <w:vAlign w:val="bottom"/>
            <w:shd w:val="clear" w:color="auto" w:fill="F3F3F4"/>
          </w:tcPr>
          <w:p>
            <w:pPr>
              <w:jc w:val="right"/>
              <w:ind w:right="15"/>
              <w:spacing w:after="0"/>
              <w:rPr>
                <w:sz w:val="20"/>
                <w:szCs w:val="20"/>
                <w:color w:val="auto"/>
              </w:rPr>
            </w:pPr>
            <w:r>
              <w:rPr>
                <w:rFonts w:ascii="Arial" w:cs="Arial" w:eastAsia="Arial" w:hAnsi="Arial"/>
                <w:sz w:val="13"/>
                <w:szCs w:val="13"/>
                <w:color w:val="auto"/>
              </w:rPr>
              <w:t>15.4%</w:t>
            </w:r>
          </w:p>
        </w:tc>
      </w:tr>
      <w:tr>
        <w:trPr>
          <w:trHeight w:val="183"/>
        </w:trPr>
        <w:tc>
          <w:tcPr>
            <w:tcW w:w="4060" w:type="dxa"/>
            <w:vAlign w:val="bottom"/>
            <w:tcBorders>
              <w:bottom w:val="single" w:sz="8" w:color="939598"/>
            </w:tcBorders>
            <w:shd w:val="clear" w:color="auto" w:fill="F3F3F4"/>
          </w:tcPr>
          <w:p>
            <w:pPr>
              <w:ind w:left="80"/>
              <w:spacing w:after="0"/>
              <w:rPr>
                <w:sz w:val="20"/>
                <w:szCs w:val="20"/>
                <w:color w:val="auto"/>
              </w:rPr>
            </w:pPr>
            <w:r>
              <w:rPr>
                <w:rFonts w:ascii="Arial" w:cs="Arial" w:eastAsia="Arial" w:hAnsi="Arial"/>
                <w:sz w:val="13"/>
                <w:szCs w:val="13"/>
                <w:color w:val="auto"/>
              </w:rPr>
              <w:t>50 Hudson Yards, New York, NY 10001</w:t>
            </w:r>
          </w:p>
        </w:tc>
        <w:tc>
          <w:tcPr>
            <w:tcW w:w="3580" w:type="dxa"/>
            <w:vAlign w:val="bottom"/>
            <w:tcBorders>
              <w:bottom w:val="single" w:sz="8" w:color="939598"/>
            </w:tcBorders>
            <w:shd w:val="clear" w:color="auto" w:fill="F3F3F4"/>
          </w:tcPr>
          <w:p>
            <w:pPr>
              <w:spacing w:after="0"/>
              <w:rPr>
                <w:sz w:val="15"/>
                <w:szCs w:val="15"/>
                <w:color w:val="auto"/>
              </w:rPr>
            </w:pPr>
          </w:p>
        </w:tc>
        <w:tc>
          <w:tcPr>
            <w:tcW w:w="3600" w:type="dxa"/>
            <w:vAlign w:val="bottom"/>
            <w:tcBorders>
              <w:bottom w:val="single" w:sz="8" w:color="939598"/>
            </w:tcBorders>
            <w:shd w:val="clear" w:color="auto" w:fill="F3F3F4"/>
          </w:tcPr>
          <w:p>
            <w:pPr>
              <w:spacing w:after="0"/>
              <w:rPr>
                <w:sz w:val="15"/>
                <w:szCs w:val="15"/>
                <w:color w:val="auto"/>
              </w:rPr>
            </w:pPr>
          </w:p>
        </w:tc>
      </w:tr>
      <w:tr>
        <w:trPr>
          <w:trHeight w:val="244"/>
        </w:trPr>
        <w:tc>
          <w:tcPr>
            <w:tcW w:w="4060" w:type="dxa"/>
            <w:vAlign w:val="bottom"/>
            <w:shd w:val="clear" w:color="auto" w:fill="F3F3F4"/>
          </w:tcPr>
          <w:p>
            <w:pPr>
              <w:ind w:left="80"/>
              <w:spacing w:after="0"/>
              <w:rPr>
                <w:sz w:val="20"/>
                <w:szCs w:val="20"/>
                <w:color w:val="auto"/>
              </w:rPr>
            </w:pPr>
            <w:r>
              <w:rPr>
                <w:rFonts w:ascii="Arial" w:cs="Arial" w:eastAsia="Arial" w:hAnsi="Arial"/>
                <w:sz w:val="13"/>
                <w:szCs w:val="13"/>
                <w:b w:val="1"/>
                <w:bCs w:val="1"/>
                <w:color w:val="auto"/>
              </w:rPr>
              <w:t>Vanguard Group, Inc.</w:t>
            </w:r>
          </w:p>
        </w:tc>
        <w:tc>
          <w:tcPr>
            <w:tcW w:w="3580" w:type="dxa"/>
            <w:vAlign w:val="bottom"/>
            <w:shd w:val="clear" w:color="auto" w:fill="F3F3F4"/>
          </w:tcPr>
          <w:p>
            <w:pPr>
              <w:jc w:val="right"/>
              <w:ind w:right="15"/>
              <w:spacing w:after="0" w:line="244" w:lineRule="exact"/>
              <w:rPr>
                <w:sz w:val="20"/>
                <w:szCs w:val="20"/>
                <w:color w:val="auto"/>
              </w:rPr>
            </w:pPr>
            <w:r>
              <w:rPr>
                <w:rFonts w:ascii="Arial" w:cs="Arial" w:eastAsia="Arial" w:hAnsi="Arial"/>
                <w:sz w:val="13"/>
                <w:szCs w:val="13"/>
                <w:color w:val="auto"/>
              </w:rPr>
              <w:t>2,875,227</w:t>
            </w:r>
            <w:r>
              <w:rPr>
                <w:rFonts w:ascii="Arial" w:cs="Arial" w:eastAsia="Arial" w:hAnsi="Arial"/>
                <w:sz w:val="22"/>
                <w:szCs w:val="22"/>
                <w:color w:val="auto"/>
                <w:vertAlign w:val="superscript"/>
              </w:rPr>
              <w:t>3</w:t>
            </w:r>
          </w:p>
        </w:tc>
        <w:tc>
          <w:tcPr>
            <w:tcW w:w="3600" w:type="dxa"/>
            <w:vAlign w:val="bottom"/>
            <w:shd w:val="clear" w:color="auto" w:fill="F3F3F4"/>
          </w:tcPr>
          <w:p>
            <w:pPr>
              <w:jc w:val="right"/>
              <w:ind w:right="15"/>
              <w:spacing w:after="0"/>
              <w:rPr>
                <w:sz w:val="20"/>
                <w:szCs w:val="20"/>
                <w:color w:val="auto"/>
              </w:rPr>
            </w:pPr>
            <w:r>
              <w:rPr>
                <w:rFonts w:ascii="Arial" w:cs="Arial" w:eastAsia="Arial" w:hAnsi="Arial"/>
                <w:sz w:val="13"/>
                <w:szCs w:val="13"/>
                <w:color w:val="auto"/>
              </w:rPr>
              <w:t>11.1%</w:t>
            </w:r>
          </w:p>
        </w:tc>
      </w:tr>
      <w:tr>
        <w:trPr>
          <w:trHeight w:val="202"/>
        </w:trPr>
        <w:tc>
          <w:tcPr>
            <w:tcW w:w="4060" w:type="dxa"/>
            <w:vAlign w:val="bottom"/>
            <w:tcBorders>
              <w:bottom w:val="single" w:sz="8" w:color="F3F3F4"/>
            </w:tcBorders>
            <w:shd w:val="clear" w:color="auto" w:fill="F3F3F4"/>
          </w:tcPr>
          <w:p>
            <w:pPr>
              <w:ind w:left="80"/>
              <w:spacing w:after="0"/>
              <w:rPr>
                <w:sz w:val="20"/>
                <w:szCs w:val="20"/>
                <w:color w:val="auto"/>
              </w:rPr>
            </w:pPr>
            <w:r>
              <w:rPr>
                <w:rFonts w:ascii="Arial" w:cs="Arial" w:eastAsia="Arial" w:hAnsi="Arial"/>
                <w:sz w:val="13"/>
                <w:szCs w:val="13"/>
                <w:color w:val="auto"/>
              </w:rPr>
              <w:t>PO Box 2600, V26, Valley Forge, PA 19482</w:t>
            </w:r>
          </w:p>
        </w:tc>
        <w:tc>
          <w:tcPr>
            <w:tcW w:w="3580" w:type="dxa"/>
            <w:vAlign w:val="bottom"/>
            <w:tcBorders>
              <w:bottom w:val="single" w:sz="8" w:color="F3F3F4"/>
            </w:tcBorders>
            <w:shd w:val="clear" w:color="auto" w:fill="F3F3F4"/>
          </w:tcPr>
          <w:p>
            <w:pPr>
              <w:spacing w:after="0"/>
              <w:rPr>
                <w:sz w:val="17"/>
                <w:szCs w:val="17"/>
                <w:color w:val="auto"/>
              </w:rPr>
            </w:pPr>
          </w:p>
        </w:tc>
        <w:tc>
          <w:tcPr>
            <w:tcW w:w="3600" w:type="dxa"/>
            <w:vAlign w:val="bottom"/>
            <w:tcBorders>
              <w:bottom w:val="single" w:sz="8" w:color="F3F3F4"/>
            </w:tcBorders>
            <w:shd w:val="clear" w:color="auto" w:fill="F3F3F4"/>
          </w:tcPr>
          <w:p>
            <w:pPr>
              <w:spacing w:after="0"/>
              <w:rPr>
                <w:sz w:val="17"/>
                <w:szCs w:val="17"/>
                <w:color w:val="auto"/>
              </w:rPr>
            </w:pPr>
          </w:p>
        </w:tc>
      </w:tr>
      <w:tr>
        <w:trPr>
          <w:trHeight w:val="238"/>
        </w:trPr>
        <w:tc>
          <w:tcPr>
            <w:tcW w:w="4060" w:type="dxa"/>
            <w:vAlign w:val="bottom"/>
            <w:tcBorders>
              <w:top w:val="single" w:sz="8" w:color="939598"/>
            </w:tcBorders>
            <w:shd w:val="clear" w:color="auto" w:fill="F3F3F4"/>
          </w:tcPr>
          <w:p>
            <w:pPr>
              <w:ind w:left="80"/>
              <w:spacing w:after="0"/>
              <w:rPr>
                <w:sz w:val="20"/>
                <w:szCs w:val="20"/>
                <w:color w:val="auto"/>
              </w:rPr>
            </w:pPr>
            <w:r>
              <w:rPr>
                <w:rFonts w:ascii="Arial" w:cs="Arial" w:eastAsia="Arial" w:hAnsi="Arial"/>
                <w:sz w:val="13"/>
                <w:szCs w:val="13"/>
                <w:b w:val="1"/>
                <w:bCs w:val="1"/>
                <w:color w:val="auto"/>
              </w:rPr>
              <w:t>Dimensional Fund Advisors, LP</w:t>
            </w:r>
          </w:p>
        </w:tc>
        <w:tc>
          <w:tcPr>
            <w:tcW w:w="3580" w:type="dxa"/>
            <w:vAlign w:val="bottom"/>
            <w:tcBorders>
              <w:top w:val="single" w:sz="8" w:color="939598"/>
            </w:tcBorders>
            <w:shd w:val="clear" w:color="auto" w:fill="F3F3F4"/>
          </w:tcPr>
          <w:p>
            <w:pPr>
              <w:jc w:val="right"/>
              <w:ind w:right="15"/>
              <w:spacing w:after="0" w:line="238" w:lineRule="exact"/>
              <w:rPr>
                <w:sz w:val="20"/>
                <w:szCs w:val="20"/>
                <w:color w:val="auto"/>
              </w:rPr>
            </w:pPr>
            <w:r>
              <w:rPr>
                <w:rFonts w:ascii="Arial" w:cs="Arial" w:eastAsia="Arial" w:hAnsi="Arial"/>
                <w:sz w:val="13"/>
                <w:szCs w:val="13"/>
                <w:color w:val="auto"/>
              </w:rPr>
              <w:t>1,348,098</w:t>
            </w:r>
            <w:r>
              <w:rPr>
                <w:rFonts w:ascii="Arial" w:cs="Arial" w:eastAsia="Arial" w:hAnsi="Arial"/>
                <w:sz w:val="22"/>
                <w:szCs w:val="22"/>
                <w:color w:val="auto"/>
                <w:vertAlign w:val="superscript"/>
              </w:rPr>
              <w:t>4</w:t>
            </w:r>
          </w:p>
        </w:tc>
        <w:tc>
          <w:tcPr>
            <w:tcW w:w="3600" w:type="dxa"/>
            <w:vAlign w:val="bottom"/>
            <w:tcBorders>
              <w:top w:val="single" w:sz="8" w:color="939598"/>
            </w:tcBorders>
            <w:shd w:val="clear" w:color="auto" w:fill="F3F3F4"/>
          </w:tcPr>
          <w:p>
            <w:pPr>
              <w:jc w:val="right"/>
              <w:ind w:right="15"/>
              <w:spacing w:after="0"/>
              <w:rPr>
                <w:sz w:val="20"/>
                <w:szCs w:val="20"/>
                <w:color w:val="auto"/>
              </w:rPr>
            </w:pPr>
            <w:r>
              <w:rPr>
                <w:rFonts w:ascii="Arial" w:cs="Arial" w:eastAsia="Arial" w:hAnsi="Arial"/>
                <w:sz w:val="13"/>
                <w:szCs w:val="13"/>
                <w:color w:val="auto"/>
              </w:rPr>
              <w:t>5.2%</w:t>
            </w:r>
          </w:p>
        </w:tc>
      </w:tr>
      <w:tr>
        <w:trPr>
          <w:trHeight w:val="177"/>
        </w:trPr>
        <w:tc>
          <w:tcPr>
            <w:tcW w:w="4060" w:type="dxa"/>
            <w:vAlign w:val="bottom"/>
            <w:tcBorders>
              <w:bottom w:val="single" w:sz="8" w:color="F3F3F4"/>
            </w:tcBorders>
            <w:shd w:val="clear" w:color="auto" w:fill="F3F3F4"/>
          </w:tcPr>
          <w:p>
            <w:pPr>
              <w:ind w:left="80"/>
              <w:spacing w:after="0"/>
              <w:rPr>
                <w:sz w:val="20"/>
                <w:szCs w:val="20"/>
                <w:color w:val="auto"/>
              </w:rPr>
            </w:pPr>
            <w:r>
              <w:rPr>
                <w:rFonts w:ascii="Arial" w:cs="Arial" w:eastAsia="Arial" w:hAnsi="Arial"/>
                <w:sz w:val="13"/>
                <w:szCs w:val="13"/>
                <w:color w:val="auto"/>
              </w:rPr>
              <w:t>6300 Bee Cave Road, Building One, Austin, TX 78746</w:t>
            </w:r>
          </w:p>
        </w:tc>
        <w:tc>
          <w:tcPr>
            <w:tcW w:w="3580" w:type="dxa"/>
            <w:vAlign w:val="bottom"/>
            <w:tcBorders>
              <w:bottom w:val="single" w:sz="8" w:color="F3F3F4"/>
            </w:tcBorders>
            <w:shd w:val="clear" w:color="auto" w:fill="F3F3F4"/>
          </w:tcPr>
          <w:p>
            <w:pPr>
              <w:spacing w:after="0"/>
              <w:rPr>
                <w:sz w:val="15"/>
                <w:szCs w:val="15"/>
                <w:color w:val="auto"/>
              </w:rPr>
            </w:pPr>
          </w:p>
        </w:tc>
        <w:tc>
          <w:tcPr>
            <w:tcW w:w="3600" w:type="dxa"/>
            <w:vAlign w:val="bottom"/>
            <w:tcBorders>
              <w:bottom w:val="single" w:sz="8" w:color="F3F3F4"/>
            </w:tcBorders>
            <w:shd w:val="clear" w:color="auto" w:fill="F3F3F4"/>
          </w:tcPr>
          <w:p>
            <w:pPr>
              <w:spacing w:after="0"/>
              <w:rPr>
                <w:sz w:val="15"/>
                <w:szCs w:val="15"/>
                <w:color w:val="auto"/>
              </w:rPr>
            </w:pPr>
          </w:p>
        </w:tc>
      </w:tr>
      <w:tr>
        <w:trPr>
          <w:trHeight w:val="20"/>
        </w:trPr>
        <w:tc>
          <w:tcPr>
            <w:tcW w:w="4060" w:type="dxa"/>
            <w:vAlign w:val="bottom"/>
            <w:shd w:val="clear" w:color="auto" w:fill="939598"/>
          </w:tcPr>
          <w:p>
            <w:pPr>
              <w:spacing w:after="0" w:line="20" w:lineRule="exact"/>
              <w:rPr>
                <w:sz w:val="1"/>
                <w:szCs w:val="1"/>
                <w:color w:val="auto"/>
              </w:rPr>
            </w:pPr>
          </w:p>
        </w:tc>
        <w:tc>
          <w:tcPr>
            <w:tcW w:w="3580" w:type="dxa"/>
            <w:vAlign w:val="bottom"/>
            <w:shd w:val="clear" w:color="auto" w:fill="939598"/>
          </w:tcPr>
          <w:p>
            <w:pPr>
              <w:spacing w:after="0" w:line="20" w:lineRule="exact"/>
              <w:rPr>
                <w:sz w:val="1"/>
                <w:szCs w:val="1"/>
                <w:color w:val="auto"/>
              </w:rPr>
            </w:pPr>
          </w:p>
        </w:tc>
        <w:tc>
          <w:tcPr>
            <w:tcW w:w="3600" w:type="dxa"/>
            <w:vAlign w:val="bottom"/>
            <w:shd w:val="clear" w:color="auto" w:fill="939598"/>
          </w:tcPr>
          <w:p>
            <w:pPr>
              <w:spacing w:after="0" w:line="20" w:lineRule="exact"/>
              <w:rPr>
                <w:sz w:val="1"/>
                <w:szCs w:val="1"/>
                <w:color w:val="auto"/>
              </w:rPr>
            </w:pPr>
          </w:p>
        </w:tc>
      </w:tr>
    </w:tbl>
    <w:p>
      <w:pPr>
        <w:spacing w:after="0" w:line="189" w:lineRule="exact"/>
        <w:rPr>
          <w:sz w:val="20"/>
          <w:szCs w:val="20"/>
          <w:color w:val="auto"/>
        </w:rPr>
      </w:pPr>
    </w:p>
    <w:p>
      <w:pPr>
        <w:ind w:left="240" w:hanging="226"/>
        <w:spacing w:after="0"/>
        <w:tabs>
          <w:tab w:leader="none" w:pos="2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Based on 25,793,175 shares outstanding as of November 27, 2024, the record date for the Meeting.</w:t>
      </w:r>
    </w:p>
    <w:p>
      <w:pPr>
        <w:spacing w:after="0" w:line="125" w:lineRule="exact"/>
        <w:rPr>
          <w:sz w:val="20"/>
          <w:szCs w:val="20"/>
          <w:color w:val="auto"/>
        </w:rPr>
      </w:pPr>
    </w:p>
    <w:p>
      <w:pPr>
        <w:jc w:val="both"/>
        <w:ind w:left="240" w:hanging="226"/>
        <w:spacing w:after="0" w:line="231" w:lineRule="auto"/>
        <w:tabs>
          <w:tab w:leader="none" w:pos="240" w:val="left"/>
        </w:tabs>
        <w:numPr>
          <w:ilvl w:val="0"/>
          <w:numId w:val="79"/>
        </w:numPr>
        <w:rPr>
          <w:rFonts w:ascii="Arial" w:cs="Arial" w:eastAsia="Arial" w:hAnsi="Arial"/>
          <w:sz w:val="12"/>
          <w:szCs w:val="12"/>
          <w:color w:val="auto"/>
        </w:rPr>
      </w:pPr>
      <w:r>
        <w:rPr>
          <w:rFonts w:ascii="Arial" w:cs="Arial" w:eastAsia="Arial" w:hAnsi="Arial"/>
          <w:sz w:val="12"/>
          <w:szCs w:val="12"/>
          <w:color w:val="auto"/>
        </w:rPr>
        <w:t>Based on information contained in a Form 13F filed with the SEC on November 13, 2024 by BlackRock Inc., which reported that as of September 30, 2024 it and its affiliated investment management companies had sole dispositive power over 3,972,103 of these shares and sole voting power over 3,923,144 of these shares. Although BlackRock Inc. states that it is the parent holding company of certain institutional investment managers and that it does not itself exercise and therefore disclaims investment discretion over any securities positions over which its investment operating subsidiaries exercise such discretion, for purposes of this Proxy Statement it is deemed to be a beneficial owner of these shares.</w:t>
      </w:r>
    </w:p>
    <w:p>
      <w:pPr>
        <w:spacing w:after="0" w:line="103" w:lineRule="exact"/>
        <w:rPr>
          <w:sz w:val="20"/>
          <w:szCs w:val="20"/>
          <w:color w:val="auto"/>
        </w:rPr>
      </w:pPr>
    </w:p>
    <w:p>
      <w:pPr>
        <w:jc w:val="both"/>
        <w:ind w:left="240" w:right="20" w:hanging="226"/>
        <w:spacing w:after="0" w:line="237" w:lineRule="auto"/>
        <w:tabs>
          <w:tab w:leader="none" w:pos="2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on information contained in a Form 13F filed with the SEC on November 13, 2024 by Vanguard Group, Inc., which reported that as of September 30, 2024 it and its affiliated investment management companies had sole dispositive power over 2,817,347 of these shares, shared dispositive power over 57,880 of these shares, and shared voting power over 31,610 of these shares. For purposes of this Proxy Statement it is deemed to be a beneficial owner of these shares.</w:t>
      </w:r>
    </w:p>
    <w:p>
      <w:pPr>
        <w:spacing w:after="0" w:line="112" w:lineRule="exact"/>
        <w:rPr>
          <w:sz w:val="20"/>
          <w:szCs w:val="20"/>
          <w:color w:val="auto"/>
        </w:rPr>
      </w:pPr>
    </w:p>
    <w:p>
      <w:pPr>
        <w:jc w:val="both"/>
        <w:ind w:left="240" w:right="20" w:hanging="226"/>
        <w:spacing w:after="0" w:line="233" w:lineRule="auto"/>
        <w:tabs>
          <w:tab w:leader="none" w:pos="2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Based on information contained in a Form 13F filed with the SEC on November 7, 2024 by Dimensional Fund Advisors, LP, which reported that as of September 30, 2024 it and its affiliated investment management companies had sole dispositive power over 1,286,799 of these shares, shared dispositive power over 61,299 of these shares, sole voting power over 1,246,560 of these shares, and shared voting power over 60,133 of these shares. Although Dimensional Fund Advisors has previously notified the Company that it expressly disclaims beneficial ownership of any of these shares, for purposes of this Proxy Statement it is deemed to be a beneficial owner of these shares.</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7141210"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05"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5"/>
          <w:szCs w:val="15"/>
          <w:color w:val="auto"/>
        </w:rPr>
        <w:t>SEC Rule 14a-19 provides, among other things, that a shareholder desiring to solicit proxies in support of one or more director nominees not nominated by the Company must provide notice of such intent containing the information required by the Rule and postmarked or transmitted electronically to the Company at its principal executive office no later than 60 calendar days prior to the anniversary of the previous year’s Annual Meeting; for the Company’s 2026 Annual Meeting this deadline will be December 6, 2025.</w:t>
      </w:r>
    </w:p>
    <w:p>
      <w:pPr>
        <w:spacing w:after="0" w:line="192"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5"/>
          <w:szCs w:val="15"/>
          <w:color w:val="auto"/>
        </w:rPr>
        <w:t>The Company’s Articles of Incorporation require that in order for a shareholder of the Company to formally nominate an individual for election as a director or propose other business at an annual meeting of shareholders, written notice of the nomination or proposal must be given to the Company not less than 60 nor more than 90 days before the meeting; provided that if the Company gives less than 50 days’ notice or prior public disclosure of the date of the meeting, then the shareholder must give such notice not later than ten days after notice of the meeting is mailed or other public disclosure of the meeting is made, whichever occurs first. We intend to give public notice of the date of our 2026 Annual Meeting in connection with the release of our financial results for fiscal 2025, which we expect will occur in mid-November of 2025.</w:t>
      </w:r>
    </w:p>
    <w:p>
      <w:pPr>
        <w:spacing w:after="0" w:line="378" w:lineRule="exact"/>
        <w:rPr>
          <w:sz w:val="20"/>
          <w:szCs w:val="20"/>
          <w:color w:val="auto"/>
        </w:rPr>
      </w:pPr>
    </w:p>
    <w:p>
      <w:pPr>
        <w:jc w:val="both"/>
        <w:ind w:left="20" w:right="20"/>
        <w:spacing w:after="0" w:line="252" w:lineRule="auto"/>
        <w:rPr>
          <w:sz w:val="20"/>
          <w:szCs w:val="20"/>
          <w:color w:val="auto"/>
        </w:rPr>
      </w:pPr>
      <w:r>
        <w:rPr>
          <w:rFonts w:ascii="Arial" w:cs="Arial" w:eastAsia="Arial" w:hAnsi="Arial"/>
          <w:sz w:val="15"/>
          <w:szCs w:val="15"/>
          <w:color w:val="auto"/>
        </w:rPr>
        <w:t>The required advance notice must include certain additional information regarding both the proponent and any prospective nominee useful to the Company in evaluating and responding to the nomination or proposal, and as to proposals other than nominations, a full description of the proposal, including its text, and a description of any agreements or arrangements between the proponent and any other person in connection with the proposal, all as specified in detail in the Company’s Articles of Incorporation and Bylaws. Any prospective director nominees must also complete a questionnaire regarding the background and qualifications of the proposed nominee and any person or entity on whose behalf the nomination is being made, and must represent in writing that the proposed nominee is not, and will not become, a party to any undisclosed voting commitments or compensation arrangements with respect to service as a director, and will comply with all applicable publicly disclosed corporate governance, conflict of interest, confidentiality and stock ownership and stock trading policies and guidelines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260985</wp:posOffset>
            </wp:positionV>
            <wp:extent cx="7141210"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tabs>
          <w:tab w:leader="none" w:pos="932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OTHER INFORMATION</w:t>
      </w:r>
      <w:r>
        <w:rPr>
          <w:sz w:val="20"/>
          <w:szCs w:val="20"/>
          <w:color w:val="auto"/>
        </w:rPr>
        <w:tab/>
      </w:r>
      <w:r>
        <w:rPr>
          <w:rFonts w:ascii="Arial" w:cs="Arial" w:eastAsia="Arial" w:hAnsi="Arial"/>
          <w:sz w:val="12"/>
          <w:szCs w:val="12"/>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1412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56" w:name="page57"/>
    <w:bookmarkEnd w:id="56"/>
    <w:p>
      <w:pPr>
        <w:jc w:val="both"/>
        <w:spacing w:after="0" w:line="264" w:lineRule="auto"/>
        <w:rPr>
          <w:sz w:val="20"/>
          <w:szCs w:val="20"/>
          <w:color w:val="auto"/>
        </w:rPr>
      </w:pPr>
      <w:r>
        <w:rPr>
          <w:rFonts w:ascii="Arial" w:cs="Arial" w:eastAsia="Arial" w:hAnsi="Arial"/>
          <w:sz w:val="15"/>
          <w:szCs w:val="15"/>
          <w:color w:val="auto"/>
        </w:rPr>
        <w:t>The Board may reject any nominations or proposals that are not made in accordance with these procedures or that are not a proper subject for shareholder action in accordance with the provisions of applicable law. The foregoing time limits also apply in determining whether notice is timely for purposes of rules adopted by the SEC relating to the exercise of discretionary voting authority.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above requirements are in addition to, and are separate from, the requirements of SEC Rule 14a-8 relating to the rights of shareholders to request inclusion of proposals in, or of the Company to omit proposals from, the Company’s proxy statement. However, solely with respect to a proposal, other than the nomination of directors, that a shareholder proposes to bring before an annual meeting of shareholders, the notice requirements set forth in the Company’s Articles of Incorporation and Bylaws will be deemed satisfied by the shareholder if the shareholder has submitted the proposal to the Company in compliance with Rule 14a-8 and the proposal has been included in the Company’s proxy statement for the meeting.</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Proposals of shareholders intended to be presented at the 2026 Annual Meeting must be received by the Company not later than August 18, 2025 (120 calendar days before the anniversary of the first mailing of these proxy materials), if the proponent wishes to have them included in the Company’s proxy statement and form of proxy relating to that meeting pursuant to SEC Rule 14a-8. Upon receipt of any such proposal, the Company will determine whether or not to include such proposal in the proxy statement and form of proxy in accordance with SEC regulations governing the solicitation of proxies.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In each case, the notice required to be given to the Company must be directed to the Secretary of the Company, whose address is 9900A Clayton Road, St. Louis, MO 63124-1186. Any shareholder desiring a copy of the Company’s Articles of Incorporation or Bylaws will be furnished one without charge upon written request to the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Shareholders may also recommend director candidates to the Governance Committee for consideration as described under </w:t>
      </w:r>
      <w:r>
        <w:rPr>
          <w:rFonts w:ascii="Arial" w:cs="Arial" w:eastAsia="Arial" w:hAnsi="Arial"/>
          <w:sz w:val="15"/>
          <w:szCs w:val="15"/>
          <w:b w:val="1"/>
          <w:bCs w:val="1"/>
          <w:i w:val="1"/>
          <w:iCs w:val="1"/>
          <w:color w:val="auto"/>
        </w:rPr>
        <w:t>Governance Committee</w:t>
      </w:r>
      <w:r>
        <w:rPr>
          <w:rFonts w:ascii="Arial" w:cs="Arial" w:eastAsia="Arial" w:hAnsi="Arial"/>
          <w:sz w:val="15"/>
          <w:szCs w:val="15"/>
          <w:color w:val="auto"/>
        </w:rPr>
        <w:t xml:space="preserve"> on </w:t>
      </w:r>
      <w:r>
        <w:rPr>
          <w:rFonts w:ascii="Arial" w:cs="Arial" w:eastAsia="Arial" w:hAnsi="Arial"/>
          <w:sz w:val="15"/>
          <w:szCs w:val="15"/>
          <w:u w:val="single" w:color="auto"/>
          <w:color w:val="auto"/>
        </w:rPr>
        <w:t>page 16</w:t>
      </w:r>
      <w:r>
        <w:rPr>
          <w:rFonts w:ascii="Arial" w:cs="Arial" w:eastAsia="Arial" w:hAnsi="Arial"/>
          <w:sz w:val="15"/>
          <w:szCs w:val="15"/>
          <w:color w:val="auto"/>
        </w:rPr>
        <w: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7141210"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0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Statements contained in this Proxy Statement regarding future events that reflect or are based on current expectations, estimates, forecasts, projections or assumptions about the Company’s management, performance and intentions are considered “forward-looking statements” within the meaning of the safe harbor provisions of the Federal securities laws. These may include, but are not necessarily limited to, statements about proposed or potential future actions, compensation or benefits under the Company’s compensation plans, incentive plans, employee benefit plans or awards, employment, compensation or severance agreements, proposed or anticipated Board or management actions, policies and programs, future meeting or information release dates, and any other statements contained herein which are not strictly historical. Words such as expects, anticipates, targets, goals, projects, intends, plans, believes, variations of such words, and similar expressions are intended to identify such forward-looking statements. Investors are cautioned that such statements are only predictions and speak only as of the date of this Proxy Statement, and the Company undertakes no duty to update them except as may be required by applicable laws or regulations. The Company’s actual results and actions in the future may differ materially from those described in the forward-looking statements due to numerous risks and uncertainties that exist in the Company’s operations and business environment, including but not limited to those described in Item 1A, “Risk Factors,” of the Company’s Annual Report on Form 10 K for the fiscal year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264795</wp:posOffset>
            </wp:positionV>
            <wp:extent cx="7141210"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tabs>
          <w:tab w:leader="none" w:pos="932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OTHER INFORMATION</w:t>
      </w:r>
      <w:r>
        <w:rPr>
          <w:sz w:val="20"/>
          <w:szCs w:val="20"/>
          <w:color w:val="auto"/>
        </w:rPr>
        <w:tab/>
      </w:r>
      <w:r>
        <w:rPr>
          <w:rFonts w:ascii="Arial" w:cs="Arial" w:eastAsia="Arial" w:hAnsi="Arial"/>
          <w:sz w:val="12"/>
          <w:szCs w:val="12"/>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1412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50"/>
          <w:szCs w:val="50"/>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141210" cy="400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2022 MERCER BENCHMARK DATABASE/TOTAL REMUNERATION SURVEY: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60960</wp:posOffset>
            </wp:positionV>
            <wp:extent cx="7141210"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(See </w:t>
      </w:r>
      <w:r>
        <w:rPr>
          <w:rFonts w:ascii="Arial" w:cs="Arial" w:eastAsia="Arial" w:hAnsi="Arial"/>
          <w:sz w:val="15"/>
          <w:szCs w:val="15"/>
          <w:b w:val="1"/>
          <w:bCs w:val="1"/>
          <w:i w:val="1"/>
          <w:iCs w:val="1"/>
          <w:color w:val="auto"/>
        </w:rPr>
        <w:t>Compensation Consultant and Benchmarking</w:t>
      </w:r>
      <w:r>
        <w:rPr>
          <w:rFonts w:ascii="Arial" w:cs="Arial" w:eastAsia="Arial" w:hAnsi="Arial"/>
          <w:sz w:val="15"/>
          <w:szCs w:val="15"/>
          <w:color w:val="auto"/>
        </w:rPr>
        <w:t xml:space="preserve"> on </w:t>
      </w:r>
      <w:r>
        <w:rPr>
          <w:rFonts w:ascii="Arial" w:cs="Arial" w:eastAsia="Arial" w:hAnsi="Arial"/>
          <w:sz w:val="15"/>
          <w:szCs w:val="15"/>
          <w:u w:val="single" w:color="auto"/>
          <w:color w:val="auto"/>
        </w:rPr>
        <w:t>page 26</w:t>
      </w:r>
      <w:r>
        <w:rPr>
          <w:rFonts w:ascii="Arial" w:cs="Arial" w:eastAsia="Arial" w:hAnsi="Arial"/>
          <w:sz w:val="15"/>
          <w:szCs w:val="15"/>
          <w:color w:val="auto"/>
        </w:rPr>
        <w:t>)</w:t>
      </w:r>
    </w:p>
    <w:p>
      <w:pPr>
        <w:sectPr>
          <w:pgSz w:w="11900" w:h="16838" w:orient="portrait"/>
          <w:cols w:equalWidth="0" w:num="1">
            <w:col w:w="11240"/>
          </w:cols>
          <w:pgMar w:left="320" w:top="1020" w:right="339" w:bottom="1440" w:gutter="0" w:footer="0" w:header="0"/>
        </w:sectPr>
      </w:pPr>
    </w:p>
    <w:p>
      <w:pPr>
        <w:spacing w:after="0" w:line="33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24 Hour Fitness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3M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7-Eleven,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777 Partners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 O. Smith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AAA Auto Club Group</w:t>
      </w:r>
    </w:p>
    <w:p>
      <w:pPr>
        <w:spacing w:after="0" w:line="40" w:lineRule="exact"/>
        <w:rPr>
          <w:sz w:val="20"/>
          <w:szCs w:val="20"/>
          <w:color w:val="auto"/>
        </w:rPr>
      </w:pPr>
    </w:p>
    <w:p>
      <w:pPr>
        <w:ind w:left="440" w:hanging="288"/>
        <w:spacing w:after="0"/>
        <w:tabs>
          <w:tab w:leader="none" w:pos="4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Northern California, Nevada and Utah</w:t>
      </w:r>
    </w:p>
    <w:p>
      <w:pPr>
        <w:spacing w:after="0" w:line="51" w:lineRule="exact"/>
        <w:rPr>
          <w:rFonts w:ascii="Arial" w:cs="Arial" w:eastAsia="Arial" w:hAnsi="Arial"/>
          <w:sz w:val="12"/>
          <w:szCs w:val="12"/>
          <w:color w:val="auto"/>
        </w:rPr>
      </w:pPr>
    </w:p>
    <w:p>
      <w:pPr>
        <w:ind w:left="160"/>
        <w:spacing w:after="0"/>
        <w:rPr>
          <w:rFonts w:ascii="Arial" w:cs="Arial" w:eastAsia="Arial" w:hAnsi="Arial"/>
          <w:sz w:val="12"/>
          <w:szCs w:val="12"/>
          <w:color w:val="auto"/>
        </w:rPr>
      </w:pPr>
      <w:r>
        <w:rPr>
          <w:rFonts w:ascii="Arial" w:cs="Arial" w:eastAsia="Arial" w:hAnsi="Arial"/>
          <w:sz w:val="13"/>
          <w:szCs w:val="13"/>
          <w:color w:val="auto"/>
        </w:rPr>
        <w:t>ABB</w:t>
      </w:r>
    </w:p>
    <w:p>
      <w:pPr>
        <w:spacing w:after="0" w:line="39" w:lineRule="exact"/>
        <w:rPr>
          <w:rFonts w:ascii="Arial" w:cs="Arial" w:eastAsia="Arial" w:hAnsi="Arial"/>
          <w:sz w:val="12"/>
          <w:szCs w:val="12"/>
          <w:color w:val="auto"/>
        </w:rPr>
      </w:pPr>
    </w:p>
    <w:p>
      <w:pPr>
        <w:ind w:left="160"/>
        <w:spacing w:after="0"/>
        <w:rPr>
          <w:rFonts w:ascii="Arial" w:cs="Arial" w:eastAsia="Arial" w:hAnsi="Arial"/>
          <w:sz w:val="12"/>
          <w:szCs w:val="12"/>
          <w:color w:val="auto"/>
        </w:rPr>
      </w:pPr>
      <w:r>
        <w:rPr>
          <w:rFonts w:ascii="Arial" w:cs="Arial" w:eastAsia="Arial" w:hAnsi="Arial"/>
          <w:sz w:val="13"/>
          <w:szCs w:val="13"/>
          <w:color w:val="auto"/>
        </w:rPr>
        <w:t>Abbott Laboratories</w:t>
      </w:r>
    </w:p>
    <w:p>
      <w:pPr>
        <w:spacing w:after="0" w:line="39" w:lineRule="exact"/>
        <w:rPr>
          <w:rFonts w:ascii="Arial" w:cs="Arial" w:eastAsia="Arial" w:hAnsi="Arial"/>
          <w:sz w:val="12"/>
          <w:szCs w:val="12"/>
          <w:color w:val="auto"/>
        </w:rPr>
      </w:pPr>
    </w:p>
    <w:p>
      <w:pPr>
        <w:ind w:left="160" w:right="720"/>
        <w:spacing w:after="0" w:line="303" w:lineRule="auto"/>
        <w:rPr>
          <w:rFonts w:ascii="Arial" w:cs="Arial" w:eastAsia="Arial" w:hAnsi="Arial"/>
          <w:sz w:val="12"/>
          <w:szCs w:val="12"/>
          <w:color w:val="auto"/>
        </w:rPr>
      </w:pPr>
      <w:r>
        <w:rPr>
          <w:rFonts w:ascii="Arial" w:cs="Arial" w:eastAsia="Arial" w:hAnsi="Arial"/>
          <w:sz w:val="13"/>
          <w:szCs w:val="13"/>
          <w:color w:val="auto"/>
        </w:rPr>
        <w:t>Abbott Laboratories - Nutrition AbbVie, Inc.</w:t>
      </w:r>
    </w:p>
    <w:p>
      <w:pPr>
        <w:spacing w:after="0" w:line="1" w:lineRule="exact"/>
        <w:rPr>
          <w:rFonts w:ascii="Arial" w:cs="Arial" w:eastAsia="Arial" w:hAnsi="Arial"/>
          <w:sz w:val="12"/>
          <w:szCs w:val="12"/>
          <w:color w:val="auto"/>
        </w:rPr>
      </w:pPr>
    </w:p>
    <w:p>
      <w:pPr>
        <w:jc w:val="both"/>
        <w:ind w:left="160" w:right="1560"/>
        <w:spacing w:after="0" w:line="329" w:lineRule="auto"/>
        <w:rPr>
          <w:rFonts w:ascii="Arial" w:cs="Arial" w:eastAsia="Arial" w:hAnsi="Arial"/>
          <w:sz w:val="12"/>
          <w:szCs w:val="12"/>
          <w:color w:val="auto"/>
        </w:rPr>
      </w:pPr>
      <w:r>
        <w:rPr>
          <w:rFonts w:ascii="Arial" w:cs="Arial" w:eastAsia="Arial" w:hAnsi="Arial"/>
          <w:sz w:val="12"/>
          <w:szCs w:val="12"/>
          <w:color w:val="auto"/>
        </w:rPr>
        <w:t>Abt Associates Accenture, Inc.</w:t>
      </w:r>
    </w:p>
    <w:p>
      <w:pPr>
        <w:ind w:left="160" w:right="840"/>
        <w:spacing w:after="0" w:line="303" w:lineRule="auto"/>
        <w:rPr>
          <w:rFonts w:ascii="Arial" w:cs="Arial" w:eastAsia="Arial" w:hAnsi="Arial"/>
          <w:sz w:val="12"/>
          <w:szCs w:val="12"/>
          <w:color w:val="auto"/>
        </w:rPr>
      </w:pPr>
      <w:r>
        <w:rPr>
          <w:rFonts w:ascii="Arial" w:cs="Arial" w:eastAsia="Arial" w:hAnsi="Arial"/>
          <w:sz w:val="13"/>
          <w:szCs w:val="13"/>
          <w:color w:val="auto"/>
        </w:rPr>
        <w:t>ACCO Engineered Systems AccorHotels NA</w:t>
      </w:r>
    </w:p>
    <w:p>
      <w:pPr>
        <w:spacing w:after="0" w:line="1" w:lineRule="exact"/>
        <w:rPr>
          <w:rFonts w:ascii="Arial" w:cs="Arial" w:eastAsia="Arial" w:hAnsi="Arial"/>
          <w:sz w:val="12"/>
          <w:szCs w:val="12"/>
          <w:color w:val="auto"/>
        </w:rPr>
      </w:pPr>
    </w:p>
    <w:p>
      <w:pPr>
        <w:ind w:left="160" w:right="880"/>
        <w:spacing w:after="0" w:line="303" w:lineRule="auto"/>
        <w:rPr>
          <w:rFonts w:ascii="Arial" w:cs="Arial" w:eastAsia="Arial" w:hAnsi="Arial"/>
          <w:sz w:val="12"/>
          <w:szCs w:val="12"/>
          <w:color w:val="auto"/>
        </w:rPr>
      </w:pPr>
      <w:r>
        <w:rPr>
          <w:rFonts w:ascii="Arial" w:cs="Arial" w:eastAsia="Arial" w:hAnsi="Arial"/>
          <w:sz w:val="13"/>
          <w:szCs w:val="13"/>
          <w:color w:val="auto"/>
        </w:rPr>
        <w:t>ACH Food Companies, Inc. ACTEGA North America Acumed</w:t>
      </w:r>
    </w:p>
    <w:p>
      <w:pPr>
        <w:spacing w:after="0" w:line="1" w:lineRule="exact"/>
        <w:rPr>
          <w:rFonts w:ascii="Arial" w:cs="Arial" w:eastAsia="Arial" w:hAnsi="Arial"/>
          <w:sz w:val="12"/>
          <w:szCs w:val="12"/>
          <w:color w:val="auto"/>
        </w:rPr>
      </w:pPr>
    </w:p>
    <w:p>
      <w:pPr>
        <w:ind w:left="160" w:right="660"/>
        <w:spacing w:after="0" w:line="329" w:lineRule="auto"/>
        <w:rPr>
          <w:rFonts w:ascii="Arial" w:cs="Arial" w:eastAsia="Arial" w:hAnsi="Arial"/>
          <w:sz w:val="12"/>
          <w:szCs w:val="12"/>
          <w:color w:val="auto"/>
        </w:rPr>
      </w:pPr>
      <w:r>
        <w:rPr>
          <w:rFonts w:ascii="Arial" w:cs="Arial" w:eastAsia="Arial" w:hAnsi="Arial"/>
          <w:sz w:val="12"/>
          <w:szCs w:val="12"/>
          <w:color w:val="auto"/>
        </w:rPr>
        <w:t>Acushnet Holdings Corporation Adidas America, Inc.</w:t>
      </w:r>
    </w:p>
    <w:p>
      <w:pPr>
        <w:ind w:left="160"/>
        <w:spacing w:after="0"/>
        <w:rPr>
          <w:rFonts w:ascii="Arial" w:cs="Arial" w:eastAsia="Arial" w:hAnsi="Arial"/>
          <w:sz w:val="12"/>
          <w:szCs w:val="12"/>
          <w:color w:val="auto"/>
        </w:rPr>
      </w:pPr>
      <w:r>
        <w:rPr>
          <w:rFonts w:ascii="Arial" w:cs="Arial" w:eastAsia="Arial" w:hAnsi="Arial"/>
          <w:sz w:val="13"/>
          <w:szCs w:val="13"/>
          <w:color w:val="auto"/>
        </w:rPr>
        <w:t>ADT, LLC</w:t>
      </w:r>
    </w:p>
    <w:p>
      <w:pPr>
        <w:spacing w:after="0" w:line="39" w:lineRule="exact"/>
        <w:rPr>
          <w:rFonts w:ascii="Arial" w:cs="Arial" w:eastAsia="Arial" w:hAnsi="Arial"/>
          <w:sz w:val="12"/>
          <w:szCs w:val="12"/>
          <w:color w:val="auto"/>
        </w:rPr>
      </w:pPr>
    </w:p>
    <w:p>
      <w:pPr>
        <w:ind w:left="160" w:right="480"/>
        <w:spacing w:after="0" w:line="303" w:lineRule="auto"/>
        <w:rPr>
          <w:rFonts w:ascii="Arial" w:cs="Arial" w:eastAsia="Arial" w:hAnsi="Arial"/>
          <w:sz w:val="12"/>
          <w:szCs w:val="12"/>
          <w:color w:val="auto"/>
        </w:rPr>
      </w:pPr>
      <w:r>
        <w:rPr>
          <w:rFonts w:ascii="Arial" w:cs="Arial" w:eastAsia="Arial" w:hAnsi="Arial"/>
          <w:sz w:val="13"/>
          <w:szCs w:val="13"/>
          <w:color w:val="auto"/>
        </w:rPr>
        <w:t>Adtalem Global Education, Inc. Advance Auto Parts, Inc. Advanced Airfoil Components LLC AdvanSix, Inc.</w:t>
      </w:r>
    </w:p>
    <w:p>
      <w:pPr>
        <w:spacing w:after="0" w:line="2" w:lineRule="exact"/>
        <w:rPr>
          <w:rFonts w:ascii="Arial" w:cs="Arial" w:eastAsia="Arial" w:hAnsi="Arial"/>
          <w:sz w:val="12"/>
          <w:szCs w:val="12"/>
          <w:color w:val="auto"/>
        </w:rPr>
      </w:pPr>
    </w:p>
    <w:p>
      <w:pPr>
        <w:ind w:left="160"/>
        <w:spacing w:after="0"/>
        <w:rPr>
          <w:rFonts w:ascii="Arial" w:cs="Arial" w:eastAsia="Arial" w:hAnsi="Arial"/>
          <w:sz w:val="12"/>
          <w:szCs w:val="12"/>
          <w:color w:val="auto"/>
        </w:rPr>
      </w:pPr>
      <w:r>
        <w:rPr>
          <w:rFonts w:ascii="Arial" w:cs="Arial" w:eastAsia="Arial" w:hAnsi="Arial"/>
          <w:sz w:val="13"/>
          <w:szCs w:val="13"/>
          <w:color w:val="auto"/>
        </w:rPr>
        <w:t>Adventist Health</w:t>
      </w:r>
    </w:p>
    <w:p>
      <w:pPr>
        <w:spacing w:after="0" w:line="39" w:lineRule="exact"/>
        <w:rPr>
          <w:rFonts w:ascii="Arial" w:cs="Arial" w:eastAsia="Arial" w:hAnsi="Arial"/>
          <w:sz w:val="12"/>
          <w:szCs w:val="12"/>
          <w:color w:val="auto"/>
        </w:rPr>
      </w:pPr>
    </w:p>
    <w:p>
      <w:pPr>
        <w:ind w:left="160" w:right="820"/>
        <w:spacing w:after="0" w:line="303" w:lineRule="auto"/>
        <w:rPr>
          <w:rFonts w:ascii="Arial" w:cs="Arial" w:eastAsia="Arial" w:hAnsi="Arial"/>
          <w:sz w:val="12"/>
          <w:szCs w:val="12"/>
          <w:color w:val="auto"/>
        </w:rPr>
      </w:pPr>
      <w:r>
        <w:rPr>
          <w:rFonts w:ascii="Arial" w:cs="Arial" w:eastAsia="Arial" w:hAnsi="Arial"/>
          <w:sz w:val="13"/>
          <w:szCs w:val="13"/>
          <w:color w:val="auto"/>
        </w:rPr>
        <w:t>ADVICS North America, Inc. Advisor Group, Inc.</w:t>
      </w:r>
    </w:p>
    <w:p>
      <w:pPr>
        <w:spacing w:after="0" w:line="1" w:lineRule="exact"/>
        <w:rPr>
          <w:rFonts w:ascii="Arial" w:cs="Arial" w:eastAsia="Arial" w:hAnsi="Arial"/>
          <w:sz w:val="12"/>
          <w:szCs w:val="12"/>
          <w:color w:val="auto"/>
        </w:rPr>
      </w:pPr>
    </w:p>
    <w:p>
      <w:pPr>
        <w:ind w:left="160" w:right="920"/>
        <w:spacing w:after="0" w:line="303" w:lineRule="auto"/>
        <w:rPr>
          <w:rFonts w:ascii="Arial" w:cs="Arial" w:eastAsia="Arial" w:hAnsi="Arial"/>
          <w:sz w:val="12"/>
          <w:szCs w:val="12"/>
          <w:color w:val="auto"/>
        </w:rPr>
      </w:pPr>
      <w:r>
        <w:rPr>
          <w:rFonts w:ascii="Arial" w:cs="Arial" w:eastAsia="Arial" w:hAnsi="Arial"/>
          <w:sz w:val="13"/>
          <w:szCs w:val="13"/>
          <w:color w:val="auto"/>
        </w:rPr>
        <w:t>Aecon Construction Group Aero Snow Holdings AeroData</w:t>
      </w:r>
    </w:p>
    <w:p>
      <w:pPr>
        <w:spacing w:after="0" w:line="1" w:lineRule="exact"/>
        <w:rPr>
          <w:rFonts w:ascii="Arial" w:cs="Arial" w:eastAsia="Arial" w:hAnsi="Arial"/>
          <w:sz w:val="12"/>
          <w:szCs w:val="12"/>
          <w:color w:val="auto"/>
        </w:rPr>
      </w:pPr>
    </w:p>
    <w:p>
      <w:pPr>
        <w:ind w:left="160" w:right="500"/>
        <w:spacing w:after="0" w:line="303" w:lineRule="auto"/>
        <w:rPr>
          <w:rFonts w:ascii="Arial" w:cs="Arial" w:eastAsia="Arial" w:hAnsi="Arial"/>
          <w:sz w:val="12"/>
          <w:szCs w:val="12"/>
          <w:color w:val="auto"/>
        </w:rPr>
      </w:pPr>
      <w:r>
        <w:rPr>
          <w:rFonts w:ascii="Arial" w:cs="Arial" w:eastAsia="Arial" w:hAnsi="Arial"/>
          <w:sz w:val="13"/>
          <w:szCs w:val="13"/>
          <w:color w:val="auto"/>
        </w:rPr>
        <w:t>Aerojet Rocketdyne Holdings, Inc. Aflac, Inc.</w:t>
      </w:r>
    </w:p>
    <w:p>
      <w:pPr>
        <w:spacing w:after="0" w:line="1" w:lineRule="exact"/>
        <w:rPr>
          <w:rFonts w:ascii="Arial" w:cs="Arial" w:eastAsia="Arial" w:hAnsi="Arial"/>
          <w:sz w:val="12"/>
          <w:szCs w:val="12"/>
          <w:color w:val="auto"/>
        </w:rPr>
      </w:pPr>
    </w:p>
    <w:p>
      <w:pPr>
        <w:ind w:left="160"/>
        <w:spacing w:after="0"/>
        <w:rPr>
          <w:rFonts w:ascii="Arial" w:cs="Arial" w:eastAsia="Arial" w:hAnsi="Arial"/>
          <w:sz w:val="12"/>
          <w:szCs w:val="12"/>
          <w:color w:val="auto"/>
        </w:rPr>
      </w:pPr>
      <w:r>
        <w:rPr>
          <w:rFonts w:ascii="Arial" w:cs="Arial" w:eastAsia="Arial" w:hAnsi="Arial"/>
          <w:sz w:val="13"/>
          <w:szCs w:val="13"/>
          <w:color w:val="auto"/>
        </w:rPr>
        <w:t>AFP</w:t>
      </w:r>
    </w:p>
    <w:p>
      <w:pPr>
        <w:spacing w:after="0" w:line="39" w:lineRule="exact"/>
        <w:rPr>
          <w:rFonts w:ascii="Arial" w:cs="Arial" w:eastAsia="Arial" w:hAnsi="Arial"/>
          <w:sz w:val="12"/>
          <w:szCs w:val="12"/>
          <w:color w:val="auto"/>
        </w:rPr>
      </w:pPr>
    </w:p>
    <w:p>
      <w:pPr>
        <w:ind w:left="160"/>
        <w:spacing w:after="0"/>
        <w:rPr>
          <w:rFonts w:ascii="Arial" w:cs="Arial" w:eastAsia="Arial" w:hAnsi="Arial"/>
          <w:sz w:val="12"/>
          <w:szCs w:val="12"/>
          <w:color w:val="auto"/>
        </w:rPr>
      </w:pPr>
      <w:r>
        <w:rPr>
          <w:rFonts w:ascii="Arial" w:cs="Arial" w:eastAsia="Arial" w:hAnsi="Arial"/>
          <w:sz w:val="13"/>
          <w:szCs w:val="13"/>
          <w:color w:val="auto"/>
        </w:rPr>
        <w:t>AGC Biologics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Agero,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-86360</wp:posOffset>
            </wp:positionV>
            <wp:extent cx="8255" cy="4207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4207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AgFirst Farm Credit Bank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Agilent Technologies,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AGP GLASS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Agropur,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AgustaWestland Philadelphia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Ahold Delhaize - Ahold Delhaize USA, LLC</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Ahold Delhaize - Delhaize America Supply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Chain Services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Ahold Delhaize - Food Lion,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Ahold Delhaize - Giant of Maryland, LLC</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Ahold Delhaize - Hannaford Bros. Co., LLC</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Ahold Delhaize - Peapod Digital Labs, LLC</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Ahold Delhaize - Retail Business Services,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LLC</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Ahold Delhaize - Stop &amp; Shop Supermarket</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Company, LLC</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Ahold Delhaize - The GIANT Company, LLC</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AIPSO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Air Methods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AIT Worldwide Logistics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Akima,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Akzo Nobel Coatings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Akzo Nobel Services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 Fakher Distribution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Alabama Farmers Cooperative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Alaska Airlines,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Alcon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Aldo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AlEn USA,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Alex Lee, Inc.</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Alex Lee, Inc. - Merchants Distributors, LLC</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Alfasigma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Allegis Group</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Alliance Data Systems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-86360</wp:posOffset>
            </wp:positionV>
            <wp:extent cx="8255" cy="4207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4207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AllianceRx Walgreens Prime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Alliant Energy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Allianz Global Corporate &amp; Specialty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Allied Solutions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Allina Health System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Allina Health System - Mercy Hospital</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Allina Health System - St. Francis Regional</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Medical Center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Allina Health System - United Hospital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Allison Transmission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Allnex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AlloSource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Allot Ltd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Ally Financial,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Alnylam Pharmaceuticals,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Alorica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Alstom Signaling,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Alstom Transportation Holding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Alstom Transportation,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Alterra Mountain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Alticor - Amway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Altra Industrial Motion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Altria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Altus Group US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Alyeska Pipeline Service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Am-Pat, Inc. (Boot Barn)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Amazon.com,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AMBU</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Amcor Flexibles North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Amedisys,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Amentum - Nuclear Waste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642620</wp:posOffset>
            </wp:positionV>
            <wp:extent cx="7141210"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American Academy of Family Physicians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-86360</wp:posOffset>
            </wp:positionV>
            <wp:extent cx="8255" cy="4207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42075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American Airlines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American Axle &amp; Manufacturing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American Bureau of Shipping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American Century Investments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American Chemical Society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American Enterprise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American Family Insurance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American Financial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American Financial Group, Inc. - ABA</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Insurance Services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American Financial Group, Inc. - Great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American Insurance Group</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American Financial Group, Inc. - Mid-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Continent Casualty Company</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American Financial Group, Inc. - National</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Interstate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American Financial Group, Inc. - Republic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Indemnity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American Financial Group, Inc. - Summit</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Holdings Southeast, Inc.</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American Financial Group, Inc. - Vanliner</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American International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American Medical Association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American National Insurance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American Regent,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American Transmission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Americas Building Products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Americas Materials (AMAT)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Ameridrives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AmeriHealth Caritas Family of Companies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Ameriprise Financial,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AmerisourceBergen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Amerisure Mutual Insurance Company</w:t>
      </w:r>
    </w:p>
    <w:p>
      <w:pPr>
        <w:spacing w:after="0" w:line="692" w:lineRule="exact"/>
        <w:rPr>
          <w:sz w:val="20"/>
          <w:szCs w:val="20"/>
          <w:color w:val="auto"/>
        </w:rPr>
      </w:pPr>
    </w:p>
    <w:p>
      <w:pPr>
        <w:sectPr>
          <w:pgSz w:w="11900" w:h="16838" w:orient="portrait"/>
          <w:cols w:equalWidth="0" w:num="4">
            <w:col w:w="2560" w:space="420"/>
            <w:col w:w="2460" w:space="360"/>
            <w:col w:w="2400" w:space="400"/>
            <w:col w:w="2640"/>
          </w:cols>
          <w:pgMar w:left="320" w:top="1020" w:right="339" w:bottom="1440" w:gutter="0" w:footer="0" w:header="0"/>
          <w:type w:val="continuous"/>
        </w:sectPr>
      </w:pPr>
    </w:p>
    <w:p>
      <w:pPr>
        <w:spacing w:after="0" w:line="329"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1412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type w:val="continuous"/>
        </w:sectPr>
      </w:pPr>
    </w:p>
    <w:bookmarkStart w:id="58" w:name="page59"/>
    <w:bookmarkEnd w:id="58"/>
    <w:p>
      <w:pPr>
        <w:ind w:left="160"/>
        <w:spacing w:after="0"/>
        <w:rPr>
          <w:sz w:val="20"/>
          <w:szCs w:val="20"/>
          <w:color w:val="auto"/>
        </w:rPr>
      </w:pPr>
      <w:r>
        <w:rPr>
          <w:rFonts w:ascii="Arial" w:cs="Arial" w:eastAsia="Arial" w:hAnsi="Arial"/>
          <w:sz w:val="13"/>
          <w:szCs w:val="13"/>
          <w:color w:val="auto"/>
        </w:rPr>
        <w:t>Ameritas Life Insurance Corp.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Amgen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Amica Mutual Insurance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Amneal Pharmaceuticals,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AMPAC Fine Chemicals,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Amplifon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Amplity,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Amrock,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Amy’s Kitchen</w:t>
      </w:r>
    </w:p>
    <w:p>
      <w:pPr>
        <w:spacing w:after="0" w:line="40" w:lineRule="exact"/>
        <w:rPr>
          <w:sz w:val="20"/>
          <w:szCs w:val="20"/>
          <w:color w:val="auto"/>
        </w:rPr>
      </w:pPr>
    </w:p>
    <w:p>
      <w:pPr>
        <w:ind w:left="160" w:right="440"/>
        <w:spacing w:after="0" w:line="303" w:lineRule="auto"/>
        <w:rPr>
          <w:sz w:val="20"/>
          <w:szCs w:val="20"/>
          <w:color w:val="auto"/>
        </w:rPr>
      </w:pPr>
      <w:r>
        <w:rPr>
          <w:rFonts w:ascii="Arial" w:cs="Arial" w:eastAsia="Arial" w:hAnsi="Arial"/>
          <w:sz w:val="13"/>
          <w:szCs w:val="13"/>
          <w:color w:val="auto"/>
        </w:rPr>
        <w:t>Anchor Glass Container Corporation Andersen Corporation</w:t>
      </w:r>
    </w:p>
    <w:p>
      <w:pPr>
        <w:spacing w:after="0" w:line="1" w:lineRule="exact"/>
        <w:rPr>
          <w:sz w:val="20"/>
          <w:szCs w:val="20"/>
          <w:color w:val="auto"/>
        </w:rPr>
      </w:pPr>
    </w:p>
    <w:p>
      <w:pPr>
        <w:ind w:left="300" w:hanging="150"/>
        <w:spacing w:after="0" w:line="249" w:lineRule="auto"/>
        <w:rPr>
          <w:sz w:val="20"/>
          <w:szCs w:val="20"/>
          <w:color w:val="auto"/>
        </w:rPr>
      </w:pPr>
      <w:r>
        <w:rPr>
          <w:rFonts w:ascii="Arial" w:cs="Arial" w:eastAsia="Arial" w:hAnsi="Arial"/>
          <w:sz w:val="13"/>
          <w:szCs w:val="13"/>
          <w:color w:val="auto"/>
        </w:rPr>
        <w:t>Andersen Corporation - Andersen Windows, Inc.</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AngloGold Ashanti North America Inc.</w:t>
      </w:r>
    </w:p>
    <w:p>
      <w:pPr>
        <w:spacing w:after="0" w:line="40" w:lineRule="exact"/>
        <w:rPr>
          <w:sz w:val="20"/>
          <w:szCs w:val="20"/>
          <w:color w:val="auto"/>
        </w:rPr>
      </w:pPr>
    </w:p>
    <w:p>
      <w:pPr>
        <w:ind w:left="300" w:hanging="150"/>
        <w:spacing w:after="0" w:line="249" w:lineRule="auto"/>
        <w:rPr>
          <w:sz w:val="20"/>
          <w:szCs w:val="20"/>
          <w:color w:val="auto"/>
        </w:rPr>
      </w:pPr>
      <w:r>
        <w:rPr>
          <w:rFonts w:ascii="Arial" w:cs="Arial" w:eastAsia="Arial" w:hAnsi="Arial"/>
          <w:sz w:val="13"/>
          <w:szCs w:val="13"/>
          <w:color w:val="auto"/>
        </w:rPr>
        <w:t>Ann &amp; Robert H. Lurie Children’s Hospital of Chicago</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Ansell Healthcare Products,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Anthem,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Anuvu Operations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Apartment Income REIT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Apergy USA,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Apergy USA, Inc. (Digital Corp.)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Apex Tool Group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APM Terminals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Apotex Corp.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Appareo Systems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AppHarvest,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Apple Bank for Savings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Apple Leisure Group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Aquity Solutions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ARAMARK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Aramsco,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ARB Midstream</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Arc International US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Arc’teryx Equipment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ArcBest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Arch Capital Services, Inc.</w:t>
      </w:r>
    </w:p>
    <w:p>
      <w:pPr>
        <w:spacing w:after="0" w:line="40" w:lineRule="exact"/>
        <w:rPr>
          <w:sz w:val="20"/>
          <w:szCs w:val="20"/>
          <w:color w:val="auto"/>
        </w:rPr>
      </w:pPr>
    </w:p>
    <w:p>
      <w:pPr>
        <w:ind w:left="160" w:right="880"/>
        <w:spacing w:after="0" w:line="329" w:lineRule="auto"/>
        <w:rPr>
          <w:sz w:val="20"/>
          <w:szCs w:val="20"/>
          <w:color w:val="auto"/>
        </w:rPr>
      </w:pPr>
      <w:r>
        <w:rPr>
          <w:rFonts w:ascii="Arial" w:cs="Arial" w:eastAsia="Arial" w:hAnsi="Arial"/>
          <w:sz w:val="12"/>
          <w:szCs w:val="12"/>
          <w:color w:val="auto"/>
        </w:rPr>
        <w:t>Arch Insurance Group, Inc. Arch Reinsurance Company Arch Resources, Inc.</w:t>
      </w:r>
    </w:p>
    <w:p>
      <w:pPr>
        <w:ind w:left="160"/>
        <w:spacing w:after="0"/>
        <w:rPr>
          <w:sz w:val="20"/>
          <w:szCs w:val="20"/>
          <w:color w:val="auto"/>
        </w:rPr>
      </w:pPr>
      <w:r>
        <w:rPr>
          <w:rFonts w:ascii="Arial" w:cs="Arial" w:eastAsia="Arial" w:hAnsi="Arial"/>
          <w:sz w:val="13"/>
          <w:szCs w:val="13"/>
          <w:color w:val="auto"/>
        </w:rPr>
        <w:t>Arch US Mortgage Services,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Archrock, Inc.</w:t>
      </w:r>
    </w:p>
    <w:p>
      <w:pPr>
        <w:spacing w:after="0" w:line="40" w:lineRule="exact"/>
        <w:rPr>
          <w:sz w:val="20"/>
          <w:szCs w:val="20"/>
          <w:color w:val="auto"/>
        </w:rPr>
      </w:pPr>
    </w:p>
    <w:p>
      <w:pPr>
        <w:ind w:left="300" w:right="100" w:hanging="150"/>
        <w:spacing w:after="0" w:line="249" w:lineRule="auto"/>
        <w:rPr>
          <w:sz w:val="20"/>
          <w:szCs w:val="20"/>
          <w:color w:val="auto"/>
        </w:rPr>
      </w:pPr>
      <w:r>
        <w:rPr>
          <w:rFonts w:ascii="Arial" w:cs="Arial" w:eastAsia="Arial" w:hAnsi="Arial"/>
          <w:sz w:val="13"/>
          <w:szCs w:val="13"/>
          <w:color w:val="auto"/>
        </w:rPr>
        <w:t>Arctic Slope Regional Corporation - ASRC Federal Holding Company</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Arctic Wolf Networks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Arete Associates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Argo Group US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Argonne National Laboratory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ARGOS USA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Ariston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Arizona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-86360</wp:posOffset>
            </wp:positionV>
            <wp:extent cx="8255" cy="59150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591502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-86360</wp:posOffset>
            </wp:positionV>
            <wp:extent cx="8255" cy="59150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591502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Arkansas Children’s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Arkansas Children’s Hospital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Arlington County Government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Armanino LLP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Armstrong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Arrive Logistics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Arrow Electronics,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Arrowhead Engineered Products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Artera Services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Arthrex,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Arthur J. Gallagher &amp; Co.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Artic Cool Chillers Limited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Artivion,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 Borgess - MI</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 Columbia/St Mary’s - WI</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 Genesys - MI</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 IN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 MI</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 Our Lady of Lourdes Memorial</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Hospital</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Ascension - Providence - Rochester - MI</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 Providence Hospital - Mobile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Ascension - Sacred Heart Health System - FL</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Ascension - Seton Family of Hospitals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 St John Hospital - MI</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 St Thomas Health - TN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 St. Agnes Healthcare, Inc. - MD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 St. Johns - OK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 St. Mary’s - MI</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Ascension - St. Vincent’s Health System - AL</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Ascension - St. Vincent’s Health System - FL</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Ascension - Wheaton Franciscan Healthcare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Ascension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Ascension Macomb - Oakland Hospital,</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Warren Campus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Ascent Brands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Ascent Resources Management Services,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LLC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ASCO Sandusky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ASICS America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Aspen Technology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Aspire Bakeries,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970915</wp:posOffset>
            </wp:positionV>
            <wp:extent cx="7141210"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ASSA ABLOY Sales and Marketing Group,</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ASSA ABLOY,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Associated Bank, N.A.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Association of International Certified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Professional Accountants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Assurant,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Assured Partners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Astellas Pharma US,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Astex Pharmaceuticals,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AstraZeneca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Asurion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AT&amp;T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ATI Physical Therapy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Atlantic Aviation FBO Holdings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Atlas Air,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Atlas Sand Company,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Atmos Energy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Atos It Solutions And Services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Atrium Health Navicent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Atrius Health,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Audubon Metals,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Aultman Health Foundation - Ohio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Auriga Polymers (Nov 2010)</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Autogrill - HMSHost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Autoliv North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Automated Control Concepts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Automatic Data Processing,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Automobile Club of Southern California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AvalonBay Communities,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Avangrid,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Avanir Pharmaceuticals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Avanos Medical,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Avantax Wealth Management,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Avantor,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Avenue Living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AVEO Oncology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Aveva Drug Delivery Systems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Avgol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AvidXchange,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Avient - Distribution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Avient - Global Color, Additives and Inks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Avient - Global Specialty Engineered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Materials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Avient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Avon Research &amp; Development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Axalta Coating Systems,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Axiom Global,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Axionlog USA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Axis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-86360</wp:posOffset>
            </wp:positionV>
            <wp:extent cx="8255" cy="59150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591502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B. Braun Medical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B&amp;H Foto &amp; Electronics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Babson College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Babylon Partners Ltd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Bacardi</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Bacardi US Operations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BAE Systems,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BAE Systems, Inc. - Electronic Systems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BAE Systems, Inc. - Intelligence &amp; Security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BAE Systems, Inc. - Platforms &amp; Services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Baker Hughes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Ball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Ball Corporation - Ball Aerospace &amp;</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Technologies Corp.</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Ball Corporation - Beverage Packaging North</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and Central America Segment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Banner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Baptist Health South Florida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Bar-S Foods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Barrick Gold of North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Barry Callebaut USA,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BASF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Bass Pro Shops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Basware,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Bath &amp; Body Works,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Battelle Memorial Institute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Baxter International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BAYADA Home Health Care,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Bayer AG - Bayer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Bayer AG - Consumer Health Division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Bayer AG - CropScience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Bayer AG - North American Pharmaceutical</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Division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Baylor College of Medicine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Baylor Scott &amp; White Health - Dallas, Texas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Baystar-Bayport Polymers,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BBD Mass Transit Corp.</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BCS Automotive Interface Solutions US, LLC</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Beam Suntory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Beaumont Health System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Beaumont Hospital - Dearborn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Beaumont Hospital - Farmington Hills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Beaumont Hospital - Grosse Pointe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Beaumont Hospital - Royal Oak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Beaumont Hospital - Taylor</w:t>
      </w:r>
    </w:p>
    <w:p>
      <w:pPr>
        <w:spacing w:after="0" w:line="957" w:lineRule="exact"/>
        <w:rPr>
          <w:sz w:val="20"/>
          <w:szCs w:val="20"/>
          <w:color w:val="auto"/>
        </w:rPr>
      </w:pPr>
    </w:p>
    <w:p>
      <w:pPr>
        <w:sectPr>
          <w:pgSz w:w="11900" w:h="16838" w:orient="portrait"/>
          <w:cols w:equalWidth="0" w:num="4">
            <w:col w:w="2620" w:space="360"/>
            <w:col w:w="2560" w:space="260"/>
            <w:col w:w="2380" w:space="420"/>
            <w:col w:w="2640"/>
          </w:cols>
          <w:pgMar w:left="320" w:top="771" w:right="339" w:bottom="1440" w:gutter="0" w:footer="0" w:header="0"/>
        </w:sectPr>
      </w:pPr>
    </w:p>
    <w:p>
      <w:pPr>
        <w:spacing w:after="0" w:line="342"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59" w:name="page60"/>
    <w:bookmarkEnd w:id="59"/>
    <w:p>
      <w:pPr>
        <w:ind w:left="160" w:right="900"/>
        <w:spacing w:after="0" w:line="329" w:lineRule="auto"/>
        <w:rPr>
          <w:sz w:val="20"/>
          <w:szCs w:val="20"/>
          <w:color w:val="auto"/>
        </w:rPr>
      </w:pPr>
      <w:r>
        <w:rPr>
          <w:rFonts w:ascii="Arial" w:cs="Arial" w:eastAsia="Arial" w:hAnsi="Arial"/>
          <w:sz w:val="12"/>
          <w:szCs w:val="12"/>
          <w:color w:val="auto"/>
        </w:rPr>
        <w:t>Beaumont Hospital - Trenton Beaumont Hospital - Troy Beaumont Hospital - Wayne Beaumont Medical Group</w:t>
      </w:r>
    </w:p>
    <w:p>
      <w:pPr>
        <w:spacing w:after="0" w:line="1" w:lineRule="exact"/>
        <w:rPr>
          <w:sz w:val="20"/>
          <w:szCs w:val="20"/>
          <w:color w:val="auto"/>
        </w:rPr>
      </w:pPr>
    </w:p>
    <w:p>
      <w:pPr>
        <w:ind w:left="160" w:right="420"/>
        <w:spacing w:after="0" w:line="303" w:lineRule="auto"/>
        <w:rPr>
          <w:sz w:val="20"/>
          <w:szCs w:val="20"/>
          <w:color w:val="auto"/>
        </w:rPr>
      </w:pPr>
      <w:r>
        <w:rPr>
          <w:rFonts w:ascii="Arial" w:cs="Arial" w:eastAsia="Arial" w:hAnsi="Arial"/>
          <w:sz w:val="13"/>
          <w:szCs w:val="13"/>
          <w:color w:val="auto"/>
        </w:rPr>
        <w:t>Beaute Prestige International (Miami) Beauty Systems Group (BSG) Bechtel Global Corporation Bechtel Plant Machinery, Inc. Beckman Coulter - Diagnostics Beckman Coulter - Life Sciences Beiersdorf, Inc.</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Bel Brands USA,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Belden,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Belk,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Belmond</w:t>
      </w:r>
    </w:p>
    <w:p>
      <w:pPr>
        <w:spacing w:after="0" w:line="40" w:lineRule="exact"/>
        <w:rPr>
          <w:sz w:val="20"/>
          <w:szCs w:val="20"/>
          <w:color w:val="auto"/>
        </w:rPr>
      </w:pPr>
    </w:p>
    <w:p>
      <w:pPr>
        <w:ind w:left="160" w:right="60"/>
        <w:spacing w:after="0" w:line="303" w:lineRule="auto"/>
        <w:rPr>
          <w:sz w:val="20"/>
          <w:szCs w:val="20"/>
          <w:color w:val="auto"/>
        </w:rPr>
      </w:pPr>
      <w:r>
        <w:rPr>
          <w:rFonts w:ascii="Arial" w:cs="Arial" w:eastAsia="Arial" w:hAnsi="Arial"/>
          <w:sz w:val="13"/>
          <w:szCs w:val="13"/>
          <w:color w:val="auto"/>
        </w:rPr>
        <w:t>BentallGreenOak (U.S.) Limited Partnership Berkadia</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Berkshire Associates</w:t>
      </w:r>
    </w:p>
    <w:p>
      <w:pPr>
        <w:spacing w:after="0" w:line="40" w:lineRule="exact"/>
        <w:rPr>
          <w:sz w:val="20"/>
          <w:szCs w:val="20"/>
          <w:color w:val="auto"/>
        </w:rPr>
      </w:pPr>
    </w:p>
    <w:p>
      <w:pPr>
        <w:ind w:left="160" w:right="800"/>
        <w:spacing w:after="0" w:line="303" w:lineRule="auto"/>
        <w:rPr>
          <w:sz w:val="20"/>
          <w:szCs w:val="20"/>
          <w:color w:val="auto"/>
        </w:rPr>
      </w:pPr>
      <w:r>
        <w:rPr>
          <w:rFonts w:ascii="Arial" w:cs="Arial" w:eastAsia="Arial" w:hAnsi="Arial"/>
          <w:sz w:val="13"/>
          <w:szCs w:val="13"/>
          <w:color w:val="auto"/>
        </w:rPr>
        <w:t>Berry Appleman &amp; Leiden LLP Berwind United States Best Buy Company, Inc.</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BevMo!</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BeyondTrust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BGIS Global Integrated Solutions US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BHP Billiton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Big Lots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BigBear.ai Holdings, Inc.</w:t>
      </w:r>
    </w:p>
    <w:p>
      <w:pPr>
        <w:spacing w:after="0" w:line="40" w:lineRule="exact"/>
        <w:rPr>
          <w:sz w:val="20"/>
          <w:szCs w:val="20"/>
          <w:color w:val="auto"/>
        </w:rPr>
      </w:pPr>
    </w:p>
    <w:p>
      <w:pPr>
        <w:ind w:left="160" w:right="700"/>
        <w:spacing w:after="0" w:line="303" w:lineRule="auto"/>
        <w:rPr>
          <w:sz w:val="20"/>
          <w:szCs w:val="20"/>
          <w:color w:val="auto"/>
        </w:rPr>
      </w:pPr>
      <w:r>
        <w:rPr>
          <w:rFonts w:ascii="Arial" w:cs="Arial" w:eastAsia="Arial" w:hAnsi="Arial"/>
          <w:sz w:val="13"/>
          <w:szCs w:val="13"/>
          <w:color w:val="auto"/>
        </w:rPr>
        <w:t>Bill &amp; Melinda Gates Foundation Bimbo Bakeries USA BioBridge Global Biogen, Inc.</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BioMarin Pharmaceutical,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bioMerieux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Bird Rides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Birla Carbon USA</w:t>
      </w:r>
    </w:p>
    <w:p>
      <w:pPr>
        <w:spacing w:after="0" w:line="40" w:lineRule="exact"/>
        <w:rPr>
          <w:sz w:val="20"/>
          <w:szCs w:val="20"/>
          <w:color w:val="auto"/>
        </w:rPr>
      </w:pPr>
    </w:p>
    <w:p>
      <w:pPr>
        <w:ind w:left="300" w:right="140" w:hanging="150"/>
        <w:spacing w:after="0" w:line="249" w:lineRule="auto"/>
        <w:rPr>
          <w:sz w:val="20"/>
          <w:szCs w:val="20"/>
          <w:color w:val="auto"/>
        </w:rPr>
      </w:pPr>
      <w:r>
        <w:rPr>
          <w:rFonts w:ascii="Arial" w:cs="Arial" w:eastAsia="Arial" w:hAnsi="Arial"/>
          <w:sz w:val="13"/>
          <w:szCs w:val="13"/>
          <w:color w:val="auto"/>
        </w:rPr>
        <w:t>Bishop Spencer Place-Saint Luke’s Health System</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BJ’s Wholesale Club,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BJC HealthCare</w:t>
      </w:r>
    </w:p>
    <w:p>
      <w:pPr>
        <w:spacing w:after="0" w:line="40" w:lineRule="exact"/>
        <w:rPr>
          <w:sz w:val="20"/>
          <w:szCs w:val="20"/>
          <w:color w:val="auto"/>
        </w:rPr>
      </w:pPr>
    </w:p>
    <w:p>
      <w:pPr>
        <w:ind w:left="300" w:right="400" w:hanging="150"/>
        <w:spacing w:after="0" w:line="249" w:lineRule="auto"/>
        <w:rPr>
          <w:sz w:val="20"/>
          <w:szCs w:val="20"/>
          <w:color w:val="auto"/>
        </w:rPr>
      </w:pPr>
      <w:r>
        <w:rPr>
          <w:rFonts w:ascii="Arial" w:cs="Arial" w:eastAsia="Arial" w:hAnsi="Arial"/>
          <w:sz w:val="13"/>
          <w:szCs w:val="13"/>
          <w:color w:val="auto"/>
        </w:rPr>
        <w:t>BJC HealthCare - St. Louis Children’s Hospital</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Black &amp; Veatch Corporation</w:t>
      </w:r>
    </w:p>
    <w:p>
      <w:pPr>
        <w:spacing w:after="0" w:line="40" w:lineRule="exact"/>
        <w:rPr>
          <w:sz w:val="20"/>
          <w:szCs w:val="20"/>
          <w:color w:val="auto"/>
        </w:rPr>
      </w:pPr>
    </w:p>
    <w:p>
      <w:pPr>
        <w:ind w:left="300" w:right="160" w:hanging="150"/>
        <w:spacing w:after="0" w:line="249" w:lineRule="auto"/>
        <w:rPr>
          <w:sz w:val="20"/>
          <w:szCs w:val="20"/>
          <w:color w:val="auto"/>
        </w:rPr>
      </w:pPr>
      <w:r>
        <w:rPr>
          <w:rFonts w:ascii="Arial" w:cs="Arial" w:eastAsia="Arial" w:hAnsi="Arial"/>
          <w:sz w:val="13"/>
          <w:szCs w:val="13"/>
          <w:color w:val="auto"/>
        </w:rPr>
        <w:t>Black &amp; Veatch Corporation - B&amp;V Special Projects Corp.</w:t>
      </w:r>
    </w:p>
    <w:p>
      <w:pPr>
        <w:spacing w:after="0" w:line="18" w:lineRule="exact"/>
        <w:rPr>
          <w:sz w:val="20"/>
          <w:szCs w:val="20"/>
          <w:color w:val="auto"/>
        </w:rPr>
      </w:pPr>
    </w:p>
    <w:p>
      <w:pPr>
        <w:ind w:left="300" w:hanging="150"/>
        <w:spacing w:after="0" w:line="249" w:lineRule="auto"/>
        <w:rPr>
          <w:sz w:val="20"/>
          <w:szCs w:val="20"/>
          <w:color w:val="auto"/>
        </w:rPr>
      </w:pPr>
      <w:r>
        <w:rPr>
          <w:rFonts w:ascii="Arial" w:cs="Arial" w:eastAsia="Arial" w:hAnsi="Arial"/>
          <w:sz w:val="13"/>
          <w:szCs w:val="13"/>
          <w:color w:val="auto"/>
        </w:rPr>
        <w:t>Black &amp; Veatch Corporation - Black &amp; Veatch Construction, Inc.</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Black Stone Minerals Company, L.P.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Blackberry Limited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Blackboard,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Blattner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-86360</wp:posOffset>
            </wp:positionV>
            <wp:extent cx="8255" cy="5859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5859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Blucora,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Blue Apron</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Blue Cross and Blue Shield of Florida, Inc.</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Blue Cross and Blue Shield of Louisiana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Blue Cross and Blue Shield of</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Massachusetts, Inc.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Blue Cross and Blue Shield of Michigan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Blue Cross Blue Shield of Kansas City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Blue Cross of Idaho Health Service,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Blue Racer Midstream,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Blue Shield of California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BlueCross BlueShield of North Carolina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BlueFin Services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BlueLinx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Bluepeak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BMW Financial Services NA,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BMW of North America, LLC</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Board of Governors of the Federal Reserve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System</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Boardwalk Pipeline Partners, 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Bobst North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Boehringer Ingelheim Animal Health USA,</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Inc.</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Boehringer Ingelheim Pharmaceuticals, Inc.</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Boeing Employees Credit Union (BECU)</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Boise Cascade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BOK Financial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Bombardier Transit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Bon Secours Mercy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Bonduelle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Booking Holdings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Booking.com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Booz Allen Hamilton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Bose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Boston College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Boston Scientific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Boston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Bounteous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Boy Scouts of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Brake Supply,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Brandeis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Braswell Family Farms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Breakthru Beverage Illinois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Breville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Bridgestone Americas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Bridgestone APM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-86360</wp:posOffset>
            </wp:positionV>
            <wp:extent cx="8255" cy="5859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5859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Briggs &amp; Stratton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Bright Health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Bright Horizons Family Solutions,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Brighthouse Financial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BrightSpring Health Services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Bristol-Myers Squibb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Bristow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British American Tobacco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Broad Institute of MIT and Harvard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Brookfield Properties Retail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Brookfield Residential Properties,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Brooks Sports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Brookshire Grocery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Brotherhood Mutual Insurance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Broward County Government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Broward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Brown &amp; Toland Physicians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Brown and Caldwell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Brown Forman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BSH Home Appliances Corporation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(Executive)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BSN Medical,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BT Holdings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Buckeye Partners, 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Bulletproof 360</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Burlington Stores,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Burns &amp; McDonnell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BWX Technologies,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BYK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BYK-Gardner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C&amp;S Wholesale Grocers,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C110 - Quaker US - Corporate Admin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Cable One,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CACI International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Caerus Operating, LLC</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California Casualty Management Company</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California Dental Association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California Earthquake Authority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California Hospital Association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California Resources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Callaway Golf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CALMAC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Calpine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Cambia Health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610235</wp:posOffset>
            </wp:positionV>
            <wp:extent cx="7141210" cy="15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Cambridge Investment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-86360</wp:posOffset>
            </wp:positionV>
            <wp:extent cx="8255" cy="5859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5859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Campari America</w:t>
      </w:r>
    </w:p>
    <w:p>
      <w:pPr>
        <w:spacing w:after="0" w:line="40" w:lineRule="exact"/>
        <w:rPr>
          <w:sz w:val="20"/>
          <w:szCs w:val="20"/>
          <w:color w:val="auto"/>
        </w:rPr>
      </w:pPr>
    </w:p>
    <w:p>
      <w:pPr>
        <w:ind w:right="840"/>
        <w:spacing w:after="0" w:line="329" w:lineRule="auto"/>
        <w:rPr>
          <w:sz w:val="20"/>
          <w:szCs w:val="20"/>
          <w:color w:val="auto"/>
        </w:rPr>
      </w:pPr>
      <w:r>
        <w:rPr>
          <w:rFonts w:ascii="Arial" w:cs="Arial" w:eastAsia="Arial" w:hAnsi="Arial"/>
          <w:sz w:val="12"/>
          <w:szCs w:val="12"/>
          <w:color w:val="auto"/>
        </w:rPr>
        <w:t>Campbell Meals and Beverages Campbell Soup Company</w:t>
      </w:r>
    </w:p>
    <w:p>
      <w:pPr>
        <w:ind w:left="160" w:right="120" w:hanging="151"/>
        <w:spacing w:after="0" w:line="249" w:lineRule="auto"/>
        <w:rPr>
          <w:sz w:val="20"/>
          <w:szCs w:val="20"/>
          <w:color w:val="auto"/>
        </w:rPr>
      </w:pPr>
      <w:r>
        <w:rPr>
          <w:rFonts w:ascii="Arial" w:cs="Arial" w:eastAsia="Arial" w:hAnsi="Arial"/>
          <w:sz w:val="13"/>
          <w:szCs w:val="13"/>
          <w:color w:val="auto"/>
        </w:rPr>
        <w:t>Campbell Soup Company - Global Biscuits &amp; Snacks</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Canature WaterGroup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Canon Virginia,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Canoo,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Canvas Credit Union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Capital One Financial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CapitaLand International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Cardinal Health,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Cardiovascular Systems,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CareFirst BlueCross BlueShield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Cargill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Carhartt,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Carilion Clinic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Carlisle Companies,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CarMax</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Carmeuse Americas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Carnegie Mellon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Carnival Cruise Lines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Carrier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Cascade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Catalyst Pharmaceuticals,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Caterpillar,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CBRE Group, Inc.</w:t>
      </w:r>
    </w:p>
    <w:p>
      <w:pPr>
        <w:spacing w:after="0" w:line="40" w:lineRule="exact"/>
        <w:rPr>
          <w:sz w:val="20"/>
          <w:szCs w:val="20"/>
          <w:color w:val="auto"/>
        </w:rPr>
      </w:pPr>
    </w:p>
    <w:p>
      <w:pPr>
        <w:ind w:right="1020"/>
        <w:spacing w:after="0" w:line="303" w:lineRule="auto"/>
        <w:rPr>
          <w:sz w:val="20"/>
          <w:szCs w:val="20"/>
          <w:color w:val="auto"/>
        </w:rPr>
      </w:pPr>
      <w:r>
        <w:rPr>
          <w:rFonts w:ascii="Arial" w:cs="Arial" w:eastAsia="Arial" w:hAnsi="Arial"/>
          <w:sz w:val="13"/>
          <w:szCs w:val="13"/>
          <w:color w:val="auto"/>
        </w:rPr>
        <w:t>CDM Smith, Inc. CECO Environmental Cedars-Sinai Medical Center Cello Health Inc.</w:t>
      </w:r>
    </w:p>
    <w:p>
      <w:pPr>
        <w:spacing w:after="0" w:line="2" w:lineRule="exact"/>
        <w:rPr>
          <w:sz w:val="20"/>
          <w:szCs w:val="20"/>
          <w:color w:val="auto"/>
        </w:rPr>
      </w:pPr>
    </w:p>
    <w:p>
      <w:pPr>
        <w:ind w:right="860"/>
        <w:spacing w:after="0" w:line="303" w:lineRule="auto"/>
        <w:rPr>
          <w:sz w:val="20"/>
          <w:szCs w:val="20"/>
          <w:color w:val="auto"/>
        </w:rPr>
      </w:pPr>
      <w:r>
        <w:rPr>
          <w:rFonts w:ascii="Arial" w:cs="Arial" w:eastAsia="Arial" w:hAnsi="Arial"/>
          <w:sz w:val="13"/>
          <w:szCs w:val="13"/>
          <w:color w:val="auto"/>
        </w:rPr>
        <w:t>Celulosa Arauco North America CEMEX, Inc. US CenterPoint Energy, Inc.</w:t>
      </w:r>
    </w:p>
    <w:p>
      <w:pPr>
        <w:spacing w:after="0" w:line="2" w:lineRule="exact"/>
        <w:rPr>
          <w:sz w:val="20"/>
          <w:szCs w:val="20"/>
          <w:color w:val="auto"/>
        </w:rPr>
      </w:pPr>
    </w:p>
    <w:p>
      <w:pPr>
        <w:ind w:right="600"/>
        <w:spacing w:after="0" w:line="303" w:lineRule="auto"/>
        <w:rPr>
          <w:sz w:val="20"/>
          <w:szCs w:val="20"/>
          <w:color w:val="auto"/>
        </w:rPr>
      </w:pPr>
      <w:r>
        <w:rPr>
          <w:rFonts w:ascii="Arial" w:cs="Arial" w:eastAsia="Arial" w:hAnsi="Arial"/>
          <w:sz w:val="13"/>
          <w:szCs w:val="13"/>
          <w:color w:val="auto"/>
        </w:rPr>
        <w:t>Central California Alliance for Health Central Garden &amp; Pet Co.</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Central Ohio Primary Care Physicians,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Centro,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Centrus Energy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Centuri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Cepheid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Cerner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CertiK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CEVA Animal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CF Industries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CFI Resorts Management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CGG Services (US),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CGI Technologies and Solutions, Inc.</w:t>
      </w:r>
    </w:p>
    <w:p>
      <w:pPr>
        <w:spacing w:after="0" w:line="200" w:lineRule="exact"/>
        <w:rPr>
          <w:sz w:val="20"/>
          <w:szCs w:val="20"/>
          <w:color w:val="auto"/>
        </w:rPr>
      </w:pPr>
    </w:p>
    <w:p>
      <w:pPr>
        <w:sectPr>
          <w:pgSz w:w="11900" w:h="16838" w:orient="portrait"/>
          <w:cols w:equalWidth="0" w:num="4">
            <w:col w:w="2660" w:space="320"/>
            <w:col w:w="2440" w:space="380"/>
            <w:col w:w="2400" w:space="400"/>
            <w:col w:w="2640"/>
          </w:cols>
          <w:pgMar w:left="320" w:top="771" w:right="339" w:bottom="1440" w:gutter="0" w:footer="0" w:header="0"/>
        </w:sectPr>
      </w:pPr>
    </w:p>
    <w:p>
      <w:pPr>
        <w:spacing w:after="0" w:line="342"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60" w:name="page61"/>
    <w:bookmarkEnd w:id="60"/>
    <w:tbl>
      <w:tblPr>
        <w:tblLayout w:type="fixed"/>
        <w:tblInd w:w="160" w:type="dxa"/>
        <w:tblCellMar>
          <w:top w:w="0" w:type="dxa"/>
          <w:left w:w="0" w:type="dxa"/>
          <w:bottom w:w="0" w:type="dxa"/>
          <w:right w:w="0" w:type="dxa"/>
        </w:tblCellMar>
      </w:tblPr>
      <w:tr>
        <w:trPr>
          <w:trHeight w:val="166"/>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 Robinson United States</w:t>
            </w:r>
          </w:p>
        </w:tc>
        <w:tc>
          <w:tcPr>
            <w:tcW w:w="2380" w:type="dxa"/>
            <w:vAlign w:val="bottom"/>
          </w:tcPr>
          <w:p>
            <w:pPr>
              <w:ind w:left="140"/>
              <w:spacing w:after="0"/>
              <w:rPr>
                <w:sz w:val="20"/>
                <w:szCs w:val="20"/>
                <w:color w:val="auto"/>
              </w:rPr>
            </w:pPr>
            <w:r>
              <w:rPr>
                <w:rFonts w:ascii="Arial" w:cs="Arial" w:eastAsia="Arial" w:hAnsi="Arial"/>
                <w:sz w:val="13"/>
                <w:szCs w:val="13"/>
                <w:color w:val="auto"/>
              </w:rPr>
              <w:t>CITGO Petroleum Corporation</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CH2M Hill BWXT West Valley, LLC</w:t>
            </w:r>
          </w:p>
        </w:tc>
        <w:tc>
          <w:tcPr>
            <w:tcW w:w="2380" w:type="dxa"/>
            <w:vAlign w:val="bottom"/>
          </w:tcPr>
          <w:p>
            <w:pPr>
              <w:ind w:left="140"/>
              <w:spacing w:after="0"/>
              <w:rPr>
                <w:sz w:val="20"/>
                <w:szCs w:val="20"/>
                <w:color w:val="auto"/>
              </w:rPr>
            </w:pPr>
            <w:r>
              <w:rPr>
                <w:rFonts w:ascii="Arial" w:cs="Arial" w:eastAsia="Arial" w:hAnsi="Arial"/>
                <w:sz w:val="13"/>
                <w:szCs w:val="13"/>
                <w:color w:val="auto"/>
              </w:rPr>
              <w:t>Citigroup,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Champion Petfoods USA, Inc.</w:t>
            </w:r>
          </w:p>
        </w:tc>
        <w:tc>
          <w:tcPr>
            <w:tcW w:w="2380" w:type="dxa"/>
            <w:vAlign w:val="bottom"/>
          </w:tcPr>
          <w:p>
            <w:pPr>
              <w:ind w:left="140"/>
              <w:spacing w:after="0"/>
              <w:rPr>
                <w:sz w:val="20"/>
                <w:szCs w:val="20"/>
                <w:color w:val="auto"/>
              </w:rPr>
            </w:pPr>
            <w:r>
              <w:rPr>
                <w:rFonts w:ascii="Arial" w:cs="Arial" w:eastAsia="Arial" w:hAnsi="Arial"/>
                <w:sz w:val="13"/>
                <w:szCs w:val="13"/>
                <w:color w:val="auto"/>
                <w:w w:val="96"/>
              </w:rPr>
              <w:t>Citizens Property Insurance Corporation</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ChampionX</w:t>
            </w:r>
          </w:p>
        </w:tc>
        <w:tc>
          <w:tcPr>
            <w:tcW w:w="2380" w:type="dxa"/>
            <w:vAlign w:val="bottom"/>
          </w:tcPr>
          <w:p>
            <w:pPr>
              <w:ind w:left="140"/>
              <w:spacing w:after="0"/>
              <w:rPr>
                <w:sz w:val="20"/>
                <w:szCs w:val="20"/>
                <w:color w:val="auto"/>
              </w:rPr>
            </w:pPr>
            <w:r>
              <w:rPr>
                <w:rFonts w:ascii="Arial" w:cs="Arial" w:eastAsia="Arial" w:hAnsi="Arial"/>
                <w:sz w:val="13"/>
                <w:szCs w:val="13"/>
                <w:color w:val="auto"/>
              </w:rPr>
              <w:t>City Facilities Management (US)</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ChampionX USA, Inc.</w:t>
            </w:r>
          </w:p>
        </w:tc>
        <w:tc>
          <w:tcPr>
            <w:tcW w:w="2380" w:type="dxa"/>
            <w:vAlign w:val="bottom"/>
          </w:tcPr>
          <w:p>
            <w:pPr>
              <w:ind w:left="140"/>
              <w:spacing w:after="0"/>
              <w:rPr>
                <w:sz w:val="20"/>
                <w:szCs w:val="20"/>
                <w:color w:val="auto"/>
              </w:rPr>
            </w:pPr>
            <w:r>
              <w:rPr>
                <w:rFonts w:ascii="Arial" w:cs="Arial" w:eastAsia="Arial" w:hAnsi="Arial"/>
                <w:sz w:val="13"/>
                <w:szCs w:val="13"/>
                <w:color w:val="auto"/>
              </w:rPr>
              <w:t>City National Bank of Florida</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Charles River Laboratories International, Inc.</w:t>
            </w:r>
          </w:p>
        </w:tc>
        <w:tc>
          <w:tcPr>
            <w:tcW w:w="2380" w:type="dxa"/>
            <w:vAlign w:val="bottom"/>
          </w:tcPr>
          <w:p>
            <w:pPr>
              <w:ind w:left="140"/>
              <w:spacing w:after="0"/>
              <w:rPr>
                <w:sz w:val="20"/>
                <w:szCs w:val="20"/>
                <w:color w:val="auto"/>
              </w:rPr>
            </w:pPr>
            <w:r>
              <w:rPr>
                <w:rFonts w:ascii="Arial" w:cs="Arial" w:eastAsia="Arial" w:hAnsi="Arial"/>
                <w:sz w:val="13"/>
                <w:szCs w:val="13"/>
                <w:color w:val="auto"/>
              </w:rPr>
              <w:t>City of Detroit</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Charter Automotive</w:t>
            </w:r>
          </w:p>
        </w:tc>
        <w:tc>
          <w:tcPr>
            <w:tcW w:w="2380" w:type="dxa"/>
            <w:vAlign w:val="bottom"/>
          </w:tcPr>
          <w:p>
            <w:pPr>
              <w:ind w:left="140"/>
              <w:spacing w:after="0"/>
              <w:rPr>
                <w:sz w:val="20"/>
                <w:szCs w:val="20"/>
                <w:color w:val="auto"/>
              </w:rPr>
            </w:pPr>
            <w:r>
              <w:rPr>
                <w:rFonts w:ascii="Arial" w:cs="Arial" w:eastAsia="Arial" w:hAnsi="Arial"/>
                <w:sz w:val="13"/>
                <w:szCs w:val="13"/>
                <w:color w:val="auto"/>
              </w:rPr>
              <w:t>City of Dublin</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Charter Dura-Bar</w:t>
            </w:r>
          </w:p>
        </w:tc>
        <w:tc>
          <w:tcPr>
            <w:tcW w:w="2380" w:type="dxa"/>
            <w:vAlign w:val="bottom"/>
          </w:tcPr>
          <w:p>
            <w:pPr>
              <w:ind w:left="140"/>
              <w:spacing w:after="0"/>
              <w:rPr>
                <w:sz w:val="20"/>
                <w:szCs w:val="20"/>
                <w:color w:val="auto"/>
              </w:rPr>
            </w:pPr>
            <w:r>
              <w:rPr>
                <w:rFonts w:ascii="Arial" w:cs="Arial" w:eastAsia="Arial" w:hAnsi="Arial"/>
                <w:sz w:val="13"/>
                <w:szCs w:val="13"/>
                <w:color w:val="auto"/>
              </w:rPr>
              <w:t>City of Greensboro</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Charter Manufacturing Company</w:t>
            </w:r>
          </w:p>
        </w:tc>
        <w:tc>
          <w:tcPr>
            <w:tcW w:w="2380" w:type="dxa"/>
            <w:vAlign w:val="bottom"/>
          </w:tcPr>
          <w:p>
            <w:pPr>
              <w:ind w:left="140"/>
              <w:spacing w:after="0"/>
              <w:rPr>
                <w:sz w:val="20"/>
                <w:szCs w:val="20"/>
                <w:color w:val="auto"/>
              </w:rPr>
            </w:pPr>
            <w:r>
              <w:rPr>
                <w:rFonts w:ascii="Arial" w:cs="Arial" w:eastAsia="Arial" w:hAnsi="Arial"/>
                <w:sz w:val="13"/>
                <w:szCs w:val="13"/>
                <w:color w:val="auto"/>
              </w:rPr>
              <w:t>City of Hope</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Charter Steel</w:t>
            </w:r>
          </w:p>
        </w:tc>
        <w:tc>
          <w:tcPr>
            <w:tcW w:w="2380" w:type="dxa"/>
            <w:vAlign w:val="bottom"/>
          </w:tcPr>
          <w:p>
            <w:pPr>
              <w:ind w:left="140"/>
              <w:spacing w:after="0"/>
              <w:rPr>
                <w:sz w:val="20"/>
                <w:szCs w:val="20"/>
                <w:color w:val="auto"/>
              </w:rPr>
            </w:pPr>
            <w:r>
              <w:rPr>
                <w:rFonts w:ascii="Arial" w:cs="Arial" w:eastAsia="Arial" w:hAnsi="Arial"/>
                <w:sz w:val="13"/>
                <w:szCs w:val="13"/>
                <w:color w:val="auto"/>
              </w:rPr>
              <w:t>City of San Antonio</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Charter Wire</w:t>
            </w:r>
          </w:p>
        </w:tc>
        <w:tc>
          <w:tcPr>
            <w:tcW w:w="2380" w:type="dxa"/>
            <w:vAlign w:val="bottom"/>
          </w:tcPr>
          <w:p>
            <w:pPr>
              <w:ind w:left="140"/>
              <w:spacing w:after="0"/>
              <w:rPr>
                <w:sz w:val="20"/>
                <w:szCs w:val="20"/>
                <w:color w:val="auto"/>
              </w:rPr>
            </w:pPr>
            <w:r>
              <w:rPr>
                <w:rFonts w:ascii="Arial" w:cs="Arial" w:eastAsia="Arial" w:hAnsi="Arial"/>
                <w:sz w:val="13"/>
                <w:szCs w:val="13"/>
                <w:color w:val="auto"/>
              </w:rPr>
              <w:t>City Storage Systems</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CHC Helicopter Support Services (US) Inc.</w:t>
            </w:r>
          </w:p>
        </w:tc>
        <w:tc>
          <w:tcPr>
            <w:tcW w:w="2380" w:type="dxa"/>
            <w:vAlign w:val="bottom"/>
          </w:tcPr>
          <w:p>
            <w:pPr>
              <w:ind w:left="140"/>
              <w:spacing w:after="0"/>
              <w:rPr>
                <w:sz w:val="20"/>
                <w:szCs w:val="20"/>
                <w:color w:val="auto"/>
              </w:rPr>
            </w:pPr>
            <w:r>
              <w:rPr>
                <w:rFonts w:ascii="Arial" w:cs="Arial" w:eastAsia="Arial" w:hAnsi="Arial"/>
                <w:sz w:val="13"/>
                <w:szCs w:val="13"/>
                <w:color w:val="auto"/>
              </w:rPr>
              <w:t>Civica Rx</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Chelan County Public Utility District</w:t>
            </w:r>
          </w:p>
        </w:tc>
        <w:tc>
          <w:tcPr>
            <w:tcW w:w="2380" w:type="dxa"/>
            <w:vAlign w:val="bottom"/>
          </w:tcPr>
          <w:p>
            <w:pPr>
              <w:ind w:left="140"/>
              <w:spacing w:after="0"/>
              <w:rPr>
                <w:sz w:val="20"/>
                <w:szCs w:val="20"/>
                <w:color w:val="auto"/>
              </w:rPr>
            </w:pPr>
            <w:r>
              <w:rPr>
                <w:rFonts w:ascii="Arial" w:cs="Arial" w:eastAsia="Arial" w:hAnsi="Arial"/>
                <w:sz w:val="13"/>
                <w:szCs w:val="13"/>
                <w:color w:val="auto"/>
              </w:rPr>
              <w:t>CivicPlus, LLC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ChemTreat</w:t>
            </w:r>
          </w:p>
        </w:tc>
        <w:tc>
          <w:tcPr>
            <w:tcW w:w="2380" w:type="dxa"/>
            <w:vAlign w:val="bottom"/>
          </w:tcPr>
          <w:p>
            <w:pPr>
              <w:ind w:left="140"/>
              <w:spacing w:after="0"/>
              <w:rPr>
                <w:sz w:val="20"/>
                <w:szCs w:val="20"/>
                <w:color w:val="auto"/>
              </w:rPr>
            </w:pPr>
            <w:r>
              <w:rPr>
                <w:rFonts w:ascii="Arial" w:cs="Arial" w:eastAsia="Arial" w:hAnsi="Arial"/>
                <w:sz w:val="13"/>
                <w:szCs w:val="13"/>
                <w:color w:val="auto"/>
              </w:rPr>
              <w:t>CKE Restaurants Holdings,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ChenMed, LLC</w:t>
            </w:r>
          </w:p>
        </w:tc>
        <w:tc>
          <w:tcPr>
            <w:tcW w:w="2380" w:type="dxa"/>
            <w:vAlign w:val="bottom"/>
          </w:tcPr>
          <w:p>
            <w:pPr>
              <w:ind w:left="140"/>
              <w:spacing w:after="0"/>
              <w:rPr>
                <w:sz w:val="20"/>
                <w:szCs w:val="20"/>
                <w:color w:val="auto"/>
              </w:rPr>
            </w:pPr>
            <w:r>
              <w:rPr>
                <w:rFonts w:ascii="Arial" w:cs="Arial" w:eastAsia="Arial" w:hAnsi="Arial"/>
                <w:sz w:val="13"/>
                <w:szCs w:val="13"/>
                <w:color w:val="auto"/>
              </w:rPr>
              <w:t>Clare Holdings LLC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Chervon North America, Inc.</w:t>
            </w:r>
          </w:p>
        </w:tc>
        <w:tc>
          <w:tcPr>
            <w:tcW w:w="2380" w:type="dxa"/>
            <w:vAlign w:val="bottom"/>
          </w:tcPr>
          <w:p>
            <w:pPr>
              <w:ind w:left="140"/>
              <w:spacing w:after="0"/>
              <w:rPr>
                <w:sz w:val="20"/>
                <w:szCs w:val="20"/>
                <w:color w:val="auto"/>
              </w:rPr>
            </w:pPr>
            <w:r>
              <w:rPr>
                <w:rFonts w:ascii="Arial" w:cs="Arial" w:eastAsia="Arial" w:hAnsi="Arial"/>
                <w:sz w:val="13"/>
                <w:szCs w:val="13"/>
                <w:color w:val="auto"/>
              </w:rPr>
              <w:t>Clarios, LLC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Chesapeake Energy Corporation</w:t>
            </w:r>
          </w:p>
        </w:tc>
        <w:tc>
          <w:tcPr>
            <w:tcW w:w="2380" w:type="dxa"/>
            <w:vAlign w:val="bottom"/>
          </w:tcPr>
          <w:p>
            <w:pPr>
              <w:ind w:left="140"/>
              <w:spacing w:after="0"/>
              <w:rPr>
                <w:sz w:val="20"/>
                <w:szCs w:val="20"/>
                <w:color w:val="auto"/>
              </w:rPr>
            </w:pPr>
            <w:r>
              <w:rPr>
                <w:rFonts w:ascii="Arial" w:cs="Arial" w:eastAsia="Arial" w:hAnsi="Arial"/>
                <w:sz w:val="13"/>
                <w:szCs w:val="13"/>
                <w:color w:val="auto"/>
              </w:rPr>
              <w:t>Clayton Homes</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Chesapeake Utilities Corporation</w:t>
            </w:r>
          </w:p>
        </w:tc>
        <w:tc>
          <w:tcPr>
            <w:tcW w:w="2380" w:type="dxa"/>
            <w:vAlign w:val="bottom"/>
          </w:tcPr>
          <w:p>
            <w:pPr>
              <w:ind w:left="140"/>
              <w:spacing w:after="0"/>
              <w:rPr>
                <w:sz w:val="20"/>
                <w:szCs w:val="20"/>
                <w:color w:val="auto"/>
              </w:rPr>
            </w:pPr>
            <w:r>
              <w:rPr>
                <w:rFonts w:ascii="Arial" w:cs="Arial" w:eastAsia="Arial" w:hAnsi="Arial"/>
                <w:sz w:val="13"/>
                <w:szCs w:val="13"/>
                <w:color w:val="auto"/>
              </w:rPr>
              <w:t>Clean Harbors,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Chewy, Inc.</w:t>
            </w:r>
          </w:p>
        </w:tc>
        <w:tc>
          <w:tcPr>
            <w:tcW w:w="2380" w:type="dxa"/>
            <w:vAlign w:val="bottom"/>
          </w:tcPr>
          <w:p>
            <w:pPr>
              <w:ind w:left="140"/>
              <w:spacing w:after="0"/>
              <w:rPr>
                <w:sz w:val="20"/>
                <w:szCs w:val="20"/>
                <w:color w:val="auto"/>
              </w:rPr>
            </w:pPr>
            <w:r>
              <w:rPr>
                <w:rFonts w:ascii="Arial" w:cs="Arial" w:eastAsia="Arial" w:hAnsi="Arial"/>
                <w:sz w:val="13"/>
                <w:szCs w:val="13"/>
                <w:color w:val="auto"/>
              </w:rPr>
              <w:t>Clearwater Paper Corporation</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Chicago Cubs Baseball Club, LLC</w:t>
            </w:r>
          </w:p>
        </w:tc>
        <w:tc>
          <w:tcPr>
            <w:tcW w:w="2380" w:type="dxa"/>
            <w:vAlign w:val="bottom"/>
          </w:tcPr>
          <w:p>
            <w:pPr>
              <w:ind w:left="140"/>
              <w:spacing w:after="0"/>
              <w:rPr>
                <w:sz w:val="20"/>
                <w:szCs w:val="20"/>
                <w:color w:val="auto"/>
              </w:rPr>
            </w:pPr>
            <w:r>
              <w:rPr>
                <w:rFonts w:ascii="Arial" w:cs="Arial" w:eastAsia="Arial" w:hAnsi="Arial"/>
                <w:sz w:val="13"/>
                <w:szCs w:val="13"/>
                <w:color w:val="auto"/>
              </w:rPr>
              <w:t>Cleco Corporate Holdings, LLC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Chicago Public School System</w:t>
            </w:r>
          </w:p>
        </w:tc>
        <w:tc>
          <w:tcPr>
            <w:tcW w:w="2380" w:type="dxa"/>
            <w:vAlign w:val="bottom"/>
          </w:tcPr>
          <w:p>
            <w:pPr>
              <w:ind w:left="140"/>
              <w:spacing w:after="0"/>
              <w:rPr>
                <w:sz w:val="20"/>
                <w:szCs w:val="20"/>
                <w:color w:val="auto"/>
              </w:rPr>
            </w:pPr>
            <w:r>
              <w:rPr>
                <w:rFonts w:ascii="Arial" w:cs="Arial" w:eastAsia="Arial" w:hAnsi="Arial"/>
                <w:sz w:val="13"/>
                <w:szCs w:val="13"/>
                <w:color w:val="auto"/>
              </w:rPr>
              <w:t>Clemson University</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Chief Executives for Corporate Purpose</w:t>
            </w:r>
          </w:p>
        </w:tc>
        <w:tc>
          <w:tcPr>
            <w:tcW w:w="2380" w:type="dxa"/>
            <w:vAlign w:val="bottom"/>
          </w:tcPr>
          <w:p>
            <w:pPr>
              <w:ind w:left="140"/>
              <w:spacing w:after="0"/>
              <w:rPr>
                <w:sz w:val="20"/>
                <w:szCs w:val="20"/>
                <w:color w:val="auto"/>
              </w:rPr>
            </w:pPr>
            <w:r>
              <w:rPr>
                <w:rFonts w:ascii="Arial" w:cs="Arial" w:eastAsia="Arial" w:hAnsi="Arial"/>
                <w:sz w:val="13"/>
                <w:szCs w:val="13"/>
                <w:color w:val="auto"/>
              </w:rPr>
              <w:t>Cleveland Clinic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9"/>
              </w:rPr>
              <w:t>Children’s Hospital of Orange County (CHOC)</w:t>
            </w:r>
          </w:p>
        </w:tc>
        <w:tc>
          <w:tcPr>
            <w:tcW w:w="2380" w:type="dxa"/>
            <w:vAlign w:val="bottom"/>
          </w:tcPr>
          <w:p>
            <w:pPr>
              <w:ind w:left="140"/>
              <w:spacing w:after="0"/>
              <w:rPr>
                <w:sz w:val="20"/>
                <w:szCs w:val="20"/>
                <w:color w:val="auto"/>
              </w:rPr>
            </w:pPr>
            <w:r>
              <w:rPr>
                <w:rFonts w:ascii="Arial" w:cs="Arial" w:eastAsia="Arial" w:hAnsi="Arial"/>
                <w:sz w:val="13"/>
                <w:szCs w:val="13"/>
                <w:color w:val="auto"/>
              </w:rPr>
              <w:t>Clif Bar &amp; Company</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Children’s Hospital of Wisconsin</w:t>
            </w:r>
          </w:p>
        </w:tc>
        <w:tc>
          <w:tcPr>
            <w:tcW w:w="2380" w:type="dxa"/>
            <w:vAlign w:val="bottom"/>
          </w:tcPr>
          <w:p>
            <w:pPr>
              <w:ind w:left="140"/>
              <w:spacing w:after="0"/>
              <w:rPr>
                <w:sz w:val="20"/>
                <w:szCs w:val="20"/>
                <w:color w:val="auto"/>
              </w:rPr>
            </w:pPr>
            <w:r>
              <w:rPr>
                <w:rFonts w:ascii="Arial" w:cs="Arial" w:eastAsia="Arial" w:hAnsi="Arial"/>
                <w:sz w:val="13"/>
                <w:szCs w:val="13"/>
                <w:color w:val="auto"/>
              </w:rPr>
              <w:t>Cloud Packaging Solutions, LLC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Children’s Mercy Kansas City</w:t>
            </w:r>
          </w:p>
        </w:tc>
        <w:tc>
          <w:tcPr>
            <w:tcW w:w="2380" w:type="dxa"/>
            <w:vAlign w:val="bottom"/>
          </w:tcPr>
          <w:p>
            <w:pPr>
              <w:ind w:left="140"/>
              <w:spacing w:after="0"/>
              <w:rPr>
                <w:sz w:val="20"/>
                <w:szCs w:val="20"/>
                <w:color w:val="auto"/>
              </w:rPr>
            </w:pPr>
            <w:r>
              <w:rPr>
                <w:rFonts w:ascii="Arial" w:cs="Arial" w:eastAsia="Arial" w:hAnsi="Arial"/>
                <w:sz w:val="13"/>
                <w:szCs w:val="13"/>
                <w:color w:val="auto"/>
              </w:rPr>
              <w:t>CLOUGH</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Chipotle Mexican Grill</w:t>
            </w:r>
          </w:p>
        </w:tc>
        <w:tc>
          <w:tcPr>
            <w:tcW w:w="2380" w:type="dxa"/>
            <w:vAlign w:val="bottom"/>
          </w:tcPr>
          <w:p>
            <w:pPr>
              <w:ind w:left="140"/>
              <w:spacing w:after="0"/>
              <w:rPr>
                <w:sz w:val="20"/>
                <w:szCs w:val="20"/>
                <w:color w:val="auto"/>
              </w:rPr>
            </w:pPr>
            <w:r>
              <w:rPr>
                <w:rFonts w:ascii="Arial" w:cs="Arial" w:eastAsia="Arial" w:hAnsi="Arial"/>
                <w:sz w:val="13"/>
                <w:szCs w:val="13"/>
                <w:color w:val="auto"/>
              </w:rPr>
              <w:t>CMA CGM (America) LLC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Chobani Global Holdings, LLC</w:t>
            </w:r>
          </w:p>
        </w:tc>
        <w:tc>
          <w:tcPr>
            <w:tcW w:w="2380" w:type="dxa"/>
            <w:vAlign w:val="bottom"/>
          </w:tcPr>
          <w:p>
            <w:pPr>
              <w:ind w:left="140"/>
              <w:spacing w:after="0"/>
              <w:rPr>
                <w:sz w:val="20"/>
                <w:szCs w:val="20"/>
                <w:color w:val="auto"/>
              </w:rPr>
            </w:pPr>
            <w:r>
              <w:rPr>
                <w:rFonts w:ascii="Arial" w:cs="Arial" w:eastAsia="Arial" w:hAnsi="Arial"/>
                <w:sz w:val="13"/>
                <w:szCs w:val="13"/>
                <w:color w:val="auto"/>
              </w:rPr>
              <w:t>CMC Materials</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Choctaw Nation of Oklahoma</w:t>
            </w:r>
          </w:p>
        </w:tc>
        <w:tc>
          <w:tcPr>
            <w:tcW w:w="2380" w:type="dxa"/>
            <w:vAlign w:val="bottom"/>
          </w:tcPr>
          <w:p>
            <w:pPr>
              <w:ind w:left="140"/>
              <w:spacing w:after="0"/>
              <w:rPr>
                <w:sz w:val="20"/>
                <w:szCs w:val="20"/>
                <w:color w:val="auto"/>
              </w:rPr>
            </w:pPr>
            <w:r>
              <w:rPr>
                <w:rFonts w:ascii="Arial" w:cs="Arial" w:eastAsia="Arial" w:hAnsi="Arial"/>
                <w:sz w:val="13"/>
                <w:szCs w:val="13"/>
                <w:color w:val="auto"/>
              </w:rPr>
              <w:t>CNA Financial Corporation</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Choice Hotels International, Inc.</w:t>
            </w:r>
          </w:p>
        </w:tc>
        <w:tc>
          <w:tcPr>
            <w:tcW w:w="2380" w:type="dxa"/>
            <w:vAlign w:val="bottom"/>
          </w:tcPr>
          <w:p>
            <w:pPr>
              <w:ind w:left="140"/>
              <w:spacing w:after="0"/>
              <w:rPr>
                <w:sz w:val="20"/>
                <w:szCs w:val="20"/>
                <w:color w:val="auto"/>
              </w:rPr>
            </w:pPr>
            <w:r>
              <w:rPr>
                <w:rFonts w:ascii="Arial" w:cs="Arial" w:eastAsia="Arial" w:hAnsi="Arial"/>
                <w:sz w:val="13"/>
                <w:szCs w:val="13"/>
                <w:color w:val="auto"/>
              </w:rPr>
              <w:t>CNH America, LLC</w:t>
            </w:r>
          </w:p>
        </w:tc>
        <w:tc>
          <w:tcPr>
            <w:tcW w:w="0" w:type="dxa"/>
            <w:vAlign w:val="bottom"/>
          </w:tcPr>
          <w:p>
            <w:pPr>
              <w:spacing w:after="0"/>
              <w:rPr>
                <w:sz w:val="1"/>
                <w:szCs w:val="1"/>
                <w:color w:val="auto"/>
              </w:rPr>
            </w:pPr>
          </w:p>
        </w:tc>
      </w:tr>
      <w:tr>
        <w:trPr>
          <w:trHeight w:val="162"/>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Chow Tai Fook Jewellery Company UNITED</w:t>
            </w:r>
          </w:p>
        </w:tc>
        <w:tc>
          <w:tcPr>
            <w:tcW w:w="2380" w:type="dxa"/>
            <w:vAlign w:val="bottom"/>
          </w:tcPr>
          <w:p>
            <w:pPr>
              <w:ind w:left="140"/>
              <w:spacing w:after="0"/>
              <w:rPr>
                <w:sz w:val="20"/>
                <w:szCs w:val="20"/>
                <w:color w:val="auto"/>
              </w:rPr>
            </w:pPr>
            <w:r>
              <w:rPr>
                <w:rFonts w:ascii="Arial" w:cs="Arial" w:eastAsia="Arial" w:hAnsi="Arial"/>
                <w:sz w:val="13"/>
                <w:szCs w:val="13"/>
                <w:color w:val="auto"/>
              </w:rPr>
              <w:t>CNO Financial Group, Inc.</w:t>
            </w: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STATES</w:t>
            </w: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CNOOC Petroleum U.S.A., Inc.</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Chr. Hansen, Inc.</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continue"/>
          </w:tcPr>
          <w:p>
            <w:pPr>
              <w:spacing w:after="0"/>
              <w:rPr>
                <w:sz w:val="12"/>
                <w:szCs w:val="12"/>
                <w:color w:val="auto"/>
              </w:rPr>
            </w:pP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CNSI</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Christie’s Inc.</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continue"/>
          </w:tcPr>
          <w:p>
            <w:pPr>
              <w:spacing w:after="0"/>
              <w:rPr>
                <w:sz w:val="12"/>
                <w:szCs w:val="12"/>
                <w:color w:val="auto"/>
              </w:rPr>
            </w:pP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Coaction Specialty Insurance</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CHS, Inc.</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continue"/>
          </w:tcPr>
          <w:p>
            <w:pPr>
              <w:spacing w:after="0"/>
              <w:rPr>
                <w:sz w:val="12"/>
                <w:szCs w:val="12"/>
                <w:color w:val="auto"/>
              </w:rPr>
            </w:pP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Coats North America</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Chubb US</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continue"/>
          </w:tcPr>
          <w:p>
            <w:pPr>
              <w:spacing w:after="0"/>
              <w:rPr>
                <w:sz w:val="12"/>
                <w:szCs w:val="12"/>
                <w:color w:val="auto"/>
              </w:rPr>
            </w:pP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Coca Cola Southwest Beverages</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Church &amp; Dwight Co., Inc.</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680" w:type="dxa"/>
            <w:vAlign w:val="bottom"/>
            <w:tcBorders>
              <w:right w:val="single" w:sz="8" w:color="auto"/>
            </w:tcBorders>
            <w:vMerge w:val="continue"/>
          </w:tcPr>
          <w:p>
            <w:pPr>
              <w:spacing w:after="0"/>
              <w:rPr>
                <w:sz w:val="14"/>
                <w:szCs w:val="14"/>
                <w:color w:val="auto"/>
              </w:rPr>
            </w:pPr>
          </w:p>
        </w:tc>
        <w:tc>
          <w:tcPr>
            <w:tcW w:w="2380" w:type="dxa"/>
            <w:vAlign w:val="bottom"/>
          </w:tcPr>
          <w:p>
            <w:pPr>
              <w:ind w:left="140"/>
              <w:spacing w:after="0"/>
              <w:rPr>
                <w:sz w:val="20"/>
                <w:szCs w:val="20"/>
                <w:color w:val="auto"/>
              </w:rPr>
            </w:pPr>
            <w:r>
              <w:rPr>
                <w:rFonts w:ascii="Arial" w:cs="Arial" w:eastAsia="Arial" w:hAnsi="Arial"/>
                <w:sz w:val="13"/>
                <w:szCs w:val="13"/>
                <w:color w:val="auto"/>
              </w:rPr>
              <w:t>Coca-Cola Bottlers’ Sales &amp; Services</w:t>
            </w: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tcPr>
          <w:p>
            <w:pPr>
              <w:spacing w:after="0" w:line="139" w:lineRule="exact"/>
              <w:rPr>
                <w:sz w:val="20"/>
                <w:szCs w:val="20"/>
                <w:color w:val="auto"/>
              </w:rPr>
            </w:pPr>
            <w:r>
              <w:rPr>
                <w:rFonts w:ascii="Arial" w:cs="Arial" w:eastAsia="Arial" w:hAnsi="Arial"/>
                <w:sz w:val="13"/>
                <w:szCs w:val="13"/>
                <w:color w:val="auto"/>
              </w:rPr>
              <w:t>Church &amp; Dwight Co., Inc. - Specialty</w:t>
            </w:r>
          </w:p>
        </w:tc>
        <w:tc>
          <w:tcPr>
            <w:tcW w:w="2380" w:type="dxa"/>
            <w:vAlign w:val="bottom"/>
          </w:tcPr>
          <w:p>
            <w:pPr>
              <w:ind w:left="300"/>
              <w:spacing w:after="0" w:line="139" w:lineRule="exact"/>
              <w:rPr>
                <w:sz w:val="20"/>
                <w:szCs w:val="20"/>
                <w:color w:val="auto"/>
              </w:rPr>
            </w:pPr>
            <w:r>
              <w:rPr>
                <w:rFonts w:ascii="Arial" w:cs="Arial" w:eastAsia="Arial" w:hAnsi="Arial"/>
                <w:sz w:val="13"/>
                <w:szCs w:val="13"/>
                <w:color w:val="auto"/>
              </w:rPr>
              <w:t>Company LLC</w:t>
            </w: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Chemicals Division</w:t>
            </w: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Cochlear Americas</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CIGNA Corporation</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continue"/>
          </w:tcPr>
          <w:p>
            <w:pPr>
              <w:spacing w:after="0"/>
              <w:rPr>
                <w:sz w:val="12"/>
                <w:szCs w:val="12"/>
                <w:color w:val="auto"/>
              </w:rPr>
            </w:pP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Coeur Mining, Inc.</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Ciklum Inc.</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continue"/>
          </w:tcPr>
          <w:p>
            <w:pPr>
              <w:spacing w:after="0"/>
              <w:rPr>
                <w:sz w:val="12"/>
                <w:szCs w:val="12"/>
                <w:color w:val="auto"/>
              </w:rPr>
            </w:pP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Cognite AS</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Cincinnati Children’s Hospital Medical Center</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continue"/>
          </w:tcPr>
          <w:p>
            <w:pPr>
              <w:spacing w:after="0"/>
              <w:rPr>
                <w:sz w:val="12"/>
                <w:szCs w:val="12"/>
                <w:color w:val="auto"/>
              </w:rPr>
            </w:pP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Cognosante, LLC</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Cincinnati Financial Corp.</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continue"/>
          </w:tcPr>
          <w:p>
            <w:pPr>
              <w:spacing w:after="0"/>
              <w:rPr>
                <w:sz w:val="12"/>
                <w:szCs w:val="12"/>
                <w:color w:val="auto"/>
              </w:rPr>
            </w:pP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Coinstar LLC</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Cipla USA, Inc.</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continue"/>
          </w:tcPr>
          <w:p>
            <w:pPr>
              <w:spacing w:after="0"/>
              <w:rPr>
                <w:sz w:val="12"/>
                <w:szCs w:val="12"/>
                <w:color w:val="auto"/>
              </w:rPr>
            </w:pP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Colas, Inc.</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Circle K Stores</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continue"/>
          </w:tcPr>
          <w:p>
            <w:pPr>
              <w:spacing w:after="0"/>
              <w:rPr>
                <w:sz w:val="12"/>
                <w:szCs w:val="12"/>
                <w:color w:val="auto"/>
              </w:rPr>
            </w:pP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Colgate-Palmolive Company</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Cirque du Soleil, Lake Buena Vista</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continue"/>
          </w:tcPr>
          <w:p>
            <w:pPr>
              <w:spacing w:after="0"/>
              <w:rPr>
                <w:sz w:val="12"/>
                <w:szCs w:val="12"/>
                <w:color w:val="auto"/>
              </w:rPr>
            </w:pP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College of American Pathologists</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Citation Oil &amp; Gas Corp.</w:t>
            </w: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continue"/>
          </w:tcPr>
          <w:p>
            <w:pPr>
              <w:spacing w:after="0"/>
              <w:rPr>
                <w:sz w:val="12"/>
                <w:szCs w:val="12"/>
                <w:color w:val="auto"/>
              </w:rPr>
            </w:pPr>
          </w:p>
        </w:tc>
        <w:tc>
          <w:tcPr>
            <w:tcW w:w="2380" w:type="dxa"/>
            <w:vAlign w:val="bottom"/>
            <w:vMerge w:val="restart"/>
          </w:tcPr>
          <w:p>
            <w:pPr>
              <w:ind w:left="140"/>
              <w:spacing w:after="0"/>
              <w:rPr>
                <w:sz w:val="20"/>
                <w:szCs w:val="20"/>
                <w:color w:val="auto"/>
              </w:rPr>
            </w:pPr>
            <w:r>
              <w:rPr>
                <w:rFonts w:ascii="Arial" w:cs="Arial" w:eastAsia="Arial" w:hAnsi="Arial"/>
                <w:sz w:val="13"/>
                <w:szCs w:val="13"/>
                <w:color w:val="auto"/>
              </w:rPr>
              <w:t>Collin County</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16"/>
                <w:szCs w:val="16"/>
                <w:color w:val="auto"/>
              </w:rPr>
            </w:pPr>
          </w:p>
        </w:tc>
        <w:tc>
          <w:tcPr>
            <w:tcW w:w="2380" w:type="dxa"/>
            <w:vAlign w:val="bottom"/>
          </w:tcPr>
          <w:p>
            <w:pPr>
              <w:ind w:left="140"/>
              <w:spacing w:after="0"/>
              <w:rPr>
                <w:sz w:val="20"/>
                <w:szCs w:val="20"/>
                <w:color w:val="auto"/>
              </w:rPr>
            </w:pPr>
            <w:r>
              <w:rPr>
                <w:rFonts w:ascii="Arial" w:cs="Arial" w:eastAsia="Arial" w:hAnsi="Arial"/>
                <w:sz w:val="13"/>
                <w:szCs w:val="13"/>
                <w:color w:val="auto"/>
              </w:rPr>
              <w:t>Colonial Group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16"/>
                <w:szCs w:val="16"/>
                <w:color w:val="auto"/>
              </w:rPr>
            </w:pPr>
          </w:p>
        </w:tc>
        <w:tc>
          <w:tcPr>
            <w:tcW w:w="2380" w:type="dxa"/>
            <w:vAlign w:val="bottom"/>
          </w:tcPr>
          <w:p>
            <w:pPr>
              <w:ind w:left="140"/>
              <w:spacing w:after="0"/>
              <w:rPr>
                <w:sz w:val="20"/>
                <w:szCs w:val="20"/>
                <w:color w:val="auto"/>
              </w:rPr>
            </w:pPr>
            <w:r>
              <w:rPr>
                <w:rFonts w:ascii="Arial" w:cs="Arial" w:eastAsia="Arial" w:hAnsi="Arial"/>
                <w:sz w:val="13"/>
                <w:szCs w:val="13"/>
                <w:color w:val="auto"/>
              </w:rPr>
              <w:t>Colonial Pipeline Company</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16"/>
                <w:szCs w:val="16"/>
                <w:color w:val="auto"/>
              </w:rPr>
            </w:pPr>
          </w:p>
        </w:tc>
        <w:tc>
          <w:tcPr>
            <w:tcW w:w="2380" w:type="dxa"/>
            <w:vAlign w:val="bottom"/>
          </w:tcPr>
          <w:p>
            <w:pPr>
              <w:ind w:left="140"/>
              <w:spacing w:after="0"/>
              <w:rPr>
                <w:sz w:val="20"/>
                <w:szCs w:val="20"/>
                <w:color w:val="auto"/>
              </w:rPr>
            </w:pPr>
            <w:r>
              <w:rPr>
                <w:rFonts w:ascii="Arial" w:cs="Arial" w:eastAsia="Arial" w:hAnsi="Arial"/>
                <w:sz w:val="13"/>
                <w:szCs w:val="13"/>
                <w:color w:val="auto"/>
              </w:rPr>
              <w:t>Coloplast Corporation</w:t>
            </w:r>
          </w:p>
        </w:tc>
        <w:tc>
          <w:tcPr>
            <w:tcW w:w="0" w:type="dxa"/>
            <w:vAlign w:val="bottom"/>
          </w:tcPr>
          <w:p>
            <w:pPr>
              <w:spacing w:after="0"/>
              <w:rPr>
                <w:sz w:val="1"/>
                <w:szCs w:val="1"/>
                <w:color w:val="auto"/>
              </w:rPr>
            </w:pPr>
          </w:p>
        </w:tc>
      </w:tr>
      <w:tr>
        <w:trPr>
          <w:trHeight w:val="162"/>
        </w:trPr>
        <w:tc>
          <w:tcPr>
            <w:tcW w:w="2680" w:type="dxa"/>
            <w:vAlign w:val="bottom"/>
            <w:tcBorders>
              <w:right w:val="single" w:sz="8" w:color="auto"/>
            </w:tcBorders>
          </w:tcPr>
          <w:p>
            <w:pPr>
              <w:spacing w:after="0"/>
              <w:rPr>
                <w:sz w:val="14"/>
                <w:szCs w:val="14"/>
                <w:color w:val="auto"/>
              </w:rPr>
            </w:pPr>
          </w:p>
        </w:tc>
        <w:tc>
          <w:tcPr>
            <w:tcW w:w="2380" w:type="dxa"/>
            <w:vAlign w:val="bottom"/>
          </w:tcPr>
          <w:p>
            <w:pPr>
              <w:ind w:left="140"/>
              <w:spacing w:after="0"/>
              <w:rPr>
                <w:sz w:val="20"/>
                <w:szCs w:val="20"/>
                <w:color w:val="auto"/>
              </w:rPr>
            </w:pPr>
            <w:r>
              <w:rPr>
                <w:rFonts w:ascii="Arial" w:cs="Arial" w:eastAsia="Arial" w:hAnsi="Arial"/>
                <w:sz w:val="13"/>
                <w:szCs w:val="13"/>
                <w:color w:val="auto"/>
                <w:w w:val="97"/>
              </w:rPr>
              <w:t>Colorado Public Employees Retirement</w:t>
            </w: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spacing w:after="0"/>
              <w:rPr>
                <w:sz w:val="14"/>
                <w:szCs w:val="14"/>
                <w:color w:val="auto"/>
              </w:rPr>
            </w:pPr>
          </w:p>
        </w:tc>
        <w:tc>
          <w:tcPr>
            <w:tcW w:w="2380" w:type="dxa"/>
            <w:vAlign w:val="bottom"/>
          </w:tcPr>
          <w:p>
            <w:pPr>
              <w:ind w:left="300"/>
              <w:spacing w:after="0"/>
              <w:rPr>
                <w:sz w:val="20"/>
                <w:szCs w:val="20"/>
                <w:color w:val="auto"/>
              </w:rPr>
            </w:pPr>
            <w:r>
              <w:rPr>
                <w:rFonts w:ascii="Arial" w:cs="Arial" w:eastAsia="Arial" w:hAnsi="Arial"/>
                <w:sz w:val="13"/>
                <w:szCs w:val="13"/>
                <w:color w:val="auto"/>
              </w:rPr>
              <w:t>Association</w:t>
            </w:r>
          </w:p>
        </w:tc>
        <w:tc>
          <w:tcPr>
            <w:tcW w:w="0" w:type="dxa"/>
            <w:vAlign w:val="bottom"/>
          </w:tcPr>
          <w:p>
            <w:pPr>
              <w:spacing w:after="0"/>
              <w:rPr>
                <w:sz w:val="1"/>
                <w:szCs w:val="1"/>
                <w:color w:val="auto"/>
              </w:rPr>
            </w:pPr>
          </w:p>
        </w:tc>
      </w:tr>
      <w:tr>
        <w:trPr>
          <w:trHeight w:val="36"/>
        </w:trPr>
        <w:tc>
          <w:tcPr>
            <w:tcW w:w="2680" w:type="dxa"/>
            <w:vAlign w:val="bottom"/>
            <w:tcBorders>
              <w:right w:val="single" w:sz="8" w:color="auto"/>
            </w:tcBorders>
          </w:tcPr>
          <w:p>
            <w:pPr>
              <w:spacing w:after="0"/>
              <w:rPr>
                <w:sz w:val="3"/>
                <w:szCs w:val="3"/>
                <w:color w:val="auto"/>
              </w:rPr>
            </w:pPr>
          </w:p>
        </w:tc>
        <w:tc>
          <w:tcPr>
            <w:tcW w:w="2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-86360</wp:posOffset>
            </wp:positionV>
            <wp:extent cx="8255" cy="60674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606742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-86360</wp:posOffset>
            </wp:positionV>
            <wp:extent cx="8255" cy="60674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606742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Columbus McKinnon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Columbus Regional Airport Authority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Comcast Cable Communications,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CommentSold,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Commercial Metals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Commonwealth Care Alliance (CCA)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Community Health Choice,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Community Health Network (CHN)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Commvault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Compass Group North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Compass Minerals International,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Compassus Hospice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Compeer Financial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Conagra Brands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Consilio Inc.</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Consolidated Nuclear Security Y-12 &amp; Pantex</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Constellation Brands,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Consumers Credit Union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Consumers Credit Union (www.</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myconsumers.org)</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Consumers Energy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Continental Automotive Systems,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Continental Properties Company,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Control Components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Convatec,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Cook Children’s Health Care System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Cook Medical,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Coolsys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Cooper’s Hawk Winery &amp; Restaurants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CoorsTek,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Corbin Russwin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Core and Main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CoreBiome,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Corix - Corix Infrastructure Services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Cornell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Cornerstone Building Brands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Corning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Costa Farms,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Coty,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COUNTRY Financial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CountryMark Cooperative Holding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1179195</wp:posOffset>
            </wp:positionV>
            <wp:extent cx="7141210"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Covance,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Covestro,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Covetrus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COWI Consulting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COWI NA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Cox Enterprises - Cox Automotive,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Cox Enterprises -</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Cox Communications Cox Enterprises, Inc.</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CPI Card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CPS Energy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Cracker Barrel Old Country Store,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Crawford &amp;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Creative Artists Agency,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Credit Acceptance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Credit Central Loans and Taxes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Crestron Electronics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CRH Americas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Crimson Wine Group, Ltd.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CROPP Cooperative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Crowe, LLP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Crowley Maritime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Crown Bioscience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Crown Castle International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Cryogenic Industries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Crystal Mountain,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CSA Group International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CSAA Insurance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CSL Americas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CSL Behring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CSL Seqirus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CSX Transportation,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CTB,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Cullen/Frost Bankers,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Cummins,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CUNA Mutual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CURiO Brands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Curriculum Associates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Curtiss-Wright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Cushman &amp; Wakefield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CVR Energy,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CVS Health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Cyclerion Therapeutics,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Cygnus Home Delivery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Cystic Fibrosis Foundation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Cytel,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Cytiva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D.A. Davidson Companies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D.R. Horton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Daiichi Sankyo, Inc.</w:t>
      </w:r>
    </w:p>
    <w:p>
      <w:pPr>
        <w:spacing w:after="0" w:line="530" w:lineRule="exact"/>
        <w:rPr>
          <w:sz w:val="20"/>
          <w:szCs w:val="20"/>
          <w:color w:val="auto"/>
        </w:rPr>
      </w:pPr>
    </w:p>
    <w:p>
      <w:pPr>
        <w:sectPr>
          <w:pgSz w:w="11900" w:h="16838" w:orient="portrait"/>
          <w:cols w:equalWidth="0" w:num="3">
            <w:col w:w="5220" w:space="580"/>
            <w:col w:w="2520" w:space="280"/>
            <w:col w:w="2640"/>
          </w:cols>
          <w:pgMar w:left="320" w:top="771" w:right="339" w:bottom="1440" w:gutter="0" w:footer="0" w:header="0"/>
        </w:sectPr>
      </w:pPr>
    </w:p>
    <w:p>
      <w:pPr>
        <w:spacing w:after="0" w:line="289"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61" w:name="page62"/>
    <w:bookmarkEnd w:id="61"/>
    <w:p>
      <w:pPr>
        <w:ind w:left="160"/>
        <w:spacing w:after="0"/>
        <w:rPr>
          <w:sz w:val="20"/>
          <w:szCs w:val="20"/>
          <w:color w:val="auto"/>
        </w:rPr>
      </w:pPr>
      <w:r>
        <w:rPr>
          <w:rFonts w:ascii="Arial" w:cs="Arial" w:eastAsia="Arial" w:hAnsi="Arial"/>
          <w:sz w:val="13"/>
          <w:szCs w:val="13"/>
          <w:color w:val="auto"/>
        </w:rPr>
        <w:t>Daimler Truck Financial Services USA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Dairy Farmers of America,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DAK Americas Alpek</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Dakota Minnesota &amp; Eastern Railroad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Corporation</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Dallas Central Appraisal District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Danaher Corporate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Danfoss Power Solutions (US)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Danfoss Power Solutions II,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Danfoss Silicon Power US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Danfoss,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Danone North America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Danos &amp; Curole Marine Contractors,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Daramic, LLC - Division of Polypore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Darden Restaurants,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Darling Ingredients,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Dart Container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DataCore Software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Datavant,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David’s Bridal</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DaVita,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Dawn Food Products,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Day &amp; Zimmermann Engineering,</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Construction and Maintenance</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Day &amp; Zimmermann Group,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Day &amp; Zimmermann Munitions and Defense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Day &amp; Zimmermann SOC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Day 1 Academies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DCP Midstream, LP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Deacero USA,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Deckers Outdoor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Deere &amp;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 Monte Foods,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DeLaval,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Delaware Supermarkets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Delegat USA,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Deloitte, LLP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Delta Air Lines,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Delta Air Lines, Inc. - Monroe Energy, LLC</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Delta Dental Insurance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Delta Dental of California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Delta Dental Of New York</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Delta Dental Of Pennsylvania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Deluxe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Denbury,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Denny’s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Dentaquest Ventures,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Denver Health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Denver Public Schools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-86360</wp:posOffset>
            </wp:positionV>
            <wp:extent cx="8255" cy="59150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591502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-86360</wp:posOffset>
            </wp:positionV>
            <wp:extent cx="8255" cy="59150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591502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Deoleo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DePaul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Desert Financial Credit Union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Designer Brands,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Deutsche Lufthansa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Devon Energy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Dexerials America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DexKo Global</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DHL eCommerce United States (Corporate)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DHL Executives United States (Corporate)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DHL Express United States (Corporate)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DHL Global Business Services United States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(Corporate)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DHL Supply Chain United States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DHL Supply Chain United States (Corporate)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Diality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Diamond Offshore Drilling,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Diamondback Energy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DICK’S Sporting Goods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Diebold Nixdorf,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Direct Supply,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DirecTV Group Holdings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Discover Financial Services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DISH Network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DJO Global,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DNV Energy Insights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Dole Food Company,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Dollar General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Dominion Energy South Carolina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Dominion Energy,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Dominium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Domino’s Pizza,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Donaldson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Doosan Bobcat,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Dorsey &amp; Whitney, LLP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Doskocil Manufacturing Company,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Dover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DOW Chemicals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Dow Jones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DPM,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Dr. Reddy’s Laboratories,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Draeger Medical Systems,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Draeger,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Dresser-Rand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Dril-Quip,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Driscoll’s,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Driven Brands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426085</wp:posOffset>
            </wp:positionV>
            <wp:extent cx="7141210" cy="158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DriveTime Automotive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-86360</wp:posOffset>
            </wp:positionV>
            <wp:extent cx="8255" cy="59150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591502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DS Smith Worldwide Dispensers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DSM Biomedical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DSM Engineering Plastics,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DSM Nutritional Products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DSM Services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DTE Energy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Duke Clinical Research Institute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Duke Energy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Duke Energy Corporation - Duke Energy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Carolinas, LLC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Duke Energy Corporation - Duke Energy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Indiana, Inc.</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Duke Energy Corporation - Progress Energy,</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Duke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Duke University Health System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Duquesne Light Holdings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Durango Midstream,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Duravant,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Dyno Nobel,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DYWIDAG-Systems International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E.&amp; J. Gallo Winery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E2OPEN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EAB Global,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Eagle Mine,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East West Bancorp,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Eastern Bankshares,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Eastman Chemical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Eaton Corporation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eBay,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Echo Global Logistics,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ECKART America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Ecolab,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Ecopetrol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EDF Renewables Development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Edgewell Personal Care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Edlong Dairy Technologies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Edward D. Jones &amp; Co. 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Edwards Lifesciences,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Eisai,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ELANTAS PDG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Elbit Systems of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Electric Reliability Council of Texas,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Electrolux</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Elekta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Elevations Credit Union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Eli Lilly &amp; Co.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Ellucian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Emburse,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EMCOR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Emerson Automation Solutions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Emerson Climate Technologies,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Emerson Electric Co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Empirical Foods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Employbridge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Employers Mutual Casualty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Empower Retirement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Emulsicoat,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Enbridge,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Encompass Health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Encore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Encova Insurance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Endeavor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Endo International, PLC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Enel Green Power North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Enerflex Energy Systems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Enerflex Services,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Energizer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Energy Transfer 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EnergySolutions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EnerMech Mechanical Services, Inc.</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Enerplus Resources (USA) Corporation</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EnerVest, Ltd.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ENGIE North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Eni Trading &amp; Shipping,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EnLink Midstream,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Enova International,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Ensemble Health Partners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Entegris,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Entergy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Entertainment Partners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Envision Healthcare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Envista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Enviva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Envoy Air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Equinix</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Equinor US Operations,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Eramosa International,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ERCO Worldwide,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Ericsson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Erie Indemnity Co.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Eriks North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ESAB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ESCO Technologies,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Esko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Essentia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Essentra Components</w:t>
      </w:r>
    </w:p>
    <w:p>
      <w:pPr>
        <w:spacing w:after="0" w:line="427" w:lineRule="exact"/>
        <w:rPr>
          <w:sz w:val="20"/>
          <w:szCs w:val="20"/>
          <w:color w:val="auto"/>
        </w:rPr>
      </w:pPr>
    </w:p>
    <w:p>
      <w:pPr>
        <w:sectPr>
          <w:pgSz w:w="11900" w:h="16838" w:orient="portrait"/>
          <w:cols w:equalWidth="0" w:num="4">
            <w:col w:w="2600" w:space="380"/>
            <w:col w:w="2500" w:space="320"/>
            <w:col w:w="2500" w:space="300"/>
            <w:col w:w="2640"/>
          </w:cols>
          <w:pgMar w:left="320" w:top="771" w:right="339" w:bottom="1440" w:gutter="0" w:footer="0" w:header="0"/>
        </w:sectPr>
      </w:pPr>
    </w:p>
    <w:p>
      <w:pPr>
        <w:spacing w:after="0" w:line="342"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62" w:name="page63"/>
    <w:bookmarkEnd w:id="62"/>
    <w:p>
      <w:pPr>
        <w:ind w:left="160"/>
        <w:spacing w:after="0"/>
        <w:rPr>
          <w:sz w:val="20"/>
          <w:szCs w:val="20"/>
          <w:color w:val="auto"/>
        </w:rPr>
      </w:pPr>
      <w:r>
        <w:rPr>
          <w:rFonts w:ascii="Arial" w:cs="Arial" w:eastAsia="Arial" w:hAnsi="Arial"/>
          <w:sz w:val="13"/>
          <w:szCs w:val="13"/>
          <w:color w:val="auto"/>
        </w:rPr>
        <w:t>Essentra Packaging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-86360</wp:posOffset>
            </wp:positionV>
            <wp:extent cx="8255" cy="60591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6059170"/>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Essentra PLC (US Shared Services)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Essilor of America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Essity North America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EthosEnergy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Everest Re Group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Everside Health</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Eversource Energy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Evolve Vacation Rental Network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Evolved By Nature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Evonik Industries North America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Ewellix (SMT)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Exactech,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Exelixis,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EXP U.S. Services,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Explorer Pipeline,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Express,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EyeBuy Direct,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 Hoffmann La-Roche, Ltd. - Genentech, Inc.</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 Hoffmann La-Roche, Ltd. - Roche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Diagnostics Corporation</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 Hoffmann La-Roche, Ltd. - Roche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Molecular Systems, Inc.</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Faegre Drinker Biddle &amp; Reath LLP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Fairview Health Services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Fameccanica North America,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Fanatics Retail Group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Farm Credit Bank of Texas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Farmers Insurance Group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Fast Retailing USA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FBL Financial Group,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FCA US,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FCCI Insurance Group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Federal Aviation Administration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Federal Reserve Bank of Atlanta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Federal Reserve Bank of Chicago</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Federal Reserve Bank of Cleveland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Federal Reserve Bank of Minneapolis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Federal Reserve Bank of Philadelphia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Federal Reserve Bank of Richmond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Federal Reserve Bank of San Francisco</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Federated Mutual Insurance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Fender Musical Instruments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Ferrara Candy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Ferrellgas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Ferring Pharmaceuticals,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Ferrovial - Webber, LLC</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Fidelity National Information Services, Inc.</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(FIS)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Fiduciary Counselling,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FieldCore Service Solutions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Fifth Third Bancorp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FIJI Water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Financial Accounting Foundation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Financial Industry Regulatory Authority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(FINRA), Inc.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Firmenich,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First American Financial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First Data Hardware Services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First Financial Bancorp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First Interstate BancSystem,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First National Bank of Omaha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First Orion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First Solar,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First Western Financial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FirstBank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Fisher &amp; Paykel Healthcare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Flaktgroup SEMCO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Flanders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Flashpoint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Flavor Producers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Florida State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Flowers Foods,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Flowserve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FLSmidth,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Fluor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Fluor Idaho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Fluor Marine Propulsion,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FM Global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FMH Conveyors,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FONA International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Fonterra Co-operative Group, Ltd.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Formsprag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Fortive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Fortune Brands Home &amp; Security,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Fortune Brands Home &amp; Security, Inc.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Master Lock Company, LLC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Fortune Brands Home &amp; Security, Inc.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MasterBrand Cabinets, Inc.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Fortune Brands Home &amp; Security, Inc.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Therma-Tru</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Forum Energy Technologies,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Foundation Partners Group,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FPT NORTH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-86360</wp:posOffset>
            </wp:positionV>
            <wp:extent cx="8255" cy="60591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605917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-86360</wp:posOffset>
            </wp:positionV>
            <wp:extent cx="8255" cy="60591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605917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Fragomen, Del Rey, Bernsen &amp; Loewy LLP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Fred Hutchinson Cancer Research Center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Freeport LNG Development, 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Freeport-McMoRan,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Freight Handlers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Fresenius Kabi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Fresh Del Monte Produce United States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Fresh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Freudenberg Medical Mis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Friedkin Companies,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Friedkin Companies, Inc. - Gulf States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Financial Services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Friedkin Companies, Inc. - Gulf States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Toyota, Inc.</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Friedkin Companies, Inc. - US AutoLogistics,</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LLC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Froedtert Health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Frontdoor,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Frontier Airlines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Fulton Financial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Funko,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G2O Technologies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Gables Engineering,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GAF Industries,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Galderma Laboratories 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GAN Limited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Garaga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Garmin AT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Garmin International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Garmin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Garrett Transportation I,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Gate Gourmet,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Gates Industrial Corp. PLC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Gateway Foundation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GATX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 Appliances, a Haier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 Gas Power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 Renewables North America,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 United States Aviation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 United States Healthcare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GEA Refrigeration North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Gemological Institute of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GenCure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Generac Power Systems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General Atomics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General Dynamics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General Dynamics Corporation - Bath Iron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418465</wp:posOffset>
            </wp:positionV>
            <wp:extent cx="7141210" cy="1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General Dynamics Corporation - Electric</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Boat Division</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General Dynamics Corporation - Gulfstream</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Aerospace Corp.</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General Dynamics Corporation - Land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Systems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General Dynamics Mission Systems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General Motors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Generali Global Assistance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Genesis Energy, 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Genmab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Genuine Parts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GEODIS United States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George Koch Sons,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George Washington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Georgetown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Georgia System Operations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GeoVera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Gerdau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Gevo,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GfK US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GHD Pty Ltd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GHSP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Gibbs Die Casting,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Giesecke+Devrient Currency Technology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America Inc.</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Giesecke+Devrient Mobile Security America,</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Gildan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Gilead Sciences,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Givaudan US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GKN America Corporation - GKN Aerospace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North America</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GKN North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Glass Coatings &amp; Concepts,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Glatfelter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Glatfelter Insurance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GlaxoSmithKline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Global Finishing Solutions,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Global Health Labs,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Global Indemnity Group,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Global Partners 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Globe Life,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GN Audio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GN Hearing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GOJO Industries,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Golden Hippo Media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Golden State Farm Credit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Goodnight Midstream,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Goodwill NCW</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GoPro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Gordon Food Service, Inc.</w:t>
      </w:r>
    </w:p>
    <w:p>
      <w:pPr>
        <w:spacing w:after="0" w:line="200" w:lineRule="exact"/>
        <w:rPr>
          <w:sz w:val="20"/>
          <w:szCs w:val="20"/>
          <w:color w:val="auto"/>
        </w:rPr>
      </w:pPr>
    </w:p>
    <w:p>
      <w:pPr>
        <w:sectPr>
          <w:pgSz w:w="11900" w:h="16838" w:orient="portrait"/>
          <w:cols w:equalWidth="0" w:num="4">
            <w:col w:w="2700" w:space="280"/>
            <w:col w:w="2360" w:space="460"/>
            <w:col w:w="2500" w:space="300"/>
            <w:col w:w="2640"/>
          </w:cols>
          <w:pgMar w:left="320" w:top="771" w:right="339" w:bottom="1440" w:gutter="0" w:footer="0" w:header="0"/>
        </w:sectPr>
      </w:pPr>
    </w:p>
    <w:p>
      <w:pPr>
        <w:spacing w:after="0" w:line="342"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63" w:name="page64"/>
    <w:bookmarkEnd w:id="63"/>
    <w:p>
      <w:pPr>
        <w:ind w:left="160"/>
        <w:spacing w:after="0"/>
        <w:rPr>
          <w:sz w:val="20"/>
          <w:szCs w:val="20"/>
          <w:color w:val="auto"/>
        </w:rPr>
      </w:pPr>
      <w:r>
        <w:rPr>
          <w:rFonts w:ascii="Arial" w:cs="Arial" w:eastAsia="Arial" w:hAnsi="Arial"/>
          <w:sz w:val="13"/>
          <w:szCs w:val="13"/>
          <w:color w:val="auto"/>
        </w:rPr>
        <w:t>GP Strategies Corp.</w:t>
      </w:r>
    </w:p>
    <w:p>
      <w:pPr>
        <w:spacing w:after="0" w:line="40" w:lineRule="exact"/>
        <w:rPr>
          <w:sz w:val="20"/>
          <w:szCs w:val="20"/>
          <w:color w:val="auto"/>
        </w:rPr>
      </w:pPr>
    </w:p>
    <w:p>
      <w:pPr>
        <w:ind w:left="160" w:right="960"/>
        <w:spacing w:after="0" w:line="329" w:lineRule="auto"/>
        <w:rPr>
          <w:sz w:val="20"/>
          <w:szCs w:val="20"/>
          <w:color w:val="auto"/>
        </w:rPr>
      </w:pPr>
      <w:r>
        <w:rPr>
          <w:rFonts w:ascii="Arial" w:cs="Arial" w:eastAsia="Arial" w:hAnsi="Arial"/>
          <w:sz w:val="12"/>
          <w:szCs w:val="12"/>
          <w:color w:val="auto"/>
        </w:rPr>
        <w:t>GPG Plumbing Group, LLC Graham Group US, Inc.</w:t>
      </w:r>
    </w:p>
    <w:p>
      <w:pPr>
        <w:ind w:left="160" w:right="560"/>
        <w:spacing w:after="0" w:line="303" w:lineRule="auto"/>
        <w:rPr>
          <w:sz w:val="20"/>
          <w:szCs w:val="20"/>
          <w:color w:val="auto"/>
        </w:rPr>
      </w:pPr>
      <w:r>
        <w:rPr>
          <w:rFonts w:ascii="Arial" w:cs="Arial" w:eastAsia="Arial" w:hAnsi="Arial"/>
          <w:sz w:val="13"/>
          <w:szCs w:val="13"/>
          <w:color w:val="auto"/>
        </w:rPr>
        <w:t>Graham Packaging Company, L.P. Grand River Dam Authority Grange Mutual Casualty Company Granite Construction Inc. Grayson Mill Energy Great Minds</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Great River Energy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Greater New York Mutual Insurance Co</w:t>
      </w:r>
    </w:p>
    <w:p>
      <w:pPr>
        <w:spacing w:after="0" w:line="40" w:lineRule="exact"/>
        <w:rPr>
          <w:sz w:val="20"/>
          <w:szCs w:val="20"/>
          <w:color w:val="auto"/>
        </w:rPr>
      </w:pPr>
    </w:p>
    <w:p>
      <w:pPr>
        <w:ind w:left="300" w:right="240" w:hanging="150"/>
        <w:spacing w:after="0" w:line="237" w:lineRule="auto"/>
        <w:rPr>
          <w:sz w:val="20"/>
          <w:szCs w:val="20"/>
          <w:color w:val="auto"/>
        </w:rPr>
      </w:pPr>
      <w:r>
        <w:rPr>
          <w:rFonts w:ascii="Arial" w:cs="Arial" w:eastAsia="Arial" w:hAnsi="Arial"/>
          <w:sz w:val="13"/>
          <w:szCs w:val="13"/>
          <w:color w:val="auto"/>
        </w:rPr>
        <w:t>Greater Washington Educational Telecommunications Association, Inc. (WETA)</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Green Dot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Greenhouse Software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Greenlight Financial Technology,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GreyStone Power Corporation</w:t>
      </w:r>
    </w:p>
    <w:p>
      <w:pPr>
        <w:spacing w:after="0" w:line="40" w:lineRule="exact"/>
        <w:rPr>
          <w:sz w:val="20"/>
          <w:szCs w:val="20"/>
          <w:color w:val="auto"/>
        </w:rPr>
      </w:pPr>
    </w:p>
    <w:p>
      <w:pPr>
        <w:ind w:left="300" w:right="300" w:hanging="150"/>
        <w:spacing w:after="0" w:line="249" w:lineRule="auto"/>
        <w:rPr>
          <w:sz w:val="20"/>
          <w:szCs w:val="20"/>
          <w:color w:val="auto"/>
        </w:rPr>
      </w:pPr>
      <w:r>
        <w:rPr>
          <w:rFonts w:ascii="Arial" w:cs="Arial" w:eastAsia="Arial" w:hAnsi="Arial"/>
          <w:sz w:val="13"/>
          <w:szCs w:val="13"/>
          <w:color w:val="auto"/>
        </w:rPr>
        <w:t>Grundfos Pumps Manufacturing United States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Grupo Industrial Lala US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GTM International,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Guarantee Trust Life Insurance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Guardian Pharmacy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Guild Education,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Guinness World Records North America Inc.</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GXO Logistics,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Gymshark USA,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H-E-B</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H&amp;M U.S.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Hach</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Haemonetics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Haldor Topsoe,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Halliburton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Hallmark Cards, Inc.</w:t>
      </w:r>
    </w:p>
    <w:p>
      <w:pPr>
        <w:spacing w:after="0" w:line="40" w:lineRule="exact"/>
        <w:rPr>
          <w:sz w:val="20"/>
          <w:szCs w:val="20"/>
          <w:color w:val="auto"/>
        </w:rPr>
      </w:pPr>
    </w:p>
    <w:p>
      <w:pPr>
        <w:ind w:left="160" w:right="500"/>
        <w:spacing w:after="0" w:line="303" w:lineRule="auto"/>
        <w:rPr>
          <w:sz w:val="20"/>
          <w:szCs w:val="20"/>
          <w:color w:val="auto"/>
        </w:rPr>
      </w:pPr>
      <w:r>
        <w:rPr>
          <w:rFonts w:ascii="Arial" w:cs="Arial" w:eastAsia="Arial" w:hAnsi="Arial"/>
          <w:sz w:val="13"/>
          <w:szCs w:val="13"/>
          <w:color w:val="auto"/>
        </w:rPr>
        <w:t>Hallmark Cards, Inc. - Crayola, LLC Halma Holdings US Hammond Power Solutions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Hampton Products International Corporation</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Hanchett Entry Systems,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Hanesbrands,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Hanford Mission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Integration Solutions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Hannover Re U.S.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Hanon Systems USA,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Harbison-Fischer,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Harris Health System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-86360</wp:posOffset>
            </wp:positionV>
            <wp:extent cx="8255" cy="5850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5850890"/>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-86360</wp:posOffset>
            </wp:positionV>
            <wp:extent cx="8255" cy="5850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5850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Hatch Associates Consultants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HAVI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Hawaiian Airlines,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HCA Healthcare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HDR,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Health &amp; Happiness (H&amp;H),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Health Care Service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Healthpartners,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Heidrick &amp; Struggles International,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Helen Of Troy -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HELLA, Inc.</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HELLA, Inc. - HELLA Electronics Corporation</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(HEC)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HelloFresh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Helmerich &amp; Payne,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Helzberg’s Diamond Shops,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Henkel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Hennepin County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Hennepin County Medical Center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Henry Ford Health System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Henry Ford Health System - Henry Ford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Allegiance Health</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Henry Ford Health System - West Bloomfield</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Hospital</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Henry Schein,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Heraeus Electro-Nite Co.,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Heraeus GMSI,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Heraeus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Heraeus Medical Components,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Heraeus Medical,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Heraeus Metals New York,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Heraeus Precious Metals North America</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Conshohocken, LLC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Herbalife Nutrition, Ltd.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Heritage Landscape Supply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Herr Foods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HF Management Services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Hibbett Sports,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HID Global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Highmark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Highspot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Hikma Pharmaceuticals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Hillenbrand,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Hilltop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Hilton Grand Vacations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Hilton Worldwide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Hitachi Astemo Americas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Hitachi Construction Machinery Loaders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America Inc. (HCMA)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241935</wp:posOffset>
            </wp:positionV>
            <wp:extent cx="7141210"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HM.CLAUSE,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-86360</wp:posOffset>
            </wp:positionV>
            <wp:extent cx="8255" cy="5850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5850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HNI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HNTB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Hollister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Holman Enterprises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Hologic,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Honeywell Federal Manufacturing &amp;</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Technologies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Honeywell International,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Horizon Air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Horizon Blue Cross Blue Shield of New</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Jersey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Hormel Foods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Hoshizaki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Hostess Brands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Hovnanian Enterprises,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Howard Hughes Medical Institute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Howden Roots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Howden USA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Hoya Optical Labs of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HOYA Surgical Optics, United States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Hublot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Humana,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Humane Society of the United States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Hunter Industries,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Huntington Bancshares, Inc.</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Huntington Ingalls Industries, Inc. - Technical</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Solutions Division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Hunton Andrews Kurth LLP</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Husky Injection Molding Systems, Ltd. (US)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Huvis Indorama Advanced Materials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Hy Cite Enterprises,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Hyatt Hotels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Hycroft Mining Holding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HydraForce,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Hyperion Materials &amp; Technologies,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Hypertherm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Hyundai Motor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Hyundai Translead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i-Health,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IAT Insurance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ICL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ICW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Idaho National Laboratory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Idorsia Pharmaceuticals US,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IDT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IES Abroad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IFCO Systems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IKEA North American Services,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IKEA Purchasing Services (US),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Ilitch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Illumio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IMI Zimmermann &amp; Jansen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Impellam Group NA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Imricor Medical Systems,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IMT Insurance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IN-N-OUT BURGER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Incyte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Independent Bank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Index Exchange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Indiana University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Inflection Energy,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Ingevity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Ingredion,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InnFocus,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Integer Holdings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Integra LifeSciences Holdings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Intelsat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Intercept Pharmaceuticals,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InterContinental Hotels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Interface,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Intermountain Healthcare,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International Air Transport Association, Inc.</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International Baccalaureate Organization US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International Business Machines Corporation</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International Paint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International Paper Co.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International Rescue Committee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International SOS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International-Matex Tank Terminals (IMTT)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Interplex Nascal,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Interpublic Group of Companies,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Interstate Gas Supply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Intra-Cellular Therapies,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Intradeco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Intrawest/Winter Park Operations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Corporation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ION Geophysical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Ioneer USA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IPG - True North Communications,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IPG GIS US Inc.</w:t>
      </w:r>
    </w:p>
    <w:p>
      <w:pPr>
        <w:spacing w:after="0" w:line="956" w:lineRule="exact"/>
        <w:rPr>
          <w:sz w:val="20"/>
          <w:szCs w:val="20"/>
          <w:color w:val="auto"/>
        </w:rPr>
      </w:pPr>
    </w:p>
    <w:p>
      <w:pPr>
        <w:sectPr>
          <w:pgSz w:w="11900" w:h="16838" w:orient="portrait"/>
          <w:cols w:equalWidth="0" w:num="4">
            <w:col w:w="2640" w:space="340"/>
            <w:col w:w="2540" w:space="280"/>
            <w:col w:w="2500" w:space="300"/>
            <w:col w:w="2640"/>
          </w:cols>
          <w:pgMar w:left="320" w:top="771" w:right="339" w:bottom="1440" w:gutter="0" w:footer="0" w:header="0"/>
        </w:sectPr>
      </w:pPr>
    </w:p>
    <w:p>
      <w:pPr>
        <w:spacing w:after="0" w:line="330"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64" w:name="page65"/>
    <w:bookmarkEnd w:id="64"/>
    <w:p>
      <w:pPr>
        <w:ind w:left="160"/>
        <w:spacing w:after="0"/>
        <w:rPr>
          <w:sz w:val="20"/>
          <w:szCs w:val="20"/>
          <w:color w:val="auto"/>
        </w:rPr>
      </w:pPr>
      <w:r>
        <w:rPr>
          <w:rFonts w:ascii="Arial" w:cs="Arial" w:eastAsia="Arial" w:hAnsi="Arial"/>
          <w:sz w:val="12"/>
          <w:szCs w:val="12"/>
          <w:color w:val="auto"/>
        </w:rPr>
        <w:t>IPL Plastics - Consumer Packaging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-78740</wp:posOffset>
            </wp:positionV>
            <wp:extent cx="8255" cy="57950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5795010"/>
                    </a:xfrm>
                    <a:prstGeom prst="rect">
                      <a:avLst/>
                    </a:prstGeom>
                    <a:noFill/>
                  </pic:spPr>
                </pic:pic>
              </a:graphicData>
            </a:graphic>
          </wp:anchor>
        </w:drawing>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IPL Plastics - Large Format Packaging &amp;</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Environmental Solutions</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Ipsen Biopharmaceuticals,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IQVIA Holdings,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Iron Mountain,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ISO New England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Isuzu North America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ITC Holdings Corp.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ITG Brands,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Itochu International, Inc. North America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ITOCHU Prominent USA,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ITT,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Ixom Watercare,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J-W Power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J.Crew Group,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J.D. Irving - Cavendish</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J.D. Irving - Irving Consumer Products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J.Jill,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J.R. Automation Technologies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J.S. Held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Jabil Circuit,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Jackson Lewis P.C.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Jackson National Life Insurance Company,</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Inc.</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Jacobs Engineering Group,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Jaguar Land Rover North America,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Jaguar O&amp;G</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James Avery Craftsman,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James Hardie Building Products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James River Group,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Jason,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JB Hunt Transport Services,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JBG SMITH Properties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Jeld-WEN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Jet Aviation United States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Jet Propulsion Laboratory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JetBlue Airways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Jockey International,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John B. Sanfilippo &amp; Son,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John Bean Technologies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John Fabick Tractor Company (Fabick CAT)</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Johns Hopkins All Children’s Hospital</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Johns Hopkins Health Care System</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Johns Hopkins University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Johns Manville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-86360</wp:posOffset>
            </wp:positionV>
            <wp:extent cx="8255" cy="57950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57950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Johnson &amp; Johnson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Johnson &amp; Johnson Consumer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Johnson &amp; Johnson Medical Devices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Johnson &amp; Johnson Medical Pharma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Johnson Controls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Johnson County Community College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Johnson Financial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Johnson Matthey,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Jostens,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JT International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Juice Plus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Just Born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JUSTIN Vineyards &amp; Winery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JX Nippon Oil Exploration (U.S.A.) Limited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Kaiser Permanente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Kaiser Permanente - Colorado Region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Kaiser Permanente - Georgia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Kaiser Permanente - Hawaii</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Kaiser Permanente - Mid Atlantic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Kaiser Permanente - Northern California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Kaiser Permanente - Northwest Region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Kaiser Permanente - Southern California</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Region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Kaiser Permanente - Washington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Kamehameha Schools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Kansas State University - Manhattan Campus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Kao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KAR Auction Services,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KBR (GSUS)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KBR,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Kellogg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Kelsey-Seybold Clinic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Kelvion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KemPharm,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Kendo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Kent PLC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Kentucky Lottery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Kering Americas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Kerry,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KeyCorp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Kiewit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Kimberly-Clark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Kimberly-Clark Corporation - 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786765</wp:posOffset>
            </wp:positionV>
            <wp:extent cx="7141210"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Kimberly-Clark Corporation - K-C</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Professional</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Kimley-Horn and Associates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Kinder Morgan,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Kinecta Federal Credit Union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Kinross Gold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Kirkland &amp; Ellis, LLP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Kiva Microfunds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Klein Tools,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Knauf</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Knoxville Utilities Board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Koch Air,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Koch Enterprises,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Kohl’s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Kohler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Komatsu Mining Corp.</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Konecranes Nuclear Equipment &amp; Services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Konecranes,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Kontoor Brands,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Koppers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Kosmos Energy,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Kremers Urban Pharmaceuticals,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KUBRA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Kum &amp; Go 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KushCo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Kwik Trip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Kyowa Kirin,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Kyriba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L.A. Care Health Plan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L.L.Bean,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L’Oreal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L3Harris Technologies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Laboratory Corporation of America Holdings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LACC,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Land O’Lakes,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Landmark Credit Union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Lannett Company,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LANXESS Corporation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Laredo Petroleum,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Latham &amp; Watkins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Launch Federal Credit Union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Lawrence Berkeley National Laboratory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Lawrence Livermore National Laboratory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LBC Houston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LBC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LDC Louis Dreyfus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Leadiant Biosciences,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Legal &amp; General America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LEGO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-86360</wp:posOffset>
            </wp:positionV>
            <wp:extent cx="8255" cy="57950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579501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Lehigh Hanson,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Lehigh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Leica Biosystems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Leica Microsystems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Leidos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Lend Lease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Lennox International,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LEO Pharma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Leprino Foods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Les Schwab Tire Centers,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Lesson Nine GmbH (Babbel)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Leupold &amp; Stevens,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Levi Strauss &amp; Co,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Lexington Medical Center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LG Electronics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Libbey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Liberty Mutual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Liberty Utilities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LifeNet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Liferay,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Lifescan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Lifetime Healthcare Companies, Inc.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Excellus BlueCross BlueShield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LifeWay Christian Resources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Likewize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Linamar Corporation McLaren Performance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Technologies, Inc.</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Linamar Corporation Skyjack Equipment, Inc.</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Lincoln Electric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Lincoln National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Linde,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Lineage Logistics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Linear Motion,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LineDrive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Lionbridge Technologies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Live Nation Entertainment, Inc.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Ticketmaster, LLC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Live Oak Bank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LMB Mortgage Services,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Lockheed Martin - Aeronautics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Lockheed Martin - Missiles and Fire Control</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Lockheed Martin - Rotary &amp; Mission Systems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Lockheed Martin - Space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Lockheed Martin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Loews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Lone Wolf Technologies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Lonza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LOOP, LLC</w:t>
      </w:r>
    </w:p>
    <w:p>
      <w:pPr>
        <w:spacing w:after="0" w:line="200" w:lineRule="exact"/>
        <w:rPr>
          <w:sz w:val="20"/>
          <w:szCs w:val="20"/>
          <w:color w:val="auto"/>
        </w:rPr>
      </w:pPr>
    </w:p>
    <w:p>
      <w:pPr>
        <w:sectPr>
          <w:pgSz w:w="11900" w:h="16838" w:orient="portrait"/>
          <w:cols w:equalWidth="0" w:num="4">
            <w:col w:w="2680" w:space="300"/>
            <w:col w:w="2560" w:space="260"/>
            <w:col w:w="2460" w:space="340"/>
            <w:col w:w="2640"/>
          </w:cols>
          <w:pgMar w:left="320" w:top="771" w:right="339" w:bottom="1440" w:gutter="0" w:footer="0" w:header="0"/>
        </w:sectPr>
      </w:pPr>
    </w:p>
    <w:p>
      <w:pPr>
        <w:spacing w:after="0" w:line="342"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65" w:name="page66"/>
    <w:bookmarkEnd w:id="65"/>
    <w:p>
      <w:pPr>
        <w:ind w:left="160"/>
        <w:spacing w:after="0"/>
        <w:rPr>
          <w:sz w:val="20"/>
          <w:szCs w:val="20"/>
          <w:color w:val="auto"/>
        </w:rPr>
      </w:pPr>
      <w:r>
        <w:rPr>
          <w:rFonts w:ascii="Arial" w:cs="Arial" w:eastAsia="Arial" w:hAnsi="Arial"/>
          <w:sz w:val="13"/>
          <w:szCs w:val="13"/>
          <w:color w:val="auto"/>
        </w:rPr>
        <w:t>Los Alamos National Laboratory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Los Angeles Community College District</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LOTTE Chemical Louisiana,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LOTTE Chemical USA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Louis Vuitton USA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Lowe’s Companies,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Lower Colorado River Authority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LS Group Staff</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LT Apparel Group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Lubrizol</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Lundbeck US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LURIN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Lutheran Senior Services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Luxoft GmbH</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LVMH - Christian Dior,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LVMH - DFS Group Limited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LVMH - Fendi North America,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LVMH - Sephora USA,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LVMH - Starboard Cruise Services,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LVMH Moet Hennessy Louis Vuitton, Inc.</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LyondellBasell Industries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 A. Mortenson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 Holland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M&amp;T Bank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Macy’s,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Maersk</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Maersk Drilling USA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Maesa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Magellan Health,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Magna International of America,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Maine Medical Center - MaineHealth</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Mallinckrodt Pharmaceuticals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Malvern Panalytical US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Mammoth Mountain Ski Area,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Mammotome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MANA Products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Mane USA,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Mann+Hummel (MHUS)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Mansfield Energy Corp.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ManTech International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MAPCO Express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MAPFRE U.S.A. Corp.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Maple Leaf Foods,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Maquet Getinge Group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Marathon Oil Corporation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Marc Jacobs International, LLC</w:t>
            </w:r>
          </w:p>
        </w:tc>
        <w:tc>
          <w:tcPr>
            <w:tcW w:w="2680" w:type="dxa"/>
            <w:vAlign w:val="bottom"/>
          </w:tcPr>
          <w:p>
            <w:pPr>
              <w:ind w:left="140"/>
              <w:spacing w:after="0"/>
              <w:rPr>
                <w:sz w:val="20"/>
                <w:szCs w:val="20"/>
                <w:color w:val="auto"/>
              </w:rPr>
            </w:pPr>
            <w:r>
              <w:rPr>
                <w:rFonts w:ascii="Arial" w:cs="Arial" w:eastAsia="Arial" w:hAnsi="Arial"/>
                <w:sz w:val="13"/>
                <w:szCs w:val="13"/>
                <w:color w:val="auto"/>
              </w:rPr>
              <w:t>McGrath RentCorp</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Markel Corporation</w:t>
            </w:r>
          </w:p>
        </w:tc>
        <w:tc>
          <w:tcPr>
            <w:tcW w:w="2680" w:type="dxa"/>
            <w:vAlign w:val="bottom"/>
          </w:tcPr>
          <w:p>
            <w:pPr>
              <w:ind w:left="140"/>
              <w:spacing w:after="0"/>
              <w:rPr>
                <w:sz w:val="20"/>
                <w:szCs w:val="20"/>
                <w:color w:val="auto"/>
              </w:rPr>
            </w:pPr>
            <w:r>
              <w:rPr>
                <w:rFonts w:ascii="Arial" w:cs="Arial" w:eastAsia="Arial" w:hAnsi="Arial"/>
                <w:sz w:val="13"/>
                <w:szCs w:val="13"/>
                <w:color w:val="auto"/>
              </w:rPr>
              <w:t>McKesson Corporation</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Marken LLP</w:t>
            </w:r>
          </w:p>
        </w:tc>
        <w:tc>
          <w:tcPr>
            <w:tcW w:w="2680" w:type="dxa"/>
            <w:vAlign w:val="bottom"/>
          </w:tcPr>
          <w:p>
            <w:pPr>
              <w:ind w:left="140"/>
              <w:spacing w:after="0"/>
              <w:rPr>
                <w:sz w:val="20"/>
                <w:szCs w:val="20"/>
                <w:color w:val="auto"/>
              </w:rPr>
            </w:pPr>
            <w:r>
              <w:rPr>
                <w:rFonts w:ascii="Arial" w:cs="Arial" w:eastAsia="Arial" w:hAnsi="Arial"/>
                <w:sz w:val="13"/>
                <w:szCs w:val="13"/>
                <w:color w:val="auto"/>
              </w:rPr>
              <w:t>McNeil &amp; Company,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Marlen International, Inc.</w:t>
            </w:r>
          </w:p>
        </w:tc>
        <w:tc>
          <w:tcPr>
            <w:tcW w:w="2680" w:type="dxa"/>
            <w:vAlign w:val="bottom"/>
          </w:tcPr>
          <w:p>
            <w:pPr>
              <w:ind w:left="140"/>
              <w:spacing w:after="0"/>
              <w:rPr>
                <w:sz w:val="20"/>
                <w:szCs w:val="20"/>
                <w:color w:val="auto"/>
              </w:rPr>
            </w:pPr>
            <w:r>
              <w:rPr>
                <w:rFonts w:ascii="Arial" w:cs="Arial" w:eastAsia="Arial" w:hAnsi="Arial"/>
                <w:sz w:val="13"/>
                <w:szCs w:val="13"/>
                <w:color w:val="auto"/>
              </w:rPr>
              <w:t>Mecklenburg County</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Marriott International, Inc.</w:t>
            </w:r>
          </w:p>
        </w:tc>
        <w:tc>
          <w:tcPr>
            <w:tcW w:w="2680" w:type="dxa"/>
            <w:vAlign w:val="bottom"/>
          </w:tcPr>
          <w:p>
            <w:pPr>
              <w:ind w:left="140"/>
              <w:spacing w:after="0"/>
              <w:rPr>
                <w:sz w:val="20"/>
                <w:szCs w:val="20"/>
                <w:color w:val="auto"/>
              </w:rPr>
            </w:pPr>
            <w:r>
              <w:rPr>
                <w:rFonts w:ascii="Arial" w:cs="Arial" w:eastAsia="Arial" w:hAnsi="Arial"/>
                <w:sz w:val="13"/>
                <w:szCs w:val="13"/>
                <w:color w:val="auto"/>
              </w:rPr>
              <w:t>Medallion Midstream, LLC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Mars Food</w:t>
            </w:r>
          </w:p>
        </w:tc>
        <w:tc>
          <w:tcPr>
            <w:tcW w:w="2680" w:type="dxa"/>
            <w:vAlign w:val="bottom"/>
          </w:tcPr>
          <w:p>
            <w:pPr>
              <w:ind w:left="140"/>
              <w:spacing w:after="0"/>
              <w:rPr>
                <w:sz w:val="20"/>
                <w:szCs w:val="20"/>
                <w:color w:val="auto"/>
              </w:rPr>
            </w:pPr>
            <w:r>
              <w:rPr>
                <w:rFonts w:ascii="Arial" w:cs="Arial" w:eastAsia="Arial" w:hAnsi="Arial"/>
                <w:sz w:val="13"/>
                <w:szCs w:val="13"/>
                <w:color w:val="auto"/>
              </w:rPr>
              <w:t>Medela, LLC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Mars Global Services</w:t>
            </w:r>
          </w:p>
        </w:tc>
        <w:tc>
          <w:tcPr>
            <w:tcW w:w="2680" w:type="dxa"/>
            <w:vAlign w:val="bottom"/>
          </w:tcPr>
          <w:p>
            <w:pPr>
              <w:ind w:left="140"/>
              <w:spacing w:after="0"/>
              <w:rPr>
                <w:sz w:val="20"/>
                <w:szCs w:val="20"/>
                <w:color w:val="auto"/>
              </w:rPr>
            </w:pPr>
            <w:r>
              <w:rPr>
                <w:rFonts w:ascii="Arial" w:cs="Arial" w:eastAsia="Arial" w:hAnsi="Arial"/>
                <w:sz w:val="13"/>
                <w:szCs w:val="13"/>
                <w:color w:val="auto"/>
              </w:rPr>
              <w:t>Medicago USA,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Mars Pet Nutrition</w:t>
            </w:r>
          </w:p>
        </w:tc>
        <w:tc>
          <w:tcPr>
            <w:tcW w:w="2680" w:type="dxa"/>
            <w:vAlign w:val="bottom"/>
          </w:tcPr>
          <w:p>
            <w:pPr>
              <w:ind w:left="140"/>
              <w:spacing w:after="0"/>
              <w:rPr>
                <w:sz w:val="20"/>
                <w:szCs w:val="20"/>
                <w:color w:val="auto"/>
              </w:rPr>
            </w:pPr>
            <w:r>
              <w:rPr>
                <w:rFonts w:ascii="Arial" w:cs="Arial" w:eastAsia="Arial" w:hAnsi="Arial"/>
                <w:sz w:val="13"/>
                <w:szCs w:val="13"/>
                <w:color w:val="auto"/>
              </w:rPr>
              <w:t>Medical Mutual of Ohio</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Mars Pet Nutrition Global</w:t>
            </w:r>
          </w:p>
        </w:tc>
        <w:tc>
          <w:tcPr>
            <w:tcW w:w="2680" w:type="dxa"/>
            <w:vAlign w:val="bottom"/>
          </w:tcPr>
          <w:p>
            <w:pPr>
              <w:ind w:left="140"/>
              <w:spacing w:after="0"/>
              <w:rPr>
                <w:sz w:val="20"/>
                <w:szCs w:val="20"/>
                <w:color w:val="auto"/>
              </w:rPr>
            </w:pPr>
            <w:r>
              <w:rPr>
                <w:rFonts w:ascii="Arial" w:cs="Arial" w:eastAsia="Arial" w:hAnsi="Arial"/>
                <w:sz w:val="13"/>
                <w:szCs w:val="13"/>
                <w:color w:val="auto"/>
              </w:rPr>
              <w:t>Medifast,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Mars Retail</w:t>
            </w:r>
          </w:p>
        </w:tc>
        <w:tc>
          <w:tcPr>
            <w:tcW w:w="2680" w:type="dxa"/>
            <w:vAlign w:val="bottom"/>
          </w:tcPr>
          <w:p>
            <w:pPr>
              <w:ind w:left="140"/>
              <w:spacing w:after="0"/>
              <w:rPr>
                <w:sz w:val="20"/>
                <w:szCs w:val="20"/>
                <w:color w:val="auto"/>
              </w:rPr>
            </w:pPr>
            <w:r>
              <w:rPr>
                <w:rFonts w:ascii="Arial" w:cs="Arial" w:eastAsia="Arial" w:hAnsi="Arial"/>
                <w:sz w:val="13"/>
                <w:szCs w:val="13"/>
                <w:color w:val="auto"/>
              </w:rPr>
              <w:t>Medline Industries,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Mars Wrigley - Americas</w:t>
            </w:r>
          </w:p>
        </w:tc>
        <w:tc>
          <w:tcPr>
            <w:tcW w:w="2680" w:type="dxa"/>
            <w:vAlign w:val="bottom"/>
          </w:tcPr>
          <w:p>
            <w:pPr>
              <w:ind w:left="140"/>
              <w:spacing w:after="0"/>
              <w:rPr>
                <w:sz w:val="20"/>
                <w:szCs w:val="20"/>
                <w:color w:val="auto"/>
              </w:rPr>
            </w:pPr>
            <w:r>
              <w:rPr>
                <w:rFonts w:ascii="Arial" w:cs="Arial" w:eastAsia="Arial" w:hAnsi="Arial"/>
                <w:sz w:val="13"/>
                <w:szCs w:val="13"/>
                <w:color w:val="auto"/>
              </w:rPr>
              <w:t>MedStar Health</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Mars Wrigley Global</w:t>
            </w:r>
          </w:p>
        </w:tc>
        <w:tc>
          <w:tcPr>
            <w:tcW w:w="2680" w:type="dxa"/>
            <w:vAlign w:val="bottom"/>
          </w:tcPr>
          <w:p>
            <w:pPr>
              <w:ind w:left="140"/>
              <w:spacing w:after="0"/>
              <w:rPr>
                <w:sz w:val="20"/>
                <w:szCs w:val="20"/>
                <w:color w:val="auto"/>
              </w:rPr>
            </w:pPr>
            <w:r>
              <w:rPr>
                <w:rFonts w:ascii="Arial" w:cs="Arial" w:eastAsia="Arial" w:hAnsi="Arial"/>
                <w:sz w:val="13"/>
                <w:szCs w:val="13"/>
                <w:color w:val="auto"/>
              </w:rPr>
              <w:t>Medtronic, PLC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Mars, Inc.</w:t>
            </w:r>
          </w:p>
        </w:tc>
        <w:tc>
          <w:tcPr>
            <w:tcW w:w="2680" w:type="dxa"/>
            <w:vAlign w:val="bottom"/>
          </w:tcPr>
          <w:p>
            <w:pPr>
              <w:ind w:left="140"/>
              <w:spacing w:after="0"/>
              <w:rPr>
                <w:sz w:val="20"/>
                <w:szCs w:val="20"/>
                <w:color w:val="auto"/>
              </w:rPr>
            </w:pPr>
            <w:r>
              <w:rPr>
                <w:rFonts w:ascii="Arial" w:cs="Arial" w:eastAsia="Arial" w:hAnsi="Arial"/>
                <w:sz w:val="13"/>
                <w:szCs w:val="13"/>
                <w:color w:val="auto"/>
              </w:rPr>
              <w:t>Meggitt-USA,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Marsh &amp; McLennan Companies</w:t>
            </w:r>
          </w:p>
        </w:tc>
        <w:tc>
          <w:tcPr>
            <w:tcW w:w="2680" w:type="dxa"/>
            <w:vAlign w:val="bottom"/>
          </w:tcPr>
          <w:p>
            <w:pPr>
              <w:ind w:left="140"/>
              <w:spacing w:after="0"/>
              <w:rPr>
                <w:sz w:val="20"/>
                <w:szCs w:val="20"/>
                <w:color w:val="auto"/>
              </w:rPr>
            </w:pPr>
            <w:r>
              <w:rPr>
                <w:rFonts w:ascii="Arial" w:cs="Arial" w:eastAsia="Arial" w:hAnsi="Arial"/>
                <w:sz w:val="13"/>
                <w:szCs w:val="13"/>
                <w:color w:val="auto"/>
              </w:rPr>
              <w:t>Meijer,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Marsh &amp; McLennan Companies, Inc. - Marsh</w:t>
            </w:r>
          </w:p>
        </w:tc>
        <w:tc>
          <w:tcPr>
            <w:tcW w:w="2680" w:type="dxa"/>
            <w:vAlign w:val="bottom"/>
          </w:tcPr>
          <w:p>
            <w:pPr>
              <w:ind w:left="140"/>
              <w:spacing w:after="0"/>
              <w:rPr>
                <w:sz w:val="20"/>
                <w:szCs w:val="20"/>
                <w:color w:val="auto"/>
              </w:rPr>
            </w:pPr>
            <w:r>
              <w:rPr>
                <w:rFonts w:ascii="Arial" w:cs="Arial" w:eastAsia="Arial" w:hAnsi="Arial"/>
                <w:sz w:val="13"/>
                <w:szCs w:val="13"/>
                <w:color w:val="auto"/>
              </w:rPr>
              <w:t>Memorial Health System</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Marshfield Clinic Health System</w:t>
            </w:r>
          </w:p>
        </w:tc>
        <w:tc>
          <w:tcPr>
            <w:tcW w:w="2680" w:type="dxa"/>
            <w:vAlign w:val="bottom"/>
          </w:tcPr>
          <w:p>
            <w:pPr>
              <w:ind w:left="140"/>
              <w:spacing w:after="0"/>
              <w:rPr>
                <w:sz w:val="20"/>
                <w:szCs w:val="20"/>
                <w:color w:val="auto"/>
              </w:rPr>
            </w:pPr>
            <w:r>
              <w:rPr>
                <w:rFonts w:ascii="Arial" w:cs="Arial" w:eastAsia="Arial" w:hAnsi="Arial"/>
                <w:sz w:val="13"/>
                <w:szCs w:val="13"/>
                <w:color w:val="auto"/>
              </w:rPr>
              <w:t>Memorial Sloan Kettering Cancer Center</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Martin Marietta Materials, Inc.</w:t>
            </w:r>
          </w:p>
        </w:tc>
        <w:tc>
          <w:tcPr>
            <w:tcW w:w="2680" w:type="dxa"/>
            <w:vAlign w:val="bottom"/>
          </w:tcPr>
          <w:p>
            <w:pPr>
              <w:ind w:left="140"/>
              <w:spacing w:after="0"/>
              <w:rPr>
                <w:sz w:val="20"/>
                <w:szCs w:val="20"/>
                <w:color w:val="auto"/>
              </w:rPr>
            </w:pPr>
            <w:r>
              <w:rPr>
                <w:rFonts w:ascii="Arial" w:cs="Arial" w:eastAsia="Arial" w:hAnsi="Arial"/>
                <w:sz w:val="13"/>
                <w:szCs w:val="13"/>
                <w:color w:val="auto"/>
              </w:rPr>
              <w:t>MemorialCare Health System</w:t>
            </w:r>
          </w:p>
        </w:tc>
        <w:tc>
          <w:tcPr>
            <w:tcW w:w="0" w:type="dxa"/>
            <w:vAlign w:val="bottom"/>
          </w:tcPr>
          <w:p>
            <w:pPr>
              <w:spacing w:after="0"/>
              <w:rPr>
                <w:sz w:val="1"/>
                <w:szCs w:val="1"/>
                <w:color w:val="auto"/>
              </w:rPr>
            </w:pPr>
          </w:p>
        </w:tc>
      </w:tr>
      <w:tr>
        <w:trPr>
          <w:trHeight w:val="162"/>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Mary Kay, Inc.</w:t>
            </w:r>
          </w:p>
        </w:tc>
        <w:tc>
          <w:tcPr>
            <w:tcW w:w="2680" w:type="dxa"/>
            <w:vAlign w:val="bottom"/>
          </w:tcPr>
          <w:p>
            <w:pPr>
              <w:ind w:left="140"/>
              <w:spacing w:after="0"/>
              <w:rPr>
                <w:sz w:val="20"/>
                <w:szCs w:val="20"/>
                <w:color w:val="auto"/>
              </w:rPr>
            </w:pPr>
            <w:r>
              <w:rPr>
                <w:rFonts w:ascii="Arial" w:cs="Arial" w:eastAsia="Arial" w:hAnsi="Arial"/>
                <w:sz w:val="13"/>
                <w:szCs w:val="13"/>
                <w:color w:val="auto"/>
                <w:w w:val="96"/>
              </w:rPr>
              <w:t>MemorialCare Health System - Orange Coast</w:t>
            </w: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Mary Kay, Inc. - US Division</w:t>
            </w:r>
          </w:p>
        </w:tc>
        <w:tc>
          <w:tcPr>
            <w:tcW w:w="2680" w:type="dxa"/>
            <w:vAlign w:val="bottom"/>
          </w:tcPr>
          <w:p>
            <w:pPr>
              <w:ind w:left="280"/>
              <w:spacing w:after="0"/>
              <w:rPr>
                <w:sz w:val="20"/>
                <w:szCs w:val="20"/>
                <w:color w:val="auto"/>
              </w:rPr>
            </w:pPr>
            <w:r>
              <w:rPr>
                <w:rFonts w:ascii="Arial" w:cs="Arial" w:eastAsia="Arial" w:hAnsi="Arial"/>
                <w:sz w:val="13"/>
                <w:szCs w:val="13"/>
                <w:color w:val="auto"/>
              </w:rPr>
              <w:t>Memorial Medical Center</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continue"/>
          </w:tcPr>
          <w:p>
            <w:pPr>
              <w:spacing w:after="0"/>
              <w:rPr>
                <w:sz w:val="4"/>
                <w:szCs w:val="4"/>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Mercedes-Benz U.S. International, Inc.</w:t>
            </w: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Maryland Procurement Company</w:t>
            </w: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continue"/>
          </w:tcPr>
          <w:p>
            <w:pPr>
              <w:spacing w:after="0"/>
              <w:rPr>
                <w:sz w:val="4"/>
                <w:szCs w:val="4"/>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Mercedes-Benz USA, LLC</w:t>
            </w: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Masco Corporation</w:t>
            </w: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continue"/>
          </w:tcPr>
          <w:p>
            <w:pPr>
              <w:spacing w:after="0"/>
              <w:rPr>
                <w:sz w:val="4"/>
                <w:szCs w:val="4"/>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Merck &amp; Co., Inc.</w:t>
            </w:r>
          </w:p>
        </w:tc>
        <w:tc>
          <w:tcPr>
            <w:tcW w:w="0" w:type="dxa"/>
            <w:vAlign w:val="bottom"/>
          </w:tcPr>
          <w:p>
            <w:pPr>
              <w:spacing w:after="0"/>
              <w:rPr>
                <w:sz w:val="1"/>
                <w:szCs w:val="1"/>
                <w:color w:val="auto"/>
              </w:rPr>
            </w:pPr>
          </w:p>
        </w:tc>
      </w:tr>
      <w:tr>
        <w:trPr>
          <w:trHeight w:val="139"/>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Massachusetts Institute of Technology</w:t>
            </w: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continue"/>
          </w:tcPr>
          <w:p>
            <w:pPr>
              <w:spacing w:after="0"/>
              <w:rPr>
                <w:sz w:val="4"/>
                <w:szCs w:val="4"/>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Merck &amp; Co., Inc. - Animal Health Division</w:t>
            </w:r>
          </w:p>
        </w:tc>
        <w:tc>
          <w:tcPr>
            <w:tcW w:w="0" w:type="dxa"/>
            <w:vAlign w:val="bottom"/>
          </w:tcPr>
          <w:p>
            <w:pPr>
              <w:spacing w:after="0"/>
              <w:rPr>
                <w:sz w:val="1"/>
                <w:szCs w:val="1"/>
                <w:color w:val="auto"/>
              </w:rPr>
            </w:pPr>
          </w:p>
        </w:tc>
      </w:tr>
      <w:tr>
        <w:trPr>
          <w:trHeight w:val="162"/>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Massachusetts Institute of Technology - MIT</w:t>
            </w: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Lincoln Laboratory</w:t>
            </w:r>
          </w:p>
        </w:tc>
        <w:tc>
          <w:tcPr>
            <w:tcW w:w="2680" w:type="dxa"/>
            <w:vAlign w:val="bottom"/>
          </w:tcPr>
          <w:p>
            <w:pPr>
              <w:ind w:left="140"/>
              <w:spacing w:after="0"/>
              <w:rPr>
                <w:sz w:val="20"/>
                <w:szCs w:val="20"/>
                <w:color w:val="auto"/>
              </w:rPr>
            </w:pPr>
            <w:r>
              <w:rPr>
                <w:rFonts w:ascii="Arial" w:cs="Arial" w:eastAsia="Arial" w:hAnsi="Arial"/>
                <w:sz w:val="13"/>
                <w:szCs w:val="13"/>
                <w:color w:val="auto"/>
              </w:rPr>
              <w:t>Mercury Insurance Group</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MassMutual Life Insurance Company</w:t>
            </w:r>
          </w:p>
        </w:tc>
        <w:tc>
          <w:tcPr>
            <w:tcW w:w="2680" w:type="dxa"/>
            <w:vAlign w:val="bottom"/>
          </w:tcPr>
          <w:p>
            <w:pPr>
              <w:ind w:left="140"/>
              <w:spacing w:after="0"/>
              <w:rPr>
                <w:sz w:val="20"/>
                <w:szCs w:val="20"/>
                <w:color w:val="auto"/>
              </w:rPr>
            </w:pPr>
            <w:r>
              <w:rPr>
                <w:rFonts w:ascii="Arial" w:cs="Arial" w:eastAsia="Arial" w:hAnsi="Arial"/>
                <w:sz w:val="13"/>
                <w:szCs w:val="13"/>
                <w:color w:val="auto"/>
              </w:rPr>
              <w:t>Meritage Homes Corporation</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Material</w:t>
            </w:r>
          </w:p>
        </w:tc>
        <w:tc>
          <w:tcPr>
            <w:tcW w:w="2680" w:type="dxa"/>
            <w:vAlign w:val="bottom"/>
          </w:tcPr>
          <w:p>
            <w:pPr>
              <w:ind w:left="140"/>
              <w:spacing w:after="0"/>
              <w:rPr>
                <w:sz w:val="20"/>
                <w:szCs w:val="20"/>
                <w:color w:val="auto"/>
              </w:rPr>
            </w:pPr>
            <w:r>
              <w:rPr>
                <w:rFonts w:ascii="Arial" w:cs="Arial" w:eastAsia="Arial" w:hAnsi="Arial"/>
                <w:sz w:val="13"/>
                <w:szCs w:val="13"/>
                <w:color w:val="auto"/>
              </w:rPr>
              <w:t>Meritor,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Materion United States</w:t>
            </w:r>
          </w:p>
        </w:tc>
        <w:tc>
          <w:tcPr>
            <w:tcW w:w="2680" w:type="dxa"/>
            <w:vAlign w:val="bottom"/>
          </w:tcPr>
          <w:p>
            <w:pPr>
              <w:ind w:left="140"/>
              <w:spacing w:after="0"/>
              <w:rPr>
                <w:sz w:val="20"/>
                <w:szCs w:val="20"/>
                <w:color w:val="auto"/>
              </w:rPr>
            </w:pPr>
            <w:r>
              <w:rPr>
                <w:rFonts w:ascii="Arial" w:cs="Arial" w:eastAsia="Arial" w:hAnsi="Arial"/>
                <w:sz w:val="13"/>
                <w:szCs w:val="13"/>
                <w:color w:val="auto"/>
              </w:rPr>
              <w:t>Merlin Entertainments</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MathWorks</w:t>
            </w:r>
          </w:p>
        </w:tc>
        <w:tc>
          <w:tcPr>
            <w:tcW w:w="2680" w:type="dxa"/>
            <w:vAlign w:val="bottom"/>
          </w:tcPr>
          <w:p>
            <w:pPr>
              <w:ind w:left="140"/>
              <w:spacing w:after="0"/>
              <w:rPr>
                <w:sz w:val="20"/>
                <w:szCs w:val="20"/>
                <w:color w:val="auto"/>
              </w:rPr>
            </w:pPr>
            <w:r>
              <w:rPr>
                <w:rFonts w:ascii="Arial" w:cs="Arial" w:eastAsia="Arial" w:hAnsi="Arial"/>
                <w:sz w:val="13"/>
                <w:szCs w:val="13"/>
                <w:color w:val="auto"/>
              </w:rPr>
              <w:t>Mersen US</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Matson, Inc.</w:t>
            </w:r>
          </w:p>
        </w:tc>
        <w:tc>
          <w:tcPr>
            <w:tcW w:w="2680" w:type="dxa"/>
            <w:vAlign w:val="bottom"/>
          </w:tcPr>
          <w:p>
            <w:pPr>
              <w:ind w:left="140"/>
              <w:spacing w:after="0"/>
              <w:rPr>
                <w:sz w:val="20"/>
                <w:szCs w:val="20"/>
                <w:color w:val="auto"/>
              </w:rPr>
            </w:pPr>
            <w:r>
              <w:rPr>
                <w:rFonts w:ascii="Arial" w:cs="Arial" w:eastAsia="Arial" w:hAnsi="Arial"/>
                <w:sz w:val="13"/>
                <w:szCs w:val="13"/>
                <w:color w:val="auto"/>
              </w:rPr>
              <w:t>Meso Scale Diagnostics</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Matson, Inc. - Matson Logistics</w:t>
            </w:r>
          </w:p>
        </w:tc>
        <w:tc>
          <w:tcPr>
            <w:tcW w:w="2680" w:type="dxa"/>
            <w:vAlign w:val="bottom"/>
          </w:tcPr>
          <w:p>
            <w:pPr>
              <w:ind w:left="140"/>
              <w:spacing w:after="0"/>
              <w:rPr>
                <w:sz w:val="20"/>
                <w:szCs w:val="20"/>
                <w:color w:val="auto"/>
              </w:rPr>
            </w:pPr>
            <w:r>
              <w:rPr>
                <w:rFonts w:ascii="Arial" w:cs="Arial" w:eastAsia="Arial" w:hAnsi="Arial"/>
                <w:sz w:val="13"/>
                <w:szCs w:val="13"/>
                <w:color w:val="auto"/>
              </w:rPr>
              <w:t>MetaBank National Association</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Mattel, Inc.</w:t>
            </w:r>
          </w:p>
        </w:tc>
        <w:tc>
          <w:tcPr>
            <w:tcW w:w="2680" w:type="dxa"/>
            <w:vAlign w:val="bottom"/>
          </w:tcPr>
          <w:p>
            <w:pPr>
              <w:ind w:left="140"/>
              <w:spacing w:after="0"/>
              <w:rPr>
                <w:sz w:val="20"/>
                <w:szCs w:val="20"/>
                <w:color w:val="auto"/>
              </w:rPr>
            </w:pPr>
            <w:r>
              <w:rPr>
                <w:rFonts w:ascii="Arial" w:cs="Arial" w:eastAsia="Arial" w:hAnsi="Arial"/>
                <w:sz w:val="13"/>
                <w:szCs w:val="13"/>
                <w:color w:val="auto"/>
              </w:rPr>
              <w:t>Metal Exchange Corporation</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Matthews International Corporation</w:t>
            </w:r>
          </w:p>
        </w:tc>
        <w:tc>
          <w:tcPr>
            <w:tcW w:w="2680" w:type="dxa"/>
            <w:vAlign w:val="bottom"/>
          </w:tcPr>
          <w:p>
            <w:pPr>
              <w:ind w:left="140"/>
              <w:spacing w:after="0"/>
              <w:rPr>
                <w:sz w:val="20"/>
                <w:szCs w:val="20"/>
                <w:color w:val="auto"/>
              </w:rPr>
            </w:pPr>
            <w:r>
              <w:rPr>
                <w:rFonts w:ascii="Arial" w:cs="Arial" w:eastAsia="Arial" w:hAnsi="Arial"/>
                <w:sz w:val="13"/>
                <w:szCs w:val="13"/>
                <w:color w:val="auto"/>
              </w:rPr>
              <w:t>Mettler-Toledo, LLC - MTI</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Maurices, Inc.</w:t>
            </w:r>
          </w:p>
        </w:tc>
        <w:tc>
          <w:tcPr>
            <w:tcW w:w="2680" w:type="dxa"/>
            <w:vAlign w:val="bottom"/>
          </w:tcPr>
          <w:p>
            <w:pPr>
              <w:ind w:left="140"/>
              <w:spacing w:after="0"/>
              <w:rPr>
                <w:sz w:val="20"/>
                <w:szCs w:val="20"/>
                <w:color w:val="auto"/>
              </w:rPr>
            </w:pPr>
            <w:r>
              <w:rPr>
                <w:rFonts w:ascii="Arial" w:cs="Arial" w:eastAsia="Arial" w:hAnsi="Arial"/>
                <w:sz w:val="13"/>
                <w:szCs w:val="13"/>
                <w:color w:val="auto"/>
              </w:rPr>
              <w:t>MFS Investment Management</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MAXIMUS, Inc.</w:t>
            </w:r>
          </w:p>
        </w:tc>
        <w:tc>
          <w:tcPr>
            <w:tcW w:w="2680" w:type="dxa"/>
            <w:vAlign w:val="bottom"/>
          </w:tcPr>
          <w:p>
            <w:pPr>
              <w:ind w:left="140"/>
              <w:spacing w:after="0"/>
              <w:rPr>
                <w:sz w:val="20"/>
                <w:szCs w:val="20"/>
                <w:color w:val="auto"/>
              </w:rPr>
            </w:pPr>
            <w:r>
              <w:rPr>
                <w:rFonts w:ascii="Arial" w:cs="Arial" w:eastAsia="Arial" w:hAnsi="Arial"/>
                <w:sz w:val="13"/>
                <w:szCs w:val="13"/>
                <w:color w:val="auto"/>
              </w:rPr>
              <w:t>Michelin North America,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Maxion Wheels Sedalia LLC</w:t>
            </w:r>
          </w:p>
        </w:tc>
        <w:tc>
          <w:tcPr>
            <w:tcW w:w="2680" w:type="dxa"/>
            <w:vAlign w:val="bottom"/>
          </w:tcPr>
          <w:p>
            <w:pPr>
              <w:ind w:left="140"/>
              <w:spacing w:after="0"/>
              <w:rPr>
                <w:sz w:val="20"/>
                <w:szCs w:val="20"/>
                <w:color w:val="auto"/>
              </w:rPr>
            </w:pPr>
            <w:r>
              <w:rPr>
                <w:rFonts w:ascii="Arial" w:cs="Arial" w:eastAsia="Arial" w:hAnsi="Arial"/>
                <w:sz w:val="13"/>
                <w:szCs w:val="13"/>
                <w:color w:val="auto"/>
              </w:rPr>
              <w:t>Michels Corporation</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Maxion Wheels U.S.A., LLC</w:t>
            </w:r>
          </w:p>
        </w:tc>
        <w:tc>
          <w:tcPr>
            <w:tcW w:w="2680" w:type="dxa"/>
            <w:vAlign w:val="bottom"/>
          </w:tcPr>
          <w:p>
            <w:pPr>
              <w:ind w:left="140"/>
              <w:spacing w:after="0"/>
              <w:rPr>
                <w:sz w:val="20"/>
                <w:szCs w:val="20"/>
                <w:color w:val="auto"/>
              </w:rPr>
            </w:pPr>
            <w:r>
              <w:rPr>
                <w:rFonts w:ascii="Arial" w:cs="Arial" w:eastAsia="Arial" w:hAnsi="Arial"/>
                <w:sz w:val="13"/>
                <w:szCs w:val="13"/>
                <w:color w:val="auto"/>
              </w:rPr>
              <w:t>Michigan Farm Bureau</w:t>
            </w:r>
          </w:p>
        </w:tc>
        <w:tc>
          <w:tcPr>
            <w:tcW w:w="0" w:type="dxa"/>
            <w:vAlign w:val="bottom"/>
          </w:tcPr>
          <w:p>
            <w:pPr>
              <w:spacing w:after="0"/>
              <w:rPr>
                <w:sz w:val="1"/>
                <w:szCs w:val="1"/>
                <w:color w:val="auto"/>
              </w:rPr>
            </w:pPr>
          </w:p>
        </w:tc>
      </w:tr>
      <w:tr>
        <w:trPr>
          <w:trHeight w:val="162"/>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Mayer Brown, LLP</w:t>
            </w:r>
          </w:p>
        </w:tc>
        <w:tc>
          <w:tcPr>
            <w:tcW w:w="2680" w:type="dxa"/>
            <w:vAlign w:val="bottom"/>
          </w:tcPr>
          <w:p>
            <w:pPr>
              <w:ind w:left="140"/>
              <w:spacing w:after="0"/>
              <w:rPr>
                <w:sz w:val="20"/>
                <w:szCs w:val="20"/>
                <w:color w:val="auto"/>
              </w:rPr>
            </w:pPr>
            <w:r>
              <w:rPr>
                <w:rFonts w:ascii="Arial" w:cs="Arial" w:eastAsia="Arial" w:hAnsi="Arial"/>
                <w:sz w:val="13"/>
                <w:szCs w:val="13"/>
                <w:color w:val="auto"/>
              </w:rPr>
              <w:t>Mid-America Apartment Communities, Inc.</w:t>
            </w:r>
          </w:p>
        </w:tc>
        <w:tc>
          <w:tcPr>
            <w:tcW w:w="0" w:type="dxa"/>
            <w:vAlign w:val="bottom"/>
          </w:tcPr>
          <w:p>
            <w:pPr>
              <w:spacing w:after="0"/>
              <w:rPr>
                <w:sz w:val="1"/>
                <w:szCs w:val="1"/>
                <w:color w:val="auto"/>
              </w:rPr>
            </w:pP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Mayo Foundation for Medical Education and</w:t>
            </w:r>
          </w:p>
        </w:tc>
        <w:tc>
          <w:tcPr>
            <w:tcW w:w="2680" w:type="dxa"/>
            <w:vAlign w:val="bottom"/>
          </w:tcPr>
          <w:p>
            <w:pPr>
              <w:ind w:left="280"/>
              <w:spacing w:after="0"/>
              <w:rPr>
                <w:sz w:val="20"/>
                <w:szCs w:val="20"/>
                <w:color w:val="auto"/>
              </w:rPr>
            </w:pPr>
            <w:r>
              <w:rPr>
                <w:rFonts w:ascii="Arial" w:cs="Arial" w:eastAsia="Arial" w:hAnsi="Arial"/>
                <w:sz w:val="13"/>
                <w:szCs w:val="13"/>
                <w:color w:val="auto"/>
              </w:rPr>
              <w:t>(MAA)</w:t>
            </w: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Research</w:t>
            </w:r>
          </w:p>
        </w:tc>
        <w:tc>
          <w:tcPr>
            <w:tcW w:w="2680" w:type="dxa"/>
            <w:vAlign w:val="bottom"/>
          </w:tcPr>
          <w:p>
            <w:pPr>
              <w:ind w:left="140"/>
              <w:spacing w:after="0"/>
              <w:rPr>
                <w:sz w:val="20"/>
                <w:szCs w:val="20"/>
                <w:color w:val="auto"/>
              </w:rPr>
            </w:pPr>
            <w:r>
              <w:rPr>
                <w:rFonts w:ascii="Arial" w:cs="Arial" w:eastAsia="Arial" w:hAnsi="Arial"/>
                <w:sz w:val="13"/>
                <w:szCs w:val="13"/>
                <w:color w:val="auto"/>
              </w:rPr>
              <w:t>Mid-America Conversion Services</w:t>
            </w:r>
          </w:p>
        </w:tc>
        <w:tc>
          <w:tcPr>
            <w:tcW w:w="0" w:type="dxa"/>
            <w:vAlign w:val="bottom"/>
          </w:tcPr>
          <w:p>
            <w:pPr>
              <w:spacing w:after="0"/>
              <w:rPr>
                <w:sz w:val="1"/>
                <w:szCs w:val="1"/>
                <w:color w:val="auto"/>
              </w:rPr>
            </w:pPr>
          </w:p>
        </w:tc>
      </w:tr>
      <w:tr>
        <w:trPr>
          <w:trHeight w:val="162"/>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Mayo Foundation for Medical Education and</w:t>
            </w:r>
          </w:p>
        </w:tc>
        <w:tc>
          <w:tcPr>
            <w:tcW w:w="2680" w:type="dxa"/>
            <w:vAlign w:val="bottom"/>
          </w:tcPr>
          <w:p>
            <w:pPr>
              <w:ind w:left="140"/>
              <w:spacing w:after="0"/>
              <w:rPr>
                <w:sz w:val="20"/>
                <w:szCs w:val="20"/>
                <w:color w:val="auto"/>
              </w:rPr>
            </w:pPr>
            <w:r>
              <w:rPr>
                <w:rFonts w:ascii="Arial" w:cs="Arial" w:eastAsia="Arial" w:hAnsi="Arial"/>
                <w:sz w:val="13"/>
                <w:szCs w:val="13"/>
                <w:color w:val="auto"/>
              </w:rPr>
              <w:t>Midco</w:t>
            </w:r>
          </w:p>
        </w:tc>
        <w:tc>
          <w:tcPr>
            <w:tcW w:w="0" w:type="dxa"/>
            <w:vAlign w:val="bottom"/>
          </w:tcPr>
          <w:p>
            <w:pPr>
              <w:spacing w:after="0"/>
              <w:rPr>
                <w:sz w:val="1"/>
                <w:szCs w:val="1"/>
                <w:color w:val="auto"/>
              </w:rPr>
            </w:pPr>
          </w:p>
        </w:tc>
      </w:tr>
      <w:tr>
        <w:trPr>
          <w:trHeight w:val="166"/>
        </w:trPr>
        <w:tc>
          <w:tcPr>
            <w:tcW w:w="2680" w:type="dxa"/>
            <w:vAlign w:val="bottom"/>
            <w:tcBorders>
              <w:right w:val="single" w:sz="8" w:color="auto"/>
            </w:tcBorders>
          </w:tcPr>
          <w:p>
            <w:pPr>
              <w:ind w:left="160"/>
              <w:spacing w:after="0"/>
              <w:rPr>
                <w:sz w:val="20"/>
                <w:szCs w:val="20"/>
                <w:color w:val="auto"/>
              </w:rPr>
            </w:pPr>
            <w:r>
              <w:rPr>
                <w:rFonts w:ascii="Arial" w:cs="Arial" w:eastAsia="Arial" w:hAnsi="Arial"/>
                <w:sz w:val="13"/>
                <w:szCs w:val="13"/>
                <w:color w:val="auto"/>
              </w:rPr>
              <w:t>Research - Mayo Clinic Arizona</w:t>
            </w: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Midland Cogeneration Venture</w:t>
            </w:r>
          </w:p>
        </w:tc>
        <w:tc>
          <w:tcPr>
            <w:tcW w:w="0" w:type="dxa"/>
            <w:vAlign w:val="bottom"/>
          </w:tcPr>
          <w:p>
            <w:pPr>
              <w:spacing w:after="0"/>
              <w:rPr>
                <w:sz w:val="1"/>
                <w:szCs w:val="1"/>
                <w:color w:val="auto"/>
              </w:rPr>
            </w:pPr>
          </w:p>
        </w:tc>
      </w:tr>
      <w:tr>
        <w:trPr>
          <w:trHeight w:val="50"/>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Mayo Foundation for Medical Education and</w:t>
            </w:r>
          </w:p>
        </w:tc>
        <w:tc>
          <w:tcPr>
            <w:tcW w:w="2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2680" w:type="dxa"/>
            <w:vAlign w:val="bottom"/>
            <w:tcBorders>
              <w:right w:val="single" w:sz="8" w:color="auto"/>
            </w:tcBorders>
            <w:vMerge w:val="continue"/>
          </w:tcPr>
          <w:p>
            <w:pPr>
              <w:spacing w:after="0"/>
              <w:rPr>
                <w:sz w:val="9"/>
                <w:szCs w:val="9"/>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MillerKnoll Inc.</w:t>
            </w:r>
          </w:p>
        </w:tc>
        <w:tc>
          <w:tcPr>
            <w:tcW w:w="0" w:type="dxa"/>
            <w:vAlign w:val="bottom"/>
          </w:tcPr>
          <w:p>
            <w:pPr>
              <w:spacing w:after="0"/>
              <w:rPr>
                <w:sz w:val="1"/>
                <w:szCs w:val="1"/>
                <w:color w:val="auto"/>
              </w:rPr>
            </w:pPr>
          </w:p>
        </w:tc>
      </w:tr>
      <w:tr>
        <w:trPr>
          <w:trHeight w:val="78"/>
        </w:trPr>
        <w:tc>
          <w:tcPr>
            <w:tcW w:w="26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Research - Mayo Clinic Florida</w:t>
            </w:r>
          </w:p>
        </w:tc>
        <w:tc>
          <w:tcPr>
            <w:tcW w:w="2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Milliken &amp; Company</w:t>
            </w: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McCain Foods USA, Inc.</w:t>
            </w:r>
          </w:p>
        </w:tc>
        <w:tc>
          <w:tcPr>
            <w:tcW w:w="2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Milliken &amp; Company - Chemical</w:t>
            </w: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McCormick &amp; Company</w:t>
            </w:r>
          </w:p>
        </w:tc>
        <w:tc>
          <w:tcPr>
            <w:tcW w:w="2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Minnesota Valley Electric Cooperative</w:t>
            </w: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McCrometer</w:t>
            </w:r>
          </w:p>
        </w:tc>
        <w:tc>
          <w:tcPr>
            <w:tcW w:w="2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Minto Communities, LLC</w:t>
            </w: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McDermott International, Inc.</w:t>
            </w:r>
          </w:p>
        </w:tc>
        <w:tc>
          <w:tcPr>
            <w:tcW w:w="2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Mirum Pharmaceuticals, Inc.</w:t>
            </w: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McDonald’s Corporation</w:t>
            </w:r>
          </w:p>
        </w:tc>
        <w:tc>
          <w:tcPr>
            <w:tcW w:w="2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680" w:type="dxa"/>
            <w:vAlign w:val="bottom"/>
            <w:tcBorders>
              <w:right w:val="single" w:sz="8" w:color="auto"/>
            </w:tcBorders>
            <w:vMerge w:val="continue"/>
          </w:tcPr>
          <w:p>
            <w:pPr>
              <w:spacing w:after="0"/>
              <w:rPr>
                <w:sz w:val="7"/>
                <w:szCs w:val="7"/>
                <w:color w:val="auto"/>
              </w:rPr>
            </w:pPr>
          </w:p>
        </w:tc>
        <w:tc>
          <w:tcPr>
            <w:tcW w:w="2680" w:type="dxa"/>
            <w:vAlign w:val="bottom"/>
            <w:vMerge w:val="restart"/>
          </w:tcPr>
          <w:p>
            <w:pPr>
              <w:ind w:left="140"/>
              <w:spacing w:after="0"/>
              <w:rPr>
                <w:sz w:val="20"/>
                <w:szCs w:val="20"/>
                <w:color w:val="auto"/>
              </w:rPr>
            </w:pPr>
            <w:r>
              <w:rPr>
                <w:rFonts w:ascii="Arial" w:cs="Arial" w:eastAsia="Arial" w:hAnsi="Arial"/>
                <w:sz w:val="13"/>
                <w:szCs w:val="13"/>
                <w:color w:val="auto"/>
              </w:rPr>
              <w:t>Mission Produce, Inc.</w:t>
            </w:r>
          </w:p>
        </w:tc>
        <w:tc>
          <w:tcPr>
            <w:tcW w:w="0" w:type="dxa"/>
            <w:vAlign w:val="bottom"/>
          </w:tcPr>
          <w:p>
            <w:pPr>
              <w:spacing w:after="0"/>
              <w:rPr>
                <w:sz w:val="1"/>
                <w:szCs w:val="1"/>
                <w:color w:val="auto"/>
              </w:rPr>
            </w:pPr>
          </w:p>
        </w:tc>
      </w:tr>
      <w:tr>
        <w:trPr>
          <w:trHeight w:val="101"/>
        </w:trPr>
        <w:tc>
          <w:tcPr>
            <w:tcW w:w="2680" w:type="dxa"/>
            <w:vAlign w:val="bottom"/>
            <w:tcBorders>
              <w:right w:val="single" w:sz="8" w:color="auto"/>
            </w:tcBorders>
          </w:tcPr>
          <w:p>
            <w:pPr>
              <w:spacing w:after="0"/>
              <w:rPr>
                <w:sz w:val="8"/>
                <w:szCs w:val="8"/>
                <w:color w:val="auto"/>
              </w:rPr>
            </w:pPr>
          </w:p>
        </w:tc>
        <w:tc>
          <w:tcPr>
            <w:tcW w:w="2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680" w:type="dxa"/>
            <w:vAlign w:val="bottom"/>
            <w:tcBorders>
              <w:right w:val="single" w:sz="8" w:color="auto"/>
            </w:tcBorders>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-5706110</wp:posOffset>
            </wp:positionV>
            <wp:extent cx="7141210" cy="59391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1210" cy="5939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00"/>
        <w:spacing w:after="0" w:line="303" w:lineRule="auto"/>
        <w:rPr>
          <w:sz w:val="20"/>
          <w:szCs w:val="20"/>
          <w:color w:val="auto"/>
        </w:rPr>
      </w:pPr>
      <w:r>
        <w:rPr>
          <w:rFonts w:ascii="Arial" w:cs="Arial" w:eastAsia="Arial" w:hAnsi="Arial"/>
          <w:sz w:val="13"/>
          <w:szCs w:val="13"/>
          <w:color w:val="auto"/>
        </w:rPr>
        <w:t>Mission Support and Test Services MiTek USA, Inc.</w:t>
      </w:r>
    </w:p>
    <w:p>
      <w:pPr>
        <w:spacing w:after="0" w:line="1" w:lineRule="exact"/>
        <w:rPr>
          <w:sz w:val="20"/>
          <w:szCs w:val="20"/>
          <w:color w:val="auto"/>
        </w:rPr>
      </w:pPr>
    </w:p>
    <w:p>
      <w:pPr>
        <w:ind w:right="320"/>
        <w:spacing w:after="0" w:line="329" w:lineRule="auto"/>
        <w:rPr>
          <w:sz w:val="20"/>
          <w:szCs w:val="20"/>
          <w:color w:val="auto"/>
        </w:rPr>
      </w:pPr>
      <w:r>
        <w:rPr>
          <w:rFonts w:ascii="Arial" w:cs="Arial" w:eastAsia="Arial" w:hAnsi="Arial"/>
          <w:sz w:val="12"/>
          <w:szCs w:val="12"/>
          <w:color w:val="auto"/>
        </w:rPr>
        <w:t>Mitsubishi Corporation (Americas) Mitsubishi Heavy Industries America, Inc.</w:t>
      </w:r>
    </w:p>
    <w:p>
      <w:pPr>
        <w:ind w:left="160" w:right="140" w:hanging="151"/>
        <w:spacing w:after="0" w:line="249" w:lineRule="auto"/>
        <w:rPr>
          <w:sz w:val="20"/>
          <w:szCs w:val="20"/>
          <w:color w:val="auto"/>
        </w:rPr>
      </w:pPr>
      <w:r>
        <w:rPr>
          <w:rFonts w:ascii="Arial" w:cs="Arial" w:eastAsia="Arial" w:hAnsi="Arial"/>
          <w:sz w:val="13"/>
          <w:szCs w:val="13"/>
          <w:color w:val="auto"/>
        </w:rPr>
        <w:t>Mitsubishi Hitachi Power Systems Americas, Inc.</w:t>
      </w:r>
    </w:p>
    <w:p>
      <w:pPr>
        <w:spacing w:after="0" w:line="18" w:lineRule="exact"/>
        <w:rPr>
          <w:sz w:val="20"/>
          <w:szCs w:val="20"/>
          <w:color w:val="auto"/>
        </w:rPr>
      </w:pPr>
    </w:p>
    <w:p>
      <w:pPr>
        <w:ind w:right="380"/>
        <w:spacing w:after="0" w:line="303" w:lineRule="auto"/>
        <w:rPr>
          <w:sz w:val="20"/>
          <w:szCs w:val="20"/>
          <w:color w:val="auto"/>
        </w:rPr>
      </w:pPr>
      <w:r>
        <w:rPr>
          <w:rFonts w:ascii="Arial" w:cs="Arial" w:eastAsia="Arial" w:hAnsi="Arial"/>
          <w:sz w:val="13"/>
          <w:szCs w:val="13"/>
          <w:color w:val="auto"/>
        </w:rPr>
        <w:t>Mitsubishi Motors North America Mitsubishi Tanabe Pharma America, Inc. Mitsui E&amp;P USA, LLC MKOX KONE,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MMGY Global,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Mohawk Industries, Inc.</w:t>
      </w:r>
    </w:p>
    <w:p>
      <w:pPr>
        <w:spacing w:after="0" w:line="40" w:lineRule="exact"/>
        <w:rPr>
          <w:sz w:val="20"/>
          <w:szCs w:val="20"/>
          <w:color w:val="auto"/>
        </w:rPr>
      </w:pPr>
    </w:p>
    <w:p>
      <w:pPr>
        <w:ind w:left="160" w:right="240" w:hanging="151"/>
        <w:spacing w:after="0" w:line="249" w:lineRule="auto"/>
        <w:rPr>
          <w:sz w:val="20"/>
          <w:szCs w:val="20"/>
          <w:color w:val="auto"/>
        </w:rPr>
      </w:pPr>
      <w:r>
        <w:rPr>
          <w:rFonts w:ascii="Arial" w:cs="Arial" w:eastAsia="Arial" w:hAnsi="Arial"/>
          <w:sz w:val="13"/>
          <w:szCs w:val="13"/>
          <w:color w:val="auto"/>
        </w:rPr>
        <w:t>Mohawk Valley Health System - Faxton St. Luke’s Hospital</w:t>
      </w:r>
    </w:p>
    <w:p>
      <w:pPr>
        <w:spacing w:after="0" w:line="18" w:lineRule="exact"/>
        <w:rPr>
          <w:sz w:val="20"/>
          <w:szCs w:val="20"/>
          <w:color w:val="auto"/>
        </w:rPr>
      </w:pPr>
    </w:p>
    <w:p>
      <w:pPr>
        <w:ind w:right="700"/>
        <w:spacing w:after="0" w:line="315" w:lineRule="auto"/>
        <w:rPr>
          <w:sz w:val="20"/>
          <w:szCs w:val="20"/>
          <w:color w:val="auto"/>
        </w:rPr>
      </w:pPr>
      <w:r>
        <w:rPr>
          <w:rFonts w:ascii="Arial" w:cs="Arial" w:eastAsia="Arial" w:hAnsi="Arial"/>
          <w:sz w:val="13"/>
          <w:szCs w:val="13"/>
          <w:color w:val="auto"/>
        </w:rPr>
        <w:t>Molecular Devices Molina Healthcare, Inc. Molnlycke Health Care US, LLC Molson Coors Beverage Company monday.com</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Mondelez International,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MongoDB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Monotype Imaging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Monterey Bay Aquarium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Montrose Environmental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Moore &amp; Van Allen, PLLC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Morris Material Handling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Motiva Enterprises,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Motorola Solutions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Motrex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Movado Group, Inc.</w:t>
      </w:r>
    </w:p>
    <w:p>
      <w:pPr>
        <w:spacing w:after="0" w:line="40" w:lineRule="exact"/>
        <w:rPr>
          <w:sz w:val="20"/>
          <w:szCs w:val="20"/>
          <w:color w:val="auto"/>
        </w:rPr>
      </w:pPr>
    </w:p>
    <w:p>
      <w:pPr>
        <w:ind w:right="1040"/>
        <w:spacing w:after="0" w:line="329" w:lineRule="auto"/>
        <w:rPr>
          <w:sz w:val="20"/>
          <w:szCs w:val="20"/>
          <w:color w:val="auto"/>
        </w:rPr>
      </w:pPr>
      <w:r>
        <w:rPr>
          <w:rFonts w:ascii="Arial" w:cs="Arial" w:eastAsia="Arial" w:hAnsi="Arial"/>
          <w:sz w:val="12"/>
          <w:szCs w:val="12"/>
          <w:color w:val="auto"/>
        </w:rPr>
        <w:t>Movado Retail Group Mr. Cooper Group, Inc. msg global solutions, Inc. MTS Systems Corporation Mueller Water Products, Inc. MultiCare Health System</w:t>
      </w:r>
    </w:p>
    <w:p>
      <w:pPr>
        <w:spacing w:after="0" w:line="1" w:lineRule="exact"/>
        <w:rPr>
          <w:sz w:val="20"/>
          <w:szCs w:val="20"/>
          <w:color w:val="auto"/>
        </w:rPr>
      </w:pPr>
    </w:p>
    <w:p>
      <w:pPr>
        <w:ind w:left="160" w:right="420" w:hanging="151"/>
        <w:spacing w:after="0" w:line="249" w:lineRule="auto"/>
        <w:rPr>
          <w:sz w:val="20"/>
          <w:szCs w:val="20"/>
          <w:color w:val="auto"/>
        </w:rPr>
      </w:pPr>
      <w:r>
        <w:rPr>
          <w:rFonts w:ascii="Arial" w:cs="Arial" w:eastAsia="Arial" w:hAnsi="Arial"/>
          <w:sz w:val="13"/>
          <w:szCs w:val="13"/>
          <w:color w:val="auto"/>
        </w:rPr>
        <w:t>Munich Reinsurance America, Inc./HSB Insurance and Inspection</w:t>
      </w:r>
    </w:p>
    <w:p>
      <w:pPr>
        <w:spacing w:after="0" w:line="18" w:lineRule="exact"/>
        <w:rPr>
          <w:sz w:val="20"/>
          <w:szCs w:val="20"/>
          <w:color w:val="auto"/>
        </w:rPr>
      </w:pPr>
    </w:p>
    <w:p>
      <w:pPr>
        <w:ind w:right="640"/>
        <w:spacing w:after="0" w:line="303" w:lineRule="auto"/>
        <w:rPr>
          <w:sz w:val="20"/>
          <w:szCs w:val="20"/>
          <w:color w:val="auto"/>
        </w:rPr>
      </w:pPr>
      <w:r>
        <w:rPr>
          <w:rFonts w:ascii="Arial" w:cs="Arial" w:eastAsia="Arial" w:hAnsi="Arial"/>
          <w:sz w:val="13"/>
          <w:szCs w:val="13"/>
          <w:color w:val="auto"/>
        </w:rPr>
        <w:t>Murdochs Ranch and Home Supply Murphy Oil Corporation</w:t>
      </w:r>
    </w:p>
    <w:p>
      <w:pPr>
        <w:spacing w:after="0" w:line="1" w:lineRule="exact"/>
        <w:rPr>
          <w:sz w:val="20"/>
          <w:szCs w:val="20"/>
          <w:color w:val="auto"/>
        </w:rPr>
      </w:pPr>
    </w:p>
    <w:p>
      <w:pPr>
        <w:ind w:right="1020"/>
        <w:spacing w:after="0" w:line="310" w:lineRule="auto"/>
        <w:rPr>
          <w:sz w:val="20"/>
          <w:szCs w:val="20"/>
          <w:color w:val="auto"/>
        </w:rPr>
      </w:pPr>
      <w:r>
        <w:rPr>
          <w:rFonts w:ascii="Arial" w:cs="Arial" w:eastAsia="Arial" w:hAnsi="Arial"/>
          <w:sz w:val="13"/>
          <w:szCs w:val="13"/>
          <w:color w:val="auto"/>
        </w:rPr>
        <w:t>Mutual of Omaha N-able Technologies Inc. N3B Los Alamos NASSCO Holdings Inc. National CineMedia, LLC National Futures Association National Grid</w:t>
      </w:r>
    </w:p>
    <w:p>
      <w:pPr>
        <w:spacing w:after="0" w:line="619" w:lineRule="exact"/>
        <w:rPr>
          <w:sz w:val="20"/>
          <w:szCs w:val="20"/>
          <w:color w:val="auto"/>
        </w:rPr>
      </w:pPr>
    </w:p>
    <w:p>
      <w:pPr>
        <w:sectPr>
          <w:pgSz w:w="11900" w:h="16838" w:orient="portrait"/>
          <w:cols w:equalWidth="0" w:num="3">
            <w:col w:w="2440" w:space="540"/>
            <w:col w:w="5360" w:space="260"/>
            <w:col w:w="2640"/>
          </w:cols>
          <w:pgMar w:left="320" w:top="771" w:right="339" w:bottom="1440" w:gutter="0" w:footer="0" w:header="0"/>
        </w:sectPr>
      </w:pPr>
    </w:p>
    <w:p>
      <w:pPr>
        <w:spacing w:after="0" w:line="289"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66" w:name="page67"/>
    <w:bookmarkEnd w:id="66"/>
    <w:p>
      <w:pPr>
        <w:ind w:left="160"/>
        <w:spacing w:after="0"/>
        <w:rPr>
          <w:sz w:val="20"/>
          <w:szCs w:val="20"/>
          <w:color w:val="auto"/>
        </w:rPr>
      </w:pPr>
      <w:r>
        <w:rPr>
          <w:rFonts w:ascii="Arial" w:cs="Arial" w:eastAsia="Arial" w:hAnsi="Arial"/>
          <w:sz w:val="13"/>
          <w:szCs w:val="13"/>
          <w:color w:val="auto"/>
        </w:rPr>
        <w:t>National Louis University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National Oilwell Varco,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National Renewable Energy Laboratory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National Research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National Rural Utilities Cooperative Finance</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Corporation (NRUCFC)</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Nationwide Mutual Insurance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Nature’s Sunshine Products,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NatureWorks,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Navient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Navistar USA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Navitus Health Solutions,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Navy Federal Credit Union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NCCI Holdings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NCS Multistage,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Nearmap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NECI</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Nemak</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NeoImmuneTech,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Neste US,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Nestle USA - Nespresso USA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Nestle USA,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NetJets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Neurocrine Biosciences,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New Jersey Institute of Technology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New Jersey Resources Corp.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New Nautical Coatings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New World Medical</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New York Power Authority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New York University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Newell Brands,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Newmont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Newpark Drilling Fluids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Newpark Mats and Integrated Services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Newpark Resources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NewRez,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Nexan - Amercable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Nexans High Voltage USA,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NextEra Energy,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NexTier Oilfield Solutions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NFI Industries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Niagara Bottling</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NIBCO,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Nidec Motor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Nike,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Nilfisk,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NiSource,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Nitta Corporation of America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NMI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-86360</wp:posOffset>
            </wp:positionV>
            <wp:extent cx="8255" cy="57384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573849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Noble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Noble Research Institute,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Noblis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Noblis ESI</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Noodles &amp;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Nordstrom,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Norfolk Southern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Norgren,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Norican Group</w:t>
      </w:r>
    </w:p>
    <w:p>
      <w:pPr>
        <w:spacing w:after="0" w:line="40" w:lineRule="exact"/>
        <w:rPr>
          <w:sz w:val="20"/>
          <w:szCs w:val="20"/>
          <w:color w:val="auto"/>
        </w:rPr>
      </w:pPr>
    </w:p>
    <w:p>
      <w:pPr>
        <w:ind w:right="820"/>
        <w:spacing w:after="0" w:line="303" w:lineRule="auto"/>
        <w:rPr>
          <w:sz w:val="20"/>
          <w:szCs w:val="20"/>
          <w:color w:val="auto"/>
        </w:rPr>
      </w:pPr>
      <w:r>
        <w:rPr>
          <w:rFonts w:ascii="Arial" w:cs="Arial" w:eastAsia="Arial" w:hAnsi="Arial"/>
          <w:sz w:val="13"/>
          <w:szCs w:val="13"/>
          <w:color w:val="auto"/>
        </w:rPr>
        <w:t>Norris Rods, Inc. (PAT Corp.) Norriseal-Wellmark, Inc. Norsk Hydro</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North American Science Associates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Northeastern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Northrop Grumman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NorthShore University HealthSystem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Northwell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Northwest Bank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Northwestern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Norton Door Controls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Nouryon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NOVA Chemicals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Novant Health,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Novartis Corporation</w:t>
      </w:r>
    </w:p>
    <w:p>
      <w:pPr>
        <w:spacing w:after="0" w:line="40" w:lineRule="exact"/>
        <w:rPr>
          <w:sz w:val="20"/>
          <w:szCs w:val="20"/>
          <w:color w:val="auto"/>
        </w:rPr>
      </w:pPr>
    </w:p>
    <w:p>
      <w:pPr>
        <w:ind w:left="160" w:hanging="150"/>
        <w:spacing w:after="0" w:line="249" w:lineRule="auto"/>
        <w:rPr>
          <w:sz w:val="20"/>
          <w:szCs w:val="20"/>
          <w:color w:val="auto"/>
        </w:rPr>
      </w:pPr>
      <w:r>
        <w:rPr>
          <w:rFonts w:ascii="Arial" w:cs="Arial" w:eastAsia="Arial" w:hAnsi="Arial"/>
          <w:sz w:val="13"/>
          <w:szCs w:val="13"/>
          <w:color w:val="auto"/>
        </w:rPr>
        <w:t>Novartis Institutes for BioMedical Research, Inc.</w:t>
      </w:r>
    </w:p>
    <w:p>
      <w:pPr>
        <w:spacing w:after="0" w:line="18" w:lineRule="exact"/>
        <w:rPr>
          <w:sz w:val="20"/>
          <w:szCs w:val="20"/>
          <w:color w:val="auto"/>
        </w:rPr>
      </w:pPr>
    </w:p>
    <w:p>
      <w:pPr>
        <w:ind w:right="320"/>
        <w:spacing w:after="0" w:line="303" w:lineRule="auto"/>
        <w:rPr>
          <w:sz w:val="20"/>
          <w:szCs w:val="20"/>
          <w:color w:val="auto"/>
        </w:rPr>
      </w:pPr>
      <w:r>
        <w:rPr>
          <w:rFonts w:ascii="Arial" w:cs="Arial" w:eastAsia="Arial" w:hAnsi="Arial"/>
          <w:sz w:val="13"/>
          <w:szCs w:val="13"/>
          <w:color w:val="auto"/>
        </w:rPr>
        <w:t>Novartis Pharmaceuticals Corporation NovaSignal Corporation Novavax</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Novo Nordisk Pharmaceutical Industries LP</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Novo Nordisk,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Novocure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Novozymes North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NOW Health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NRT,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NS Pharma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Numerica Credit Union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NuStar Energy, 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Nutrien, Ltd. -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nVenia,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nVent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NVR,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Nyrstar Netherlands -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O.C. Tanner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O’Reilly Automotive, Inc.</w:t>
      </w:r>
    </w:p>
    <w:p>
      <w:pPr>
        <w:spacing w:after="0" w:line="40" w:lineRule="exact"/>
        <w:rPr>
          <w:sz w:val="20"/>
          <w:szCs w:val="20"/>
          <w:color w:val="auto"/>
        </w:rPr>
      </w:pPr>
    </w:p>
    <w:p>
      <w:pPr>
        <w:ind w:right="500"/>
        <w:spacing w:after="0" w:line="378" w:lineRule="auto"/>
        <w:rPr>
          <w:sz w:val="20"/>
          <w:szCs w:val="20"/>
          <w:color w:val="auto"/>
        </w:rPr>
      </w:pPr>
      <w:r>
        <w:rPr>
          <w:rFonts w:ascii="Arial" w:cs="Arial" w:eastAsia="Arial" w:hAnsi="Arial"/>
          <w:sz w:val="12"/>
          <w:szCs w:val="12"/>
          <w:color w:val="auto"/>
        </w:rPr>
        <w:t>Oak Ridge Associated Universities Oak Ridge National Laboratory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Ocado Solutions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-86360</wp:posOffset>
            </wp:positionV>
            <wp:extent cx="8255" cy="57384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573849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Ocean Mist Farms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Oceaneering International,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Ocwen Financial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Oerlikon Surface Solutions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Offerpad Solutions,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Office of Planning and Budget</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Office of the Comptroller of the Currency</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OGE Energy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Ohio National Financial Services,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Ohio Transmission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OIA Global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Oil Search (Alaska),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Oil-Dri Corporation of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Old Dominion Electric Cooperative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Old Dominion University Research</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Foundation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Old Republic National Title Insurance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Company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Oldcastle APG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Oldcastle Building Envelope,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Oldcastle Infrastructure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Olin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Olympus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Olympus Corporation of the Americas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Olympus Scientific Solutions America</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Olympus Surgical Technologies America</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OMNOVA Solutions,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OMRON Healthcare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One Call Care Management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ONE Gas,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One10</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OneBeacon Insurance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OneSource Virtual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Ono Pharma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OnPoint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OOCL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Open Society Foundations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Oportun Financial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Orbia United States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Organon &amp; Co.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Orica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Orlando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Orrick, Herrington &amp; Sutcliffe, LLP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Ortho Clinical Diagnostics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Oscar Insurance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521970</wp:posOffset>
            </wp:positionV>
            <wp:extent cx="7141210"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OSF Healthcare - Peoria,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-86360</wp:posOffset>
            </wp:positionV>
            <wp:extent cx="8255" cy="57384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573849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Oshkosh Access Equipment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Oshkosh Commercial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Oshkosh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Oshkosh Defense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OSI Industries,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Ossur Americas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OTR Wheel Engineering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Otsuka America Pharmaceuticals,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OTT HydroMet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Otter Products,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OU Medicine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Owens &amp; Minor Distribution,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Owens Corning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Oxford Industries,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P2 Energy Solutions,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PACCAR,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Pacific Northwest National Laboratory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PacifiCorp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Packaging Corporation of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Packaging Corporation of America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Packaging</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Packaging Corporation of America - White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Paper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Pactiv</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Pall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Panasonic Corporation of North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Panda Restaurant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Pandora Jewelry,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Panduit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Papa John’s International,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Par Pacific Holdings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PAREXEL International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Pariveda Solutions,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Parker Hannifin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Parker Hannifin Corporation - Aerospace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Group</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Parkland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Parkview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Partners HealthCare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Patagonia Works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Patterson UTI Drilling Company,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Pavement Maintenance Systems,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Pax8,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Paychex,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Paycor,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Payoneer, Inc.</w:t>
      </w:r>
    </w:p>
    <w:p>
      <w:pPr>
        <w:spacing w:after="0" w:line="586" w:lineRule="exact"/>
        <w:rPr>
          <w:sz w:val="20"/>
          <w:szCs w:val="20"/>
          <w:color w:val="auto"/>
        </w:rPr>
      </w:pPr>
    </w:p>
    <w:p>
      <w:pPr>
        <w:sectPr>
          <w:pgSz w:w="11900" w:h="16838" w:orient="portrait"/>
          <w:cols w:equalWidth="0" w:num="4">
            <w:col w:w="2600" w:space="380"/>
            <w:col w:w="2440" w:space="380"/>
            <w:col w:w="2260" w:space="540"/>
            <w:col w:w="2640"/>
          </w:cols>
          <w:pgMar w:left="320" w:top="771" w:right="339" w:bottom="1440" w:gutter="0" w:footer="0" w:header="0"/>
        </w:sectPr>
      </w:pPr>
    </w:p>
    <w:p>
      <w:pPr>
        <w:spacing w:after="0" w:line="246"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67" w:name="page68"/>
    <w:bookmarkEnd w:id="67"/>
    <w:p>
      <w:pPr>
        <w:ind w:left="160" w:right="400"/>
        <w:spacing w:after="0" w:line="303" w:lineRule="auto"/>
        <w:rPr>
          <w:sz w:val="20"/>
          <w:szCs w:val="20"/>
          <w:color w:val="auto"/>
        </w:rPr>
      </w:pPr>
      <w:r>
        <w:rPr>
          <w:rFonts w:ascii="Arial" w:cs="Arial" w:eastAsia="Arial" w:hAnsi="Arial"/>
          <w:sz w:val="13"/>
          <w:szCs w:val="13"/>
          <w:color w:val="auto"/>
        </w:rPr>
        <w:t>PayPal Holdings, Inc. PCC Community Markets Peabody Energy Corporation Pedernales Electric Cooperative, Inc.</w:t>
      </w:r>
    </w:p>
    <w:p>
      <w:pPr>
        <w:spacing w:after="0" w:line="2" w:lineRule="exact"/>
        <w:rPr>
          <w:sz w:val="20"/>
          <w:szCs w:val="20"/>
          <w:color w:val="auto"/>
        </w:rPr>
      </w:pPr>
    </w:p>
    <w:p>
      <w:pPr>
        <w:ind w:left="160"/>
        <w:spacing w:after="0" w:line="303" w:lineRule="auto"/>
        <w:rPr>
          <w:sz w:val="20"/>
          <w:szCs w:val="20"/>
          <w:color w:val="auto"/>
        </w:rPr>
      </w:pPr>
      <w:r>
        <w:rPr>
          <w:rFonts w:ascii="Arial" w:cs="Arial" w:eastAsia="Arial" w:hAnsi="Arial"/>
          <w:sz w:val="13"/>
          <w:szCs w:val="13"/>
          <w:color w:val="auto"/>
        </w:rPr>
        <w:t>Penn Medicine - Lancaster General Hospital Penn Mutual Life Insurance Company Penn State Health</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Pennex Aluminum Company, LLC</w:t>
      </w:r>
    </w:p>
    <w:p>
      <w:pPr>
        <w:spacing w:after="0" w:line="40" w:lineRule="exact"/>
        <w:rPr>
          <w:sz w:val="20"/>
          <w:szCs w:val="20"/>
          <w:color w:val="auto"/>
        </w:rPr>
      </w:pPr>
    </w:p>
    <w:p>
      <w:pPr>
        <w:ind w:left="300" w:right="280" w:hanging="150"/>
        <w:spacing w:after="0" w:line="249" w:lineRule="auto"/>
        <w:rPr>
          <w:sz w:val="20"/>
          <w:szCs w:val="20"/>
          <w:color w:val="auto"/>
        </w:rPr>
      </w:pPr>
      <w:r>
        <w:rPr>
          <w:rFonts w:ascii="Arial" w:cs="Arial" w:eastAsia="Arial" w:hAnsi="Arial"/>
          <w:sz w:val="13"/>
          <w:szCs w:val="13"/>
          <w:color w:val="auto"/>
        </w:rPr>
        <w:t>Pennsylvania National Mutual Casualty Insurance Company</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Penske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Pentair Plc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PepsiCo,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Perfection Pet Foods,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Perfetti Van Melle USA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Perfumes &amp; Cosmetics</w:t>
      </w:r>
    </w:p>
    <w:p>
      <w:pPr>
        <w:spacing w:after="0" w:line="40" w:lineRule="exact"/>
        <w:rPr>
          <w:sz w:val="20"/>
          <w:szCs w:val="20"/>
          <w:color w:val="auto"/>
        </w:rPr>
      </w:pPr>
    </w:p>
    <w:p>
      <w:pPr>
        <w:ind w:left="300" w:right="160" w:hanging="150"/>
        <w:spacing w:after="0" w:line="249" w:lineRule="auto"/>
        <w:rPr>
          <w:sz w:val="20"/>
          <w:szCs w:val="20"/>
          <w:color w:val="auto"/>
        </w:rPr>
      </w:pPr>
      <w:r>
        <w:rPr>
          <w:rFonts w:ascii="Arial" w:cs="Arial" w:eastAsia="Arial" w:hAnsi="Arial"/>
          <w:sz w:val="13"/>
          <w:szCs w:val="13"/>
          <w:color w:val="auto"/>
        </w:rPr>
        <w:t>Perrigo Company, Plc - Perrigo Company (US)</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Perspecta,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Pet Supplies Plus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Petco Health and Wellness Company,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Petrobras America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Pfizer,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PG&amp;E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Pharmaceutical Product Development, LLC</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Pharmavite,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PharmScript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Phenomenex &amp; Agela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Philadelphia Insurance Companies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Philip Morris International,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Piaggio Group Americas,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Pierce Manufacturing, Inc.</w:t>
      </w:r>
    </w:p>
    <w:p>
      <w:pPr>
        <w:spacing w:after="0" w:line="40" w:lineRule="exact"/>
        <w:rPr>
          <w:sz w:val="20"/>
          <w:szCs w:val="20"/>
          <w:color w:val="auto"/>
        </w:rPr>
      </w:pPr>
    </w:p>
    <w:p>
      <w:pPr>
        <w:ind w:left="300" w:right="300" w:hanging="150"/>
        <w:spacing w:after="0" w:line="249" w:lineRule="auto"/>
        <w:rPr>
          <w:sz w:val="20"/>
          <w:szCs w:val="20"/>
          <w:color w:val="auto"/>
        </w:rPr>
      </w:pPr>
      <w:r>
        <w:rPr>
          <w:rFonts w:ascii="Arial" w:cs="Arial" w:eastAsia="Arial" w:hAnsi="Arial"/>
          <w:sz w:val="13"/>
          <w:szCs w:val="13"/>
          <w:color w:val="auto"/>
        </w:rPr>
        <w:t>Pierre Fabre Dermo Cosmetique North America</w:t>
      </w:r>
    </w:p>
    <w:p>
      <w:pPr>
        <w:spacing w:after="0" w:line="18" w:lineRule="exact"/>
        <w:rPr>
          <w:sz w:val="20"/>
          <w:szCs w:val="20"/>
          <w:color w:val="auto"/>
        </w:rPr>
      </w:pPr>
    </w:p>
    <w:p>
      <w:pPr>
        <w:ind w:left="160" w:right="860"/>
        <w:spacing w:after="0" w:line="303" w:lineRule="auto"/>
        <w:rPr>
          <w:sz w:val="20"/>
          <w:szCs w:val="20"/>
          <w:color w:val="auto"/>
        </w:rPr>
      </w:pPr>
      <w:r>
        <w:rPr>
          <w:rFonts w:ascii="Arial" w:cs="Arial" w:eastAsia="Arial" w:hAnsi="Arial"/>
          <w:sz w:val="13"/>
          <w:szCs w:val="13"/>
          <w:color w:val="auto"/>
        </w:rPr>
        <w:t>Pilot Corporation Of America Pilot Flying J</w:t>
      </w:r>
    </w:p>
    <w:p>
      <w:pPr>
        <w:spacing w:after="0" w:line="1" w:lineRule="exact"/>
        <w:rPr>
          <w:sz w:val="20"/>
          <w:szCs w:val="20"/>
          <w:color w:val="auto"/>
        </w:rPr>
      </w:pPr>
    </w:p>
    <w:p>
      <w:pPr>
        <w:ind w:left="160" w:right="380"/>
        <w:spacing w:after="0" w:line="303" w:lineRule="auto"/>
        <w:rPr>
          <w:sz w:val="20"/>
          <w:szCs w:val="20"/>
          <w:color w:val="auto"/>
        </w:rPr>
      </w:pPr>
      <w:r>
        <w:rPr>
          <w:rFonts w:ascii="Arial" w:cs="Arial" w:eastAsia="Arial" w:hAnsi="Arial"/>
          <w:sz w:val="13"/>
          <w:szCs w:val="13"/>
          <w:color w:val="auto"/>
        </w:rPr>
        <w:t>Pinnacle West Capital Corporation Pioneer Natural Resources Company Piper Sandler Companies Pivot Bio</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PJM Interconnection,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pladis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Plains All American Pipeline, L.P.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Plante &amp; Moran, PLLC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Platte River Power Authority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Pointsbet Australia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-86360</wp:posOffset>
            </wp:positionV>
            <wp:extent cx="8255" cy="57384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5738495"/>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-86360</wp:posOffset>
            </wp:positionV>
            <wp:extent cx="8255" cy="57384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573849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Polypore International, 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POM Wonderful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Port of Houston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Port of Portland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Post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Post Holdings, Inc. - 8th Avenue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Post Holdings, Inc. - Bob Evans Farms,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Post Holdings, Inc. - Michael Foods</w:t>
      </w:r>
    </w:p>
    <w:p>
      <w:pPr>
        <w:spacing w:after="0" w:line="40" w:lineRule="exact"/>
        <w:rPr>
          <w:sz w:val="20"/>
          <w:szCs w:val="20"/>
          <w:color w:val="auto"/>
        </w:rPr>
      </w:pPr>
    </w:p>
    <w:p>
      <w:pPr>
        <w:ind w:right="60"/>
        <w:spacing w:after="0" w:line="303" w:lineRule="auto"/>
        <w:rPr>
          <w:sz w:val="20"/>
          <w:szCs w:val="20"/>
          <w:color w:val="auto"/>
        </w:rPr>
      </w:pPr>
      <w:r>
        <w:rPr>
          <w:rFonts w:ascii="Arial" w:cs="Arial" w:eastAsia="Arial" w:hAnsi="Arial"/>
          <w:sz w:val="13"/>
          <w:szCs w:val="13"/>
          <w:color w:val="auto"/>
        </w:rPr>
        <w:t>Post Holdings, Inc. - Post Consumer Brands Postlethwaite &amp; Netterville PPG Industries,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PRA Group, Inc.</w:t>
      </w:r>
    </w:p>
    <w:p>
      <w:pPr>
        <w:spacing w:after="0" w:line="40" w:lineRule="exact"/>
        <w:rPr>
          <w:sz w:val="20"/>
          <w:szCs w:val="20"/>
          <w:color w:val="auto"/>
        </w:rPr>
      </w:pPr>
    </w:p>
    <w:p>
      <w:pPr>
        <w:ind w:right="880"/>
        <w:spacing w:after="0" w:line="303" w:lineRule="auto"/>
        <w:rPr>
          <w:sz w:val="20"/>
          <w:szCs w:val="20"/>
          <w:color w:val="auto"/>
        </w:rPr>
      </w:pPr>
      <w:r>
        <w:rPr>
          <w:rFonts w:ascii="Arial" w:cs="Arial" w:eastAsia="Arial" w:hAnsi="Arial"/>
          <w:sz w:val="13"/>
          <w:szCs w:val="13"/>
          <w:color w:val="auto"/>
        </w:rPr>
        <w:t>Precision Drilling Corporation Premera Blue Cross Premier,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Presbyterian Healthcare Services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Prevea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PriceSmart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PricewaterhouseCoopers, LLP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Primetals Technologies US,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Prince International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Princeton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Principal Financial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Procter &amp; Gamble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PROG Leasing,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Progressive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Promega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Promethean World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Proserv Operations, LLC</w:t>
      </w:r>
    </w:p>
    <w:p>
      <w:pPr>
        <w:spacing w:after="0" w:line="40" w:lineRule="exact"/>
        <w:rPr>
          <w:sz w:val="20"/>
          <w:szCs w:val="20"/>
          <w:color w:val="auto"/>
        </w:rPr>
      </w:pPr>
    </w:p>
    <w:p>
      <w:pPr>
        <w:ind w:left="160" w:right="100" w:hanging="150"/>
        <w:spacing w:after="0" w:line="249" w:lineRule="auto"/>
        <w:rPr>
          <w:sz w:val="20"/>
          <w:szCs w:val="20"/>
          <w:color w:val="auto"/>
        </w:rPr>
      </w:pPr>
      <w:r>
        <w:rPr>
          <w:rFonts w:ascii="Arial" w:cs="Arial" w:eastAsia="Arial" w:hAnsi="Arial"/>
          <w:sz w:val="13"/>
          <w:szCs w:val="13"/>
          <w:color w:val="auto"/>
        </w:rPr>
        <w:t>Providence Health &amp; Services - Providence Health Plans</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Proximo Spirits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PSCU,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PTC Therapeutics, Inc.</w:t>
      </w:r>
    </w:p>
    <w:p>
      <w:pPr>
        <w:spacing w:after="0" w:line="40" w:lineRule="exact"/>
        <w:rPr>
          <w:sz w:val="20"/>
          <w:szCs w:val="20"/>
          <w:color w:val="auto"/>
        </w:rPr>
      </w:pPr>
    </w:p>
    <w:p>
      <w:pPr>
        <w:spacing w:after="0" w:line="303" w:lineRule="auto"/>
        <w:rPr>
          <w:sz w:val="20"/>
          <w:szCs w:val="20"/>
          <w:color w:val="auto"/>
        </w:rPr>
      </w:pPr>
      <w:r>
        <w:rPr>
          <w:rFonts w:ascii="Arial" w:cs="Arial" w:eastAsia="Arial" w:hAnsi="Arial"/>
          <w:sz w:val="13"/>
          <w:szCs w:val="13"/>
          <w:color w:val="auto"/>
        </w:rPr>
        <w:t>Public Company Accounting Oversight Board Public Service Enterprise Group, Inc. Publicis Sapient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Publix Super Markets,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PulteGroup,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Puratos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Purdue Pharma 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Purdue University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PureCycle Technologies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Pushpay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PVH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QBE Americas,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QC Industries,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249555</wp:posOffset>
            </wp:positionV>
            <wp:extent cx="7141210" cy="158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Qorvo</w:t>
      </w:r>
    </w:p>
    <w:p>
      <w:pPr>
        <w:spacing w:after="0" w:line="40" w:lineRule="exact"/>
        <w:rPr>
          <w:sz w:val="20"/>
          <w:szCs w:val="20"/>
          <w:color w:val="auto"/>
        </w:rPr>
      </w:pPr>
    </w:p>
    <w:p>
      <w:pPr>
        <w:ind w:left="140" w:right="220" w:hanging="150"/>
        <w:spacing w:after="0" w:line="249" w:lineRule="auto"/>
        <w:rPr>
          <w:sz w:val="20"/>
          <w:szCs w:val="20"/>
          <w:color w:val="auto"/>
        </w:rPr>
      </w:pPr>
      <w:r>
        <w:rPr>
          <w:rFonts w:ascii="Arial" w:cs="Arial" w:eastAsia="Arial" w:hAnsi="Arial"/>
          <w:sz w:val="13"/>
          <w:szCs w:val="13"/>
          <w:color w:val="auto"/>
        </w:rPr>
        <w:t>Quaker Houghton - Engineered Custom Lubricants</w:t>
      </w:r>
    </w:p>
    <w:p>
      <w:pPr>
        <w:spacing w:after="0" w:line="18" w:lineRule="exact"/>
        <w:rPr>
          <w:sz w:val="20"/>
          <w:szCs w:val="20"/>
          <w:color w:val="auto"/>
        </w:rPr>
      </w:pPr>
    </w:p>
    <w:p>
      <w:pPr>
        <w:ind w:right="340"/>
        <w:spacing w:after="0" w:line="303" w:lineRule="auto"/>
        <w:rPr>
          <w:sz w:val="20"/>
          <w:szCs w:val="20"/>
          <w:color w:val="auto"/>
        </w:rPr>
      </w:pPr>
      <w:r>
        <w:rPr>
          <w:rFonts w:ascii="Arial" w:cs="Arial" w:eastAsia="Arial" w:hAnsi="Arial"/>
          <w:sz w:val="13"/>
          <w:szCs w:val="13"/>
          <w:color w:val="auto"/>
        </w:rPr>
        <w:t>Quaker Houghton - US Fluidcare MW Quaker Houghton - US OPS Qualfon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QualTex Laboratories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Quantum Health,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Quartzdyne,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Quest Diagnostics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QVC,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R&amp;M Materials Handling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Radian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Radisson Hotel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Rahr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Raley’s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RAND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Range Resources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Range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Raytheon Technologies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Realogy Holdings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Realty Income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REC Silicon,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Reckitt Benckiser,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Recreational Equipment, Inc.</w:t>
      </w:r>
    </w:p>
    <w:p>
      <w:pPr>
        <w:spacing w:after="0" w:line="40" w:lineRule="exact"/>
        <w:rPr>
          <w:sz w:val="20"/>
          <w:szCs w:val="20"/>
          <w:color w:val="auto"/>
        </w:rPr>
      </w:pPr>
    </w:p>
    <w:p>
      <w:pPr>
        <w:ind w:right="140"/>
        <w:spacing w:after="0" w:line="303" w:lineRule="auto"/>
        <w:rPr>
          <w:sz w:val="20"/>
          <w:szCs w:val="20"/>
          <w:color w:val="auto"/>
        </w:rPr>
      </w:pPr>
      <w:r>
        <w:rPr>
          <w:rFonts w:ascii="Arial" w:cs="Arial" w:eastAsia="Arial" w:hAnsi="Arial"/>
          <w:sz w:val="13"/>
          <w:szCs w:val="13"/>
          <w:color w:val="auto"/>
        </w:rPr>
        <w:t>Red Bull Distribution Company, Inc., USA Red Bull North America Red Robin Gourmet Burgers</w:t>
      </w:r>
    </w:p>
    <w:p>
      <w:pPr>
        <w:spacing w:after="0" w:line="2" w:lineRule="exact"/>
        <w:rPr>
          <w:sz w:val="20"/>
          <w:szCs w:val="20"/>
          <w:color w:val="auto"/>
        </w:rPr>
      </w:pPr>
    </w:p>
    <w:p>
      <w:pPr>
        <w:ind w:right="820"/>
        <w:spacing w:after="0" w:line="303" w:lineRule="auto"/>
        <w:rPr>
          <w:sz w:val="20"/>
          <w:szCs w:val="20"/>
          <w:color w:val="auto"/>
        </w:rPr>
      </w:pPr>
      <w:r>
        <w:rPr>
          <w:rFonts w:ascii="Arial" w:cs="Arial" w:eastAsia="Arial" w:hAnsi="Arial"/>
          <w:sz w:val="13"/>
          <w:szCs w:val="13"/>
          <w:color w:val="auto"/>
        </w:rPr>
        <w:t>Refrigerated Solutions Group Regal Beloit Corporation RegEd, Inc.</w:t>
      </w:r>
    </w:p>
    <w:p>
      <w:pPr>
        <w:spacing w:after="0" w:line="2" w:lineRule="exact"/>
        <w:rPr>
          <w:sz w:val="20"/>
          <w:szCs w:val="20"/>
          <w:color w:val="auto"/>
        </w:rPr>
      </w:pPr>
    </w:p>
    <w:p>
      <w:pPr>
        <w:ind w:right="480"/>
        <w:spacing w:after="0" w:line="303" w:lineRule="auto"/>
        <w:rPr>
          <w:sz w:val="20"/>
          <w:szCs w:val="20"/>
          <w:color w:val="auto"/>
        </w:rPr>
      </w:pPr>
      <w:r>
        <w:rPr>
          <w:rFonts w:ascii="Arial" w:cs="Arial" w:eastAsia="Arial" w:hAnsi="Arial"/>
          <w:sz w:val="13"/>
          <w:szCs w:val="13"/>
          <w:color w:val="auto"/>
        </w:rPr>
        <w:t>Regeneron Pharmaceuticals, Inc. Regional Management Corporation Regions Financial Corporation REHAU,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Reinsurance Group of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Reiter Affiliated Companies, LLC.</w:t>
      </w:r>
    </w:p>
    <w:p>
      <w:pPr>
        <w:spacing w:after="0" w:line="40" w:lineRule="exact"/>
        <w:rPr>
          <w:sz w:val="20"/>
          <w:szCs w:val="20"/>
          <w:color w:val="auto"/>
        </w:rPr>
      </w:pPr>
    </w:p>
    <w:p>
      <w:pPr>
        <w:spacing w:after="0" w:line="303" w:lineRule="auto"/>
        <w:rPr>
          <w:sz w:val="20"/>
          <w:szCs w:val="20"/>
          <w:color w:val="auto"/>
        </w:rPr>
      </w:pPr>
      <w:r>
        <w:rPr>
          <w:rFonts w:ascii="Arial" w:cs="Arial" w:eastAsia="Arial" w:hAnsi="Arial"/>
          <w:sz w:val="13"/>
          <w:szCs w:val="13"/>
          <w:color w:val="auto"/>
        </w:rPr>
        <w:t>Reliance Standard Life Insurance Company Remington Hotels</w:t>
      </w:r>
    </w:p>
    <w:p>
      <w:pPr>
        <w:spacing w:after="0" w:line="1" w:lineRule="exact"/>
        <w:rPr>
          <w:sz w:val="20"/>
          <w:szCs w:val="20"/>
          <w:color w:val="auto"/>
        </w:rPr>
      </w:pPr>
    </w:p>
    <w:p>
      <w:pPr>
        <w:ind w:right="800"/>
        <w:spacing w:after="0" w:line="303" w:lineRule="auto"/>
        <w:rPr>
          <w:sz w:val="20"/>
          <w:szCs w:val="20"/>
          <w:color w:val="auto"/>
        </w:rPr>
      </w:pPr>
      <w:r>
        <w:rPr>
          <w:rFonts w:ascii="Arial" w:cs="Arial" w:eastAsia="Arial" w:hAnsi="Arial"/>
          <w:sz w:val="13"/>
          <w:szCs w:val="13"/>
          <w:color w:val="auto"/>
        </w:rPr>
        <w:t>Renaissance Lakewood, LLC Renalytix AI, Inc.</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Renewal by Andersen,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RENK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Repsol Services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Republic Airline, Inc.</w:t>
      </w:r>
    </w:p>
    <w:p>
      <w:pPr>
        <w:spacing w:after="0" w:line="40" w:lineRule="exact"/>
        <w:rPr>
          <w:sz w:val="20"/>
          <w:szCs w:val="20"/>
          <w:color w:val="auto"/>
        </w:rPr>
      </w:pPr>
    </w:p>
    <w:p>
      <w:pPr>
        <w:ind w:left="140" w:right="220" w:hanging="150"/>
        <w:spacing w:after="0" w:line="249" w:lineRule="auto"/>
        <w:rPr>
          <w:sz w:val="20"/>
          <w:szCs w:val="20"/>
          <w:color w:val="auto"/>
        </w:rPr>
      </w:pPr>
      <w:r>
        <w:rPr>
          <w:rFonts w:ascii="Arial" w:cs="Arial" w:eastAsia="Arial" w:hAnsi="Arial"/>
          <w:sz w:val="13"/>
          <w:szCs w:val="13"/>
          <w:color w:val="auto"/>
        </w:rPr>
        <w:t>Republic National Distributing Company (RDNC)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Republic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-86360</wp:posOffset>
            </wp:positionV>
            <wp:extent cx="8255" cy="57384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573849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Resideo Technologies,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Restoration Hardware (RH)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REVENUE SOLUTIONS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Reyes Holdings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Reynolds Consumer Products,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Rheem Manufacturing Company,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RHI Magnesita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Ria Envia,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Rich Products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Richardson International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Rite Aid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Rite-Hite Company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RK&amp;K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RKT Holdings,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Robert Bosch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Robertet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Rochester Institute of Technology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Rock Central,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Rocket Auto,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Rocket Homes Real Estate,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Rocket Mortgage,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RockLoans Marketplace,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Rockwell Automation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Roll Forming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Rolls-Royce North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ROTOPLAS UNITED STATES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Rowan Williams Davies &amp; Irwin (RWDI, LLC)</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Royal Bank of Canada - City National Bank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Royal Canin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Royal Canin - Americas</w:t>
      </w:r>
    </w:p>
    <w:p>
      <w:pPr>
        <w:spacing w:after="0" w:line="40" w:lineRule="exact"/>
        <w:rPr>
          <w:sz w:val="20"/>
          <w:szCs w:val="20"/>
          <w:color w:val="auto"/>
        </w:rPr>
      </w:pPr>
    </w:p>
    <w:p>
      <w:pPr>
        <w:ind w:left="220" w:hanging="211"/>
        <w:spacing w:after="0"/>
        <w:tabs>
          <w:tab w:leader="none" w:pos="2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Donnelley &amp; Sons</w:t>
      </w:r>
    </w:p>
    <w:p>
      <w:pPr>
        <w:spacing w:after="0" w:line="39" w:lineRule="exact"/>
        <w:rPr>
          <w:rFonts w:ascii="Arial" w:cs="Arial" w:eastAsia="Arial" w:hAnsi="Arial"/>
          <w:sz w:val="13"/>
          <w:szCs w:val="13"/>
          <w:color w:val="auto"/>
        </w:rPr>
      </w:pPr>
    </w:p>
    <w:p>
      <w:pPr>
        <w:ind w:right="1700"/>
        <w:spacing w:after="0" w:line="329" w:lineRule="auto"/>
        <w:rPr>
          <w:rFonts w:ascii="Arial" w:cs="Arial" w:eastAsia="Arial" w:hAnsi="Arial"/>
          <w:sz w:val="13"/>
          <w:szCs w:val="13"/>
          <w:color w:val="auto"/>
        </w:rPr>
      </w:pPr>
      <w:r>
        <w:rPr>
          <w:rFonts w:ascii="Arial" w:cs="Arial" w:eastAsia="Arial" w:hAnsi="Arial"/>
          <w:sz w:val="12"/>
          <w:szCs w:val="12"/>
          <w:color w:val="auto"/>
        </w:rPr>
        <w:t>RSM US, LLP RTI International</w:t>
      </w:r>
    </w:p>
    <w:p>
      <w:pPr>
        <w:spacing w:after="0"/>
        <w:rPr>
          <w:rFonts w:ascii="Arial" w:cs="Arial" w:eastAsia="Arial" w:hAnsi="Arial"/>
          <w:sz w:val="13"/>
          <w:szCs w:val="13"/>
          <w:color w:val="auto"/>
        </w:rPr>
      </w:pPr>
      <w:r>
        <w:rPr>
          <w:rFonts w:ascii="Arial" w:cs="Arial" w:eastAsia="Arial" w:hAnsi="Arial"/>
          <w:sz w:val="13"/>
          <w:szCs w:val="13"/>
          <w:color w:val="auto"/>
        </w:rPr>
        <w:t>RTSS US</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Ruan Transportation Management Systems,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Rudolph Foods Company,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Ryan Specialty Group,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Ryerson Holding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S.C. Johnson &amp; Sons,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S&amp;C Electric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SABIC Americas,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Safe-Guard Products International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Safelite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Sage Natural Resources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Sailun Tire Americas Inc.</w:t>
      </w:r>
    </w:p>
    <w:p>
      <w:pPr>
        <w:spacing w:after="0" w:line="389" w:lineRule="exact"/>
        <w:rPr>
          <w:sz w:val="20"/>
          <w:szCs w:val="20"/>
          <w:color w:val="auto"/>
        </w:rPr>
      </w:pPr>
    </w:p>
    <w:p>
      <w:pPr>
        <w:sectPr>
          <w:pgSz w:w="11900" w:h="16838" w:orient="portrait"/>
          <w:cols w:equalWidth="0" w:num="4">
            <w:col w:w="2620" w:space="360"/>
            <w:col w:w="2520" w:space="300"/>
            <w:col w:w="2440" w:space="360"/>
            <w:col w:w="2640"/>
          </w:cols>
          <w:pgMar w:left="320" w:top="771" w:right="339" w:bottom="1440" w:gutter="0" w:footer="0" w:header="0"/>
        </w:sectPr>
      </w:pPr>
    </w:p>
    <w:p>
      <w:pPr>
        <w:spacing w:after="0" w:line="342"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68" w:name="page69"/>
    <w:bookmarkEnd w:id="68"/>
    <w:p>
      <w:pPr>
        <w:ind w:left="160"/>
        <w:spacing w:after="0"/>
        <w:rPr>
          <w:sz w:val="20"/>
          <w:szCs w:val="20"/>
          <w:color w:val="auto"/>
        </w:rPr>
      </w:pPr>
      <w:r>
        <w:rPr>
          <w:rFonts w:ascii="Arial" w:cs="Arial" w:eastAsia="Arial" w:hAnsi="Arial"/>
          <w:sz w:val="13"/>
          <w:szCs w:val="13"/>
          <w:color w:val="auto"/>
        </w:rPr>
        <w:t>Saint Luke’s Health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-86360</wp:posOffset>
            </wp:positionV>
            <wp:extent cx="8255" cy="59150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5915025"/>
                    </a:xfrm>
                    <a:prstGeom prst="rect">
                      <a:avLst/>
                    </a:prstGeom>
                    <a:noFill/>
                  </pic:spPr>
                </pic:pic>
              </a:graphicData>
            </a:graphic>
          </wp:anchor>
        </w:drawing>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Saint Luke’s Health System - Hedrick Medical</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Center</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Saint Luke’s Health System - Saint Luke’s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East Hospital</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Saint Luke’s Health System - Saint Luke’s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Home Care and Hospice</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Saint Luke’s Health System - Saint Luke’s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Hospital of Kansas City</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Saint Luke’s Health System - Saint Luke’s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North Hospital</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Saint Luke’s Health System - Saint Luke’s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Physicians Group</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Saint Luke’s Health System - Saint Luke’s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South Hospital</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Saint-Gobain US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Saks,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Sally Beauty Holdings,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Sally Beauty Supply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Saluda Medical</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Samis Land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Sammons Financial Group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Samsung Electronics America,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Samtec,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Samuel, Son &amp; Co.,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San Diego Zoo Wildlife Alliance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Sandia National Laboratories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Sandvik,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SanMar Corp.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Sanofi US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Santen,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Saputo Cheese USA,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Saputo Dairy Foods USA,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Sartorius United States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SAS Institute,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Sasol (USA)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Savannah River National Laboratory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Savannah River Remediation,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Savencia Cheese USA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Savers,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Savvas Learning Company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Saxx Underwear Co. USA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Sazerac Company,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SBA Communications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Schaeffler Technologies AG &amp; Co. KG -</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Schaeffler Group USA, Inc.</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Schenker,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Schindler Elevator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Schlumberger Limited - Schlumberger Oilfield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-78740</wp:posOffset>
            </wp:positionV>
            <wp:extent cx="8255" cy="59150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59150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3"/>
          <w:szCs w:val="13"/>
          <w:color w:val="auto"/>
        </w:rPr>
        <w:t>Services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Schnuck Markets,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SchoolsFirst Federal Credit Union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Science Applications International</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Corporation (SAIC)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Sciex</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Scooter’s Coffee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Screen Actors Guild - American Federation of</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Television and Radio Artists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Scripps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Scroll Compressors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Seaboard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Seadrill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Seagen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Seagull Scientific,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SEAKR Engineering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Sealed Air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Seashine Financial,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Seattle Children’s Hospital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Sebia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Securitas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Seda North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Select Medical Holdings Corp.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Selective Insurance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Sempra Energy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Sensia,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Sentara Healthcare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Sentry Insurance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Sequa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Servco Pacific,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Service Corporation International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SGRE Wind, Gamesa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Shake Shack,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Sharp Electronics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ShawCor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Shelf Drilling US,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Shepherd Chemical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Shepherd Color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Shiseido Americas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Shiseido Travel Retail Americas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SHOES FOR CREWS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Shook, Hardy &amp; Bacon, LLP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Showa Denko Materials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Shure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Shurtape Technologies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Shutterfly,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Sidley Austin, LLP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Siegwerk EIC,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249555</wp:posOffset>
            </wp:positionV>
            <wp:extent cx="7141210"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Siegwerk USA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-86360</wp:posOffset>
            </wp:positionV>
            <wp:extent cx="8255" cy="59150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591502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Siemens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Siemens Energy, Inc.</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Siemens Energy, Inc. - Fossil Products (OPP)</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Siemens Energy, Inc. - Oil&amp; Gas (PT2)</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Siemens Energy, Inc. (US) - Dist Gen (PS1)</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Siemens Field Staffing,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Siemens Financial Services,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Siemens Gamesa Renewable Energy, Inc.</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USA</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Siemens Healthcare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Siemens Industry Software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Siemens Mobility,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Sierra Nevada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Signature Aviation US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Signature Bank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Signify North America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Silver Oak Wine Cellars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Silverchair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SimpliSafe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Simpson Manufacturing Co.,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Sims Metal Management, Ltd.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Sinclair Broadcast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Singapore Technologies Engineering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SiriusPoint America Insurance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SitusAMC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Skyward Specialty Insurance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SMC Corporation of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Smead Manufacturing</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Smith College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Smithfield Foods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Snow Summit,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Snowshoe Mountain,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Society Insurance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Society of Petroleum Engineers (SPE)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Sodexo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SoftServe (ISV Tech)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SOL-MILLENNIUM Medical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Solmax</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Sonepar - Vallen Distribution,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Sonoco Products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Sonos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Sound Credit Union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Sound Transit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South Jersey Industries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South Texas Blood &amp; Tissue Center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South Western Communications,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Southeastern Freight Lines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Southern California Edison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Southern Company - Georgia Power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Southern Company - Mississippi Power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Company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Southern Company - Southern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GAS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Southern Company - Southern Company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Services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Southern Company - Southern Power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Company</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Southern Company - SouthernLINC Wireless</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Southern Power Company - Alabama Power</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Company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Southern Ute Indian Tribe - Aka Energy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Group, LLC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Southern Ute Indian Tribe - Growth Fund</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Properties Group, LLC</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Southern Ute Indian Tribe - Red Cedar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Gathering Company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Southern Ute Indian Tribe - Red Willow</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Production Company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Southern Ute Indian Tribe - Southern Ute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Indian Tribe Growth Fund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Southern Ute Indian Tribe - Southern Ute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Shared Services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Southland Industries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Southwest Airlines Co.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Southwest Gas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Southwest Research Institute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Sovos Brands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Spark Therapeutics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Sparrow Health System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Spectrum Brands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Spectrum Brands Holdings, Inc. - Hardware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&amp; Home Improvement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Spectrum Brands Holdings, Inc. - Home &amp;</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Personal Care Appliances</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Spectrum Brands Holdings, Inc. - Pet Home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&amp; Garden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Spectrum Health System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Spectrum Retirement Communities,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Spencer Gifts,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Spin Master, Ltd.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Spirax-Sarco,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Spirit AeroSystems Holdings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Spirit Airlines, Inc.</w:t>
      </w:r>
    </w:p>
    <w:p>
      <w:pPr>
        <w:spacing w:after="0" w:line="944" w:lineRule="exact"/>
        <w:rPr>
          <w:sz w:val="20"/>
          <w:szCs w:val="20"/>
          <w:color w:val="auto"/>
        </w:rPr>
      </w:pPr>
    </w:p>
    <w:p>
      <w:pPr>
        <w:sectPr>
          <w:pgSz w:w="11900" w:h="16838" w:orient="portrait"/>
          <w:cols w:equalWidth="0" w:num="4">
            <w:col w:w="2700" w:space="280"/>
            <w:col w:w="2540" w:space="280"/>
            <w:col w:w="2540" w:space="260"/>
            <w:col w:w="2640"/>
          </w:cols>
          <w:pgMar w:left="320" w:top="770" w:right="339" w:bottom="1440" w:gutter="0" w:footer="0" w:header="0"/>
        </w:sectPr>
      </w:pPr>
    </w:p>
    <w:p>
      <w:pPr>
        <w:spacing w:after="0" w:line="342"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type w:val="continuous"/>
        </w:sectPr>
      </w:pPr>
    </w:p>
    <w:bookmarkStart w:id="69" w:name="page70"/>
    <w:bookmarkEnd w:id="69"/>
    <w:tbl>
      <w:tblPr>
        <w:tblLayout w:type="fixed"/>
        <w:tblInd w:w="160" w:type="dxa"/>
        <w:tblCellMar>
          <w:top w:w="0" w:type="dxa"/>
          <w:left w:w="0" w:type="dxa"/>
          <w:bottom w:w="0" w:type="dxa"/>
          <w:right w:w="0" w:type="dxa"/>
        </w:tblCellMar>
      </w:tblPr>
      <w:tr>
        <w:trPr>
          <w:trHeight w:val="166"/>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SPIRIT Global Energy Solutions, Inc.</w:t>
            </w:r>
          </w:p>
        </w:tc>
        <w:tc>
          <w:tcPr>
            <w:tcW w:w="2680" w:type="dxa"/>
            <w:vAlign w:val="bottom"/>
          </w:tcPr>
          <w:p>
            <w:pPr>
              <w:ind w:left="140"/>
              <w:spacing w:after="0"/>
              <w:rPr>
                <w:sz w:val="20"/>
                <w:szCs w:val="20"/>
                <w:color w:val="auto"/>
              </w:rPr>
            </w:pPr>
            <w:r>
              <w:rPr>
                <w:rFonts w:ascii="Arial" w:cs="Arial" w:eastAsia="Arial" w:hAnsi="Arial"/>
                <w:sz w:val="13"/>
                <w:szCs w:val="13"/>
                <w:color w:val="auto"/>
              </w:rPr>
              <w:t>Straumann</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Spreetail LLC</w:t>
            </w:r>
          </w:p>
        </w:tc>
        <w:tc>
          <w:tcPr>
            <w:tcW w:w="2680" w:type="dxa"/>
            <w:vAlign w:val="bottom"/>
          </w:tcPr>
          <w:p>
            <w:pPr>
              <w:ind w:left="140"/>
              <w:spacing w:after="0"/>
              <w:rPr>
                <w:sz w:val="20"/>
                <w:szCs w:val="20"/>
                <w:color w:val="auto"/>
              </w:rPr>
            </w:pPr>
            <w:r>
              <w:rPr>
                <w:rFonts w:ascii="Arial" w:cs="Arial" w:eastAsia="Arial" w:hAnsi="Arial"/>
                <w:sz w:val="13"/>
                <w:szCs w:val="13"/>
                <w:color w:val="auto"/>
              </w:rPr>
              <w:t>Stride,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Springfield Clinic, LLP</w:t>
            </w:r>
          </w:p>
        </w:tc>
        <w:tc>
          <w:tcPr>
            <w:tcW w:w="2680" w:type="dxa"/>
            <w:vAlign w:val="bottom"/>
          </w:tcPr>
          <w:p>
            <w:pPr>
              <w:ind w:left="140"/>
              <w:spacing w:after="0"/>
              <w:rPr>
                <w:sz w:val="20"/>
                <w:szCs w:val="20"/>
                <w:color w:val="auto"/>
              </w:rPr>
            </w:pPr>
            <w:r>
              <w:rPr>
                <w:rFonts w:ascii="Arial" w:cs="Arial" w:eastAsia="Arial" w:hAnsi="Arial"/>
                <w:sz w:val="13"/>
                <w:szCs w:val="13"/>
                <w:color w:val="auto"/>
              </w:rPr>
              <w:t>Stryker Corporation</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Springworks Therapeutics, Inc.</w:t>
            </w:r>
          </w:p>
        </w:tc>
        <w:tc>
          <w:tcPr>
            <w:tcW w:w="2680" w:type="dxa"/>
            <w:vAlign w:val="bottom"/>
          </w:tcPr>
          <w:p>
            <w:pPr>
              <w:ind w:left="140"/>
              <w:spacing w:after="0"/>
              <w:rPr>
                <w:sz w:val="20"/>
                <w:szCs w:val="20"/>
                <w:color w:val="auto"/>
              </w:rPr>
            </w:pPr>
            <w:r>
              <w:rPr>
                <w:rFonts w:ascii="Arial" w:cs="Arial" w:eastAsia="Arial" w:hAnsi="Arial"/>
                <w:sz w:val="13"/>
                <w:szCs w:val="13"/>
                <w:color w:val="auto"/>
              </w:rPr>
              <w:t>Styropek USA,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SPX Corporation</w:t>
            </w:r>
          </w:p>
        </w:tc>
        <w:tc>
          <w:tcPr>
            <w:tcW w:w="2680" w:type="dxa"/>
            <w:vAlign w:val="bottom"/>
          </w:tcPr>
          <w:p>
            <w:pPr>
              <w:ind w:left="140"/>
              <w:spacing w:after="0"/>
              <w:rPr>
                <w:sz w:val="20"/>
                <w:szCs w:val="20"/>
                <w:color w:val="auto"/>
              </w:rPr>
            </w:pPr>
            <w:r>
              <w:rPr>
                <w:rFonts w:ascii="Arial" w:cs="Arial" w:eastAsia="Arial" w:hAnsi="Arial"/>
                <w:sz w:val="13"/>
                <w:szCs w:val="13"/>
                <w:color w:val="auto"/>
              </w:rPr>
              <w:t>Subaru of America,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Squaw Valley Ski Corporation</w:t>
            </w:r>
          </w:p>
        </w:tc>
        <w:tc>
          <w:tcPr>
            <w:tcW w:w="2680" w:type="dxa"/>
            <w:vAlign w:val="bottom"/>
          </w:tcPr>
          <w:p>
            <w:pPr>
              <w:ind w:left="140"/>
              <w:spacing w:after="0"/>
              <w:rPr>
                <w:sz w:val="20"/>
                <w:szCs w:val="20"/>
                <w:color w:val="auto"/>
              </w:rPr>
            </w:pPr>
            <w:r>
              <w:rPr>
                <w:rFonts w:ascii="Arial" w:cs="Arial" w:eastAsia="Arial" w:hAnsi="Arial"/>
                <w:sz w:val="13"/>
                <w:szCs w:val="13"/>
                <w:color w:val="auto"/>
              </w:rPr>
              <w:t>Suburban Hospital</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SRS Distribution</w:t>
            </w:r>
          </w:p>
        </w:tc>
        <w:tc>
          <w:tcPr>
            <w:tcW w:w="2680" w:type="dxa"/>
            <w:vAlign w:val="bottom"/>
          </w:tcPr>
          <w:p>
            <w:pPr>
              <w:ind w:left="140"/>
              <w:spacing w:after="0"/>
              <w:rPr>
                <w:sz w:val="20"/>
                <w:szCs w:val="20"/>
                <w:color w:val="auto"/>
              </w:rPr>
            </w:pPr>
            <w:r>
              <w:rPr>
                <w:rFonts w:ascii="Arial" w:cs="Arial" w:eastAsia="Arial" w:hAnsi="Arial"/>
                <w:sz w:val="13"/>
                <w:szCs w:val="13"/>
                <w:color w:val="auto"/>
              </w:rPr>
              <w:t>Suburban Propane Partners, LP</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SSM Health</w:t>
            </w:r>
          </w:p>
        </w:tc>
        <w:tc>
          <w:tcPr>
            <w:tcW w:w="2680" w:type="dxa"/>
            <w:vAlign w:val="bottom"/>
          </w:tcPr>
          <w:p>
            <w:pPr>
              <w:ind w:left="140"/>
              <w:spacing w:after="0"/>
              <w:rPr>
                <w:sz w:val="20"/>
                <w:szCs w:val="20"/>
                <w:color w:val="auto"/>
              </w:rPr>
            </w:pPr>
            <w:r>
              <w:rPr>
                <w:rFonts w:ascii="Arial" w:cs="Arial" w:eastAsia="Arial" w:hAnsi="Arial"/>
                <w:sz w:val="13"/>
                <w:szCs w:val="13"/>
                <w:color w:val="auto"/>
              </w:rPr>
              <w:t>Subway FWH, LLC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SSR Mining, Inc.</w:t>
            </w:r>
          </w:p>
        </w:tc>
        <w:tc>
          <w:tcPr>
            <w:tcW w:w="2680" w:type="dxa"/>
            <w:vAlign w:val="bottom"/>
          </w:tcPr>
          <w:p>
            <w:pPr>
              <w:ind w:left="140"/>
              <w:spacing w:after="0"/>
              <w:rPr>
                <w:sz w:val="20"/>
                <w:szCs w:val="20"/>
                <w:color w:val="auto"/>
              </w:rPr>
            </w:pPr>
            <w:r>
              <w:rPr>
                <w:rFonts w:ascii="Arial" w:cs="Arial" w:eastAsia="Arial" w:hAnsi="Arial"/>
                <w:sz w:val="13"/>
                <w:szCs w:val="13"/>
                <w:color w:val="auto"/>
              </w:rPr>
              <w:t>Sulzer Pumps (US),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 Charles Health System</w:t>
            </w:r>
          </w:p>
        </w:tc>
        <w:tc>
          <w:tcPr>
            <w:tcW w:w="2680" w:type="dxa"/>
            <w:vAlign w:val="bottom"/>
          </w:tcPr>
          <w:p>
            <w:pPr>
              <w:ind w:left="140"/>
              <w:spacing w:after="0"/>
              <w:rPr>
                <w:sz w:val="20"/>
                <w:szCs w:val="20"/>
                <w:color w:val="auto"/>
              </w:rPr>
            </w:pPr>
            <w:r>
              <w:rPr>
                <w:rFonts w:ascii="Arial" w:cs="Arial" w:eastAsia="Arial" w:hAnsi="Arial"/>
                <w:sz w:val="13"/>
                <w:szCs w:val="13"/>
                <w:color w:val="auto"/>
              </w:rPr>
              <w:t>Sulzer Turbo Services Houston Inc.</w:t>
            </w:r>
          </w:p>
        </w:tc>
      </w:tr>
      <w:tr>
        <w:trPr>
          <w:trHeight w:val="162"/>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 Luke’s Elmore Medical Center</w:t>
            </w:r>
          </w:p>
        </w:tc>
        <w:tc>
          <w:tcPr>
            <w:tcW w:w="2680" w:type="dxa"/>
            <w:vAlign w:val="bottom"/>
          </w:tcPr>
          <w:p>
            <w:pPr>
              <w:ind w:left="140"/>
              <w:spacing w:after="0"/>
              <w:rPr>
                <w:sz w:val="20"/>
                <w:szCs w:val="20"/>
                <w:color w:val="auto"/>
              </w:rPr>
            </w:pPr>
            <w:r>
              <w:rPr>
                <w:rFonts w:ascii="Arial" w:cs="Arial" w:eastAsia="Arial" w:hAnsi="Arial"/>
                <w:sz w:val="13"/>
                <w:szCs w:val="13"/>
                <w:color w:val="auto"/>
                <w:w w:val="96"/>
              </w:rPr>
              <w:t>Sumitomo Electric - Sumitomo Electric U.S.A.</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 Luke’s Health System - Saint Luke’s Boise</w:t>
            </w:r>
          </w:p>
        </w:tc>
        <w:tc>
          <w:tcPr>
            <w:tcW w:w="2680" w:type="dxa"/>
            <w:vAlign w:val="bottom"/>
          </w:tcPr>
          <w:p>
            <w:pPr>
              <w:ind w:left="300"/>
              <w:spacing w:after="0"/>
              <w:rPr>
                <w:sz w:val="20"/>
                <w:szCs w:val="20"/>
                <w:color w:val="auto"/>
              </w:rPr>
            </w:pPr>
            <w:r>
              <w:rPr>
                <w:rFonts w:ascii="Arial" w:cs="Arial" w:eastAsia="Arial" w:hAnsi="Arial"/>
                <w:sz w:val="13"/>
                <w:szCs w:val="13"/>
                <w:color w:val="auto"/>
              </w:rPr>
              <w:t>Holdings, Inc.</w:t>
            </w:r>
          </w:p>
        </w:tc>
      </w:tr>
      <w:tr>
        <w:trPr>
          <w:trHeight w:val="166"/>
        </w:trPr>
        <w:tc>
          <w:tcPr>
            <w:tcW w:w="268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Medical Center</w:t>
            </w:r>
          </w:p>
        </w:tc>
        <w:tc>
          <w:tcPr>
            <w:tcW w:w="2680" w:type="dxa"/>
            <w:vAlign w:val="bottom"/>
          </w:tcPr>
          <w:p>
            <w:pPr>
              <w:ind w:left="140"/>
              <w:spacing w:after="0"/>
              <w:rPr>
                <w:sz w:val="20"/>
                <w:szCs w:val="20"/>
                <w:color w:val="auto"/>
              </w:rPr>
            </w:pPr>
            <w:r>
              <w:rPr>
                <w:rFonts w:ascii="Arial" w:cs="Arial" w:eastAsia="Arial" w:hAnsi="Arial"/>
                <w:sz w:val="13"/>
                <w:szCs w:val="13"/>
                <w:color w:val="auto"/>
              </w:rPr>
              <w:t>Sumitomo Pharma America Holdings</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 Luke’s Magic Valley Medical Center</w:t>
            </w:r>
          </w:p>
        </w:tc>
        <w:tc>
          <w:tcPr>
            <w:tcW w:w="2680" w:type="dxa"/>
            <w:vAlign w:val="bottom"/>
          </w:tcPr>
          <w:p>
            <w:pPr>
              <w:ind w:left="140"/>
              <w:spacing w:after="0"/>
              <w:rPr>
                <w:sz w:val="20"/>
                <w:szCs w:val="20"/>
                <w:color w:val="auto"/>
              </w:rPr>
            </w:pPr>
            <w:r>
              <w:rPr>
                <w:rFonts w:ascii="Arial" w:cs="Arial" w:eastAsia="Arial" w:hAnsi="Arial"/>
                <w:sz w:val="13"/>
                <w:szCs w:val="13"/>
                <w:color w:val="auto"/>
              </w:rPr>
              <w:t>Summa Health</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 Luke’s Meridian Medical Center</w:t>
            </w:r>
          </w:p>
        </w:tc>
        <w:tc>
          <w:tcPr>
            <w:tcW w:w="2680" w:type="dxa"/>
            <w:vAlign w:val="bottom"/>
          </w:tcPr>
          <w:p>
            <w:pPr>
              <w:ind w:left="140"/>
              <w:spacing w:after="0"/>
              <w:rPr>
                <w:sz w:val="20"/>
                <w:szCs w:val="20"/>
                <w:color w:val="auto"/>
              </w:rPr>
            </w:pPr>
            <w:r>
              <w:rPr>
                <w:rFonts w:ascii="Arial" w:cs="Arial" w:eastAsia="Arial" w:hAnsi="Arial"/>
                <w:sz w:val="13"/>
                <w:szCs w:val="13"/>
                <w:color w:val="auto"/>
              </w:rPr>
              <w:t>Sun Life Financial U.S.</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 Luke’s Nampa Medical Center</w:t>
            </w:r>
          </w:p>
        </w:tc>
        <w:tc>
          <w:tcPr>
            <w:tcW w:w="2680" w:type="dxa"/>
            <w:vAlign w:val="bottom"/>
          </w:tcPr>
          <w:p>
            <w:pPr>
              <w:ind w:left="140"/>
              <w:spacing w:after="0"/>
              <w:rPr>
                <w:sz w:val="20"/>
                <w:szCs w:val="20"/>
                <w:color w:val="auto"/>
              </w:rPr>
            </w:pPr>
            <w:r>
              <w:rPr>
                <w:rFonts w:ascii="Arial" w:cs="Arial" w:eastAsia="Arial" w:hAnsi="Arial"/>
                <w:sz w:val="13"/>
                <w:szCs w:val="13"/>
                <w:color w:val="auto"/>
              </w:rPr>
              <w:t>Sunbelt Rentals,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Stancorp Financial Group</w:t>
            </w:r>
          </w:p>
        </w:tc>
        <w:tc>
          <w:tcPr>
            <w:tcW w:w="2680" w:type="dxa"/>
            <w:vAlign w:val="bottom"/>
          </w:tcPr>
          <w:p>
            <w:pPr>
              <w:ind w:left="140"/>
              <w:spacing w:after="0"/>
              <w:rPr>
                <w:sz w:val="20"/>
                <w:szCs w:val="20"/>
                <w:color w:val="auto"/>
              </w:rPr>
            </w:pPr>
            <w:r>
              <w:rPr>
                <w:rFonts w:ascii="Arial" w:cs="Arial" w:eastAsia="Arial" w:hAnsi="Arial"/>
                <w:sz w:val="13"/>
                <w:szCs w:val="13"/>
                <w:color w:val="auto"/>
              </w:rPr>
              <w:t>SunCoke Energy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Standard Meat Company</w:t>
            </w:r>
          </w:p>
        </w:tc>
        <w:tc>
          <w:tcPr>
            <w:tcW w:w="2680" w:type="dxa"/>
            <w:vAlign w:val="bottom"/>
          </w:tcPr>
          <w:p>
            <w:pPr>
              <w:ind w:left="140"/>
              <w:spacing w:after="0"/>
              <w:rPr>
                <w:sz w:val="20"/>
                <w:szCs w:val="20"/>
                <w:color w:val="auto"/>
              </w:rPr>
            </w:pPr>
            <w:r>
              <w:rPr>
                <w:rFonts w:ascii="Arial" w:cs="Arial" w:eastAsia="Arial" w:hAnsi="Arial"/>
                <w:sz w:val="13"/>
                <w:szCs w:val="13"/>
                <w:color w:val="auto"/>
              </w:rPr>
              <w:t>Sunovion Pharmaceuticals,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StandardAero</w:t>
            </w:r>
          </w:p>
        </w:tc>
        <w:tc>
          <w:tcPr>
            <w:tcW w:w="2680" w:type="dxa"/>
            <w:vAlign w:val="bottom"/>
          </w:tcPr>
          <w:p>
            <w:pPr>
              <w:ind w:left="140"/>
              <w:spacing w:after="0"/>
              <w:rPr>
                <w:sz w:val="20"/>
                <w:szCs w:val="20"/>
                <w:color w:val="auto"/>
              </w:rPr>
            </w:pPr>
            <w:r>
              <w:rPr>
                <w:rFonts w:ascii="Arial" w:cs="Arial" w:eastAsia="Arial" w:hAnsi="Arial"/>
                <w:sz w:val="13"/>
                <w:szCs w:val="13"/>
                <w:color w:val="auto"/>
              </w:rPr>
              <w:t>SunStream Business Services</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Stanford University</w:t>
            </w:r>
          </w:p>
        </w:tc>
        <w:tc>
          <w:tcPr>
            <w:tcW w:w="2680" w:type="dxa"/>
            <w:vAlign w:val="bottom"/>
          </w:tcPr>
          <w:p>
            <w:pPr>
              <w:ind w:left="140"/>
              <w:spacing w:after="0"/>
              <w:rPr>
                <w:sz w:val="20"/>
                <w:szCs w:val="20"/>
                <w:color w:val="auto"/>
              </w:rPr>
            </w:pPr>
            <w:r>
              <w:rPr>
                <w:rFonts w:ascii="Arial" w:cs="Arial" w:eastAsia="Arial" w:hAnsi="Arial"/>
                <w:sz w:val="13"/>
                <w:szCs w:val="13"/>
                <w:color w:val="auto"/>
              </w:rPr>
              <w:t>Superior Energy Services,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Stanford University - Stanford Health Care</w:t>
            </w:r>
          </w:p>
        </w:tc>
        <w:tc>
          <w:tcPr>
            <w:tcW w:w="2680" w:type="dxa"/>
            <w:vAlign w:val="bottom"/>
          </w:tcPr>
          <w:p>
            <w:pPr>
              <w:ind w:left="140"/>
              <w:spacing w:after="0"/>
              <w:rPr>
                <w:sz w:val="20"/>
                <w:szCs w:val="20"/>
                <w:color w:val="auto"/>
              </w:rPr>
            </w:pPr>
            <w:r>
              <w:rPr>
                <w:rFonts w:ascii="Arial" w:cs="Arial" w:eastAsia="Arial" w:hAnsi="Arial"/>
                <w:sz w:val="13"/>
                <w:szCs w:val="13"/>
                <w:color w:val="auto"/>
              </w:rPr>
              <w:t>Supernus Pharmaceuticals</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Stanley Consultants</w:t>
            </w:r>
          </w:p>
        </w:tc>
        <w:tc>
          <w:tcPr>
            <w:tcW w:w="2680" w:type="dxa"/>
            <w:vAlign w:val="bottom"/>
          </w:tcPr>
          <w:p>
            <w:pPr>
              <w:ind w:left="140"/>
              <w:spacing w:after="0"/>
              <w:rPr>
                <w:sz w:val="20"/>
                <w:szCs w:val="20"/>
                <w:color w:val="auto"/>
              </w:rPr>
            </w:pPr>
            <w:r>
              <w:rPr>
                <w:rFonts w:ascii="Arial" w:cs="Arial" w:eastAsia="Arial" w:hAnsi="Arial"/>
                <w:sz w:val="13"/>
                <w:szCs w:val="13"/>
                <w:color w:val="auto"/>
              </w:rPr>
              <w:t>Surescripts, LLC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Stantec, Inc.</w:t>
            </w:r>
          </w:p>
        </w:tc>
        <w:tc>
          <w:tcPr>
            <w:tcW w:w="2680" w:type="dxa"/>
            <w:vAlign w:val="bottom"/>
          </w:tcPr>
          <w:p>
            <w:pPr>
              <w:ind w:left="140"/>
              <w:spacing w:after="0"/>
              <w:rPr>
                <w:sz w:val="20"/>
                <w:szCs w:val="20"/>
                <w:color w:val="auto"/>
              </w:rPr>
            </w:pPr>
            <w:r>
              <w:rPr>
                <w:rFonts w:ascii="Arial" w:cs="Arial" w:eastAsia="Arial" w:hAnsi="Arial"/>
                <w:sz w:val="13"/>
                <w:szCs w:val="13"/>
                <w:color w:val="auto"/>
              </w:rPr>
              <w:t>SureWerx USA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Star Tribune Media Company, LLC</w:t>
            </w:r>
          </w:p>
        </w:tc>
        <w:tc>
          <w:tcPr>
            <w:tcW w:w="2680" w:type="dxa"/>
            <w:vAlign w:val="bottom"/>
          </w:tcPr>
          <w:p>
            <w:pPr>
              <w:ind w:left="140"/>
              <w:spacing w:after="0"/>
              <w:rPr>
                <w:sz w:val="20"/>
                <w:szCs w:val="20"/>
                <w:color w:val="auto"/>
              </w:rPr>
            </w:pPr>
            <w:r>
              <w:rPr>
                <w:rFonts w:ascii="Arial" w:cs="Arial" w:eastAsia="Arial" w:hAnsi="Arial"/>
                <w:sz w:val="13"/>
                <w:szCs w:val="13"/>
                <w:color w:val="auto"/>
              </w:rPr>
              <w:t>Surmodics,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Starbucks Corporation</w:t>
            </w:r>
          </w:p>
        </w:tc>
        <w:tc>
          <w:tcPr>
            <w:tcW w:w="2680" w:type="dxa"/>
            <w:vAlign w:val="bottom"/>
          </w:tcPr>
          <w:p>
            <w:pPr>
              <w:ind w:left="140"/>
              <w:spacing w:after="0"/>
              <w:rPr>
                <w:sz w:val="20"/>
                <w:szCs w:val="20"/>
                <w:color w:val="auto"/>
              </w:rPr>
            </w:pPr>
            <w:r>
              <w:rPr>
                <w:rFonts w:ascii="Arial" w:cs="Arial" w:eastAsia="Arial" w:hAnsi="Arial"/>
                <w:sz w:val="13"/>
                <w:szCs w:val="13"/>
                <w:color w:val="auto"/>
              </w:rPr>
              <w:t>Sutherland Global Services</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Starkey Hearing Technologies, Inc.</w:t>
            </w:r>
          </w:p>
        </w:tc>
        <w:tc>
          <w:tcPr>
            <w:tcW w:w="2680" w:type="dxa"/>
            <w:vAlign w:val="bottom"/>
          </w:tcPr>
          <w:p>
            <w:pPr>
              <w:ind w:left="140"/>
              <w:spacing w:after="0"/>
              <w:rPr>
                <w:sz w:val="20"/>
                <w:szCs w:val="20"/>
                <w:color w:val="auto"/>
              </w:rPr>
            </w:pPr>
            <w:r>
              <w:rPr>
                <w:rFonts w:ascii="Arial" w:cs="Arial" w:eastAsia="Arial" w:hAnsi="Arial"/>
                <w:sz w:val="13"/>
                <w:szCs w:val="13"/>
                <w:color w:val="auto"/>
              </w:rPr>
              <w:t>Sutter Health</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State Employees’ Credit Union</w:t>
            </w:r>
          </w:p>
        </w:tc>
        <w:tc>
          <w:tcPr>
            <w:tcW w:w="2680" w:type="dxa"/>
            <w:vAlign w:val="bottom"/>
          </w:tcPr>
          <w:p>
            <w:pPr>
              <w:ind w:left="140"/>
              <w:spacing w:after="0"/>
              <w:rPr>
                <w:sz w:val="20"/>
                <w:szCs w:val="20"/>
                <w:color w:val="auto"/>
              </w:rPr>
            </w:pPr>
            <w:r>
              <w:rPr>
                <w:rFonts w:ascii="Arial" w:cs="Arial" w:eastAsia="Arial" w:hAnsi="Arial"/>
                <w:sz w:val="13"/>
                <w:szCs w:val="13"/>
                <w:color w:val="auto"/>
              </w:rPr>
              <w:t>Suzuki Marine USA</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State Farm Insurance</w:t>
            </w:r>
          </w:p>
        </w:tc>
        <w:tc>
          <w:tcPr>
            <w:tcW w:w="2680" w:type="dxa"/>
            <w:vAlign w:val="bottom"/>
          </w:tcPr>
          <w:p>
            <w:pPr>
              <w:ind w:left="140"/>
              <w:spacing w:after="0"/>
              <w:rPr>
                <w:sz w:val="20"/>
                <w:szCs w:val="20"/>
                <w:color w:val="auto"/>
              </w:rPr>
            </w:pPr>
            <w:r>
              <w:rPr>
                <w:rFonts w:ascii="Arial" w:cs="Arial" w:eastAsia="Arial" w:hAnsi="Arial"/>
                <w:sz w:val="13"/>
                <w:szCs w:val="13"/>
                <w:color w:val="auto"/>
              </w:rPr>
              <w:t>Svendborg Brakes</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State of North Carolina</w:t>
            </w:r>
          </w:p>
        </w:tc>
        <w:tc>
          <w:tcPr>
            <w:tcW w:w="2680" w:type="dxa"/>
            <w:vAlign w:val="bottom"/>
          </w:tcPr>
          <w:p>
            <w:pPr>
              <w:ind w:left="140"/>
              <w:spacing w:after="0"/>
              <w:rPr>
                <w:sz w:val="20"/>
                <w:szCs w:val="20"/>
                <w:color w:val="auto"/>
              </w:rPr>
            </w:pPr>
            <w:r>
              <w:rPr>
                <w:rFonts w:ascii="Arial" w:cs="Arial" w:eastAsia="Arial" w:hAnsi="Arial"/>
                <w:sz w:val="13"/>
                <w:szCs w:val="13"/>
                <w:color w:val="auto"/>
              </w:rPr>
              <w:t>Swagelok Company</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State of North Dakota</w:t>
            </w:r>
          </w:p>
        </w:tc>
        <w:tc>
          <w:tcPr>
            <w:tcW w:w="2680" w:type="dxa"/>
            <w:vAlign w:val="bottom"/>
          </w:tcPr>
          <w:p>
            <w:pPr>
              <w:ind w:left="140"/>
              <w:spacing w:after="0"/>
              <w:rPr>
                <w:sz w:val="20"/>
                <w:szCs w:val="20"/>
                <w:color w:val="auto"/>
              </w:rPr>
            </w:pPr>
            <w:r>
              <w:rPr>
                <w:rFonts w:ascii="Arial" w:cs="Arial" w:eastAsia="Arial" w:hAnsi="Arial"/>
                <w:sz w:val="13"/>
                <w:szCs w:val="13"/>
                <w:color w:val="auto"/>
              </w:rPr>
              <w:t>Swarovski US</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State Teachers Retirement System of Ohio</w:t>
            </w:r>
          </w:p>
        </w:tc>
        <w:tc>
          <w:tcPr>
            <w:tcW w:w="2680" w:type="dxa"/>
            <w:vAlign w:val="bottom"/>
          </w:tcPr>
          <w:p>
            <w:pPr>
              <w:ind w:left="140"/>
              <w:spacing w:after="0"/>
              <w:rPr>
                <w:sz w:val="20"/>
                <w:szCs w:val="20"/>
                <w:color w:val="auto"/>
              </w:rPr>
            </w:pPr>
            <w:r>
              <w:rPr>
                <w:rFonts w:ascii="Arial" w:cs="Arial" w:eastAsia="Arial" w:hAnsi="Arial"/>
                <w:sz w:val="13"/>
                <w:szCs w:val="13"/>
                <w:color w:val="auto"/>
              </w:rPr>
              <w:t>Swedish Match, US Division</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Steamboat Ski &amp; Resort Corporation</w:t>
            </w:r>
          </w:p>
        </w:tc>
        <w:tc>
          <w:tcPr>
            <w:tcW w:w="2680" w:type="dxa"/>
            <w:vAlign w:val="bottom"/>
          </w:tcPr>
          <w:p>
            <w:pPr>
              <w:ind w:left="140"/>
              <w:spacing w:after="0"/>
              <w:rPr>
                <w:sz w:val="20"/>
                <w:szCs w:val="20"/>
                <w:color w:val="auto"/>
              </w:rPr>
            </w:pPr>
            <w:r>
              <w:rPr>
                <w:rFonts w:ascii="Arial" w:cs="Arial" w:eastAsia="Arial" w:hAnsi="Arial"/>
                <w:sz w:val="13"/>
                <w:szCs w:val="13"/>
                <w:color w:val="auto"/>
              </w:rPr>
              <w:t>Swissport</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Stella - Blue Cross Blue Shield Minnesota</w:t>
            </w:r>
          </w:p>
        </w:tc>
        <w:tc>
          <w:tcPr>
            <w:tcW w:w="2680" w:type="dxa"/>
            <w:vAlign w:val="bottom"/>
          </w:tcPr>
          <w:p>
            <w:pPr>
              <w:ind w:left="140"/>
              <w:spacing w:after="0"/>
              <w:rPr>
                <w:sz w:val="20"/>
                <w:szCs w:val="20"/>
                <w:color w:val="auto"/>
              </w:rPr>
            </w:pPr>
            <w:r>
              <w:rPr>
                <w:rFonts w:ascii="Arial" w:cs="Arial" w:eastAsia="Arial" w:hAnsi="Arial"/>
                <w:sz w:val="13"/>
                <w:szCs w:val="13"/>
                <w:color w:val="auto"/>
              </w:rPr>
              <w:t>Sylvamo</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Stella McCartney US</w:t>
            </w:r>
          </w:p>
        </w:tc>
        <w:tc>
          <w:tcPr>
            <w:tcW w:w="2680" w:type="dxa"/>
            <w:vAlign w:val="bottom"/>
          </w:tcPr>
          <w:p>
            <w:pPr>
              <w:ind w:left="140"/>
              <w:spacing w:after="0"/>
              <w:rPr>
                <w:sz w:val="20"/>
                <w:szCs w:val="20"/>
                <w:color w:val="auto"/>
              </w:rPr>
            </w:pPr>
            <w:r>
              <w:rPr>
                <w:rFonts w:ascii="Arial" w:cs="Arial" w:eastAsia="Arial" w:hAnsi="Arial"/>
                <w:sz w:val="13"/>
                <w:szCs w:val="13"/>
                <w:color w:val="auto"/>
              </w:rPr>
              <w:t>Symetra Financial Corporation</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STEP Energy Services (USA) Ltd.</w:t>
            </w:r>
          </w:p>
        </w:tc>
        <w:tc>
          <w:tcPr>
            <w:tcW w:w="2680" w:type="dxa"/>
            <w:vAlign w:val="bottom"/>
          </w:tcPr>
          <w:p>
            <w:pPr>
              <w:ind w:left="140"/>
              <w:spacing w:after="0"/>
              <w:rPr>
                <w:sz w:val="20"/>
                <w:szCs w:val="20"/>
                <w:color w:val="auto"/>
              </w:rPr>
            </w:pPr>
            <w:r>
              <w:rPr>
                <w:rFonts w:ascii="Arial" w:cs="Arial" w:eastAsia="Arial" w:hAnsi="Arial"/>
                <w:sz w:val="13"/>
                <w:szCs w:val="13"/>
                <w:color w:val="auto"/>
              </w:rPr>
              <w:t>Symmetry Energy Solutions</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Stepan Company</w:t>
            </w:r>
          </w:p>
        </w:tc>
        <w:tc>
          <w:tcPr>
            <w:tcW w:w="2680" w:type="dxa"/>
            <w:vAlign w:val="bottom"/>
          </w:tcPr>
          <w:p>
            <w:pPr>
              <w:ind w:left="140"/>
              <w:spacing w:after="0"/>
              <w:rPr>
                <w:sz w:val="20"/>
                <w:szCs w:val="20"/>
                <w:color w:val="auto"/>
              </w:rPr>
            </w:pPr>
            <w:r>
              <w:rPr>
                <w:rFonts w:ascii="Arial" w:cs="Arial" w:eastAsia="Arial" w:hAnsi="Arial"/>
                <w:sz w:val="13"/>
                <w:szCs w:val="13"/>
                <w:color w:val="auto"/>
              </w:rPr>
              <w:t>Symrise,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Stephen Gould Corporation</w:t>
            </w:r>
          </w:p>
        </w:tc>
        <w:tc>
          <w:tcPr>
            <w:tcW w:w="2680" w:type="dxa"/>
            <w:vAlign w:val="bottom"/>
          </w:tcPr>
          <w:p>
            <w:pPr>
              <w:ind w:left="140"/>
              <w:spacing w:after="0"/>
              <w:rPr>
                <w:sz w:val="20"/>
                <w:szCs w:val="20"/>
                <w:color w:val="auto"/>
              </w:rPr>
            </w:pPr>
            <w:r>
              <w:rPr>
                <w:rFonts w:ascii="Arial" w:cs="Arial" w:eastAsia="Arial" w:hAnsi="Arial"/>
                <w:sz w:val="13"/>
                <w:szCs w:val="13"/>
                <w:color w:val="auto"/>
              </w:rPr>
              <w:t>syncreon America,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STERIS, PLC</w:t>
            </w:r>
          </w:p>
        </w:tc>
        <w:tc>
          <w:tcPr>
            <w:tcW w:w="2680" w:type="dxa"/>
            <w:vAlign w:val="bottom"/>
          </w:tcPr>
          <w:p>
            <w:pPr>
              <w:ind w:left="140"/>
              <w:spacing w:after="0"/>
              <w:rPr>
                <w:sz w:val="20"/>
                <w:szCs w:val="20"/>
                <w:color w:val="auto"/>
              </w:rPr>
            </w:pPr>
            <w:r>
              <w:rPr>
                <w:rFonts w:ascii="Arial" w:cs="Arial" w:eastAsia="Arial" w:hAnsi="Arial"/>
                <w:sz w:val="13"/>
                <w:szCs w:val="13"/>
                <w:color w:val="auto"/>
              </w:rPr>
              <w:t>Syneos Health,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Stewart Title Guaranty Company</w:t>
            </w:r>
          </w:p>
        </w:tc>
        <w:tc>
          <w:tcPr>
            <w:tcW w:w="2680" w:type="dxa"/>
            <w:vAlign w:val="bottom"/>
          </w:tcPr>
          <w:p>
            <w:pPr>
              <w:ind w:left="140"/>
              <w:spacing w:after="0"/>
              <w:rPr>
                <w:sz w:val="20"/>
                <w:szCs w:val="20"/>
                <w:color w:val="auto"/>
              </w:rPr>
            </w:pPr>
            <w:r>
              <w:rPr>
                <w:rFonts w:ascii="Arial" w:cs="Arial" w:eastAsia="Arial" w:hAnsi="Arial"/>
                <w:sz w:val="13"/>
                <w:szCs w:val="13"/>
                <w:color w:val="auto"/>
              </w:rPr>
              <w:t>Synergy Flavors,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Stewart Title Insurance Company</w:t>
            </w:r>
          </w:p>
        </w:tc>
        <w:tc>
          <w:tcPr>
            <w:tcW w:w="2680" w:type="dxa"/>
            <w:vAlign w:val="bottom"/>
          </w:tcPr>
          <w:p>
            <w:pPr>
              <w:ind w:left="140"/>
              <w:spacing w:after="0"/>
              <w:rPr>
                <w:sz w:val="20"/>
                <w:szCs w:val="20"/>
                <w:color w:val="auto"/>
              </w:rPr>
            </w:pPr>
            <w:r>
              <w:rPr>
                <w:rFonts w:ascii="Arial" w:cs="Arial" w:eastAsia="Arial" w:hAnsi="Arial"/>
                <w:sz w:val="13"/>
                <w:szCs w:val="13"/>
                <w:color w:val="auto"/>
              </w:rPr>
              <w:t>Syngenta</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Stoneridge, Inc.</w:t>
            </w:r>
          </w:p>
        </w:tc>
        <w:tc>
          <w:tcPr>
            <w:tcW w:w="2680" w:type="dxa"/>
            <w:vAlign w:val="bottom"/>
          </w:tcPr>
          <w:p>
            <w:pPr>
              <w:ind w:left="140"/>
              <w:spacing w:after="0"/>
              <w:rPr>
                <w:sz w:val="20"/>
                <w:szCs w:val="20"/>
                <w:color w:val="auto"/>
              </w:rPr>
            </w:pPr>
            <w:r>
              <w:rPr>
                <w:rFonts w:ascii="Arial" w:cs="Arial" w:eastAsia="Arial" w:hAnsi="Arial"/>
                <w:sz w:val="13"/>
                <w:szCs w:val="13"/>
                <w:color w:val="auto"/>
              </w:rPr>
              <w:t>Synovus Financial Corporation</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Storck USA L.P.</w:t>
            </w:r>
          </w:p>
        </w:tc>
        <w:tc>
          <w:tcPr>
            <w:tcW w:w="2680" w:type="dxa"/>
            <w:vAlign w:val="bottom"/>
          </w:tcPr>
          <w:p>
            <w:pPr>
              <w:ind w:left="140"/>
              <w:spacing w:after="0"/>
              <w:rPr>
                <w:sz w:val="20"/>
                <w:szCs w:val="20"/>
                <w:color w:val="auto"/>
              </w:rPr>
            </w:pPr>
            <w:r>
              <w:rPr>
                <w:rFonts w:ascii="Arial" w:cs="Arial" w:eastAsia="Arial" w:hAnsi="Arial"/>
                <w:sz w:val="13"/>
                <w:szCs w:val="13"/>
                <w:color w:val="auto"/>
              </w:rPr>
              <w:t>Sysco Corporation</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Strategic Education United States</w:t>
            </w:r>
          </w:p>
        </w:tc>
        <w:tc>
          <w:tcPr>
            <w:tcW w:w="2680" w:type="dxa"/>
            <w:vAlign w:val="bottom"/>
          </w:tcPr>
          <w:p>
            <w:pPr>
              <w:ind w:left="140"/>
              <w:spacing w:after="0"/>
              <w:rPr>
                <w:sz w:val="20"/>
                <w:szCs w:val="20"/>
                <w:color w:val="auto"/>
              </w:rPr>
            </w:pPr>
            <w:r>
              <w:rPr>
                <w:rFonts w:ascii="Arial" w:cs="Arial" w:eastAsia="Arial" w:hAnsi="Arial"/>
                <w:sz w:val="13"/>
                <w:szCs w:val="13"/>
                <w:color w:val="auto"/>
              </w:rPr>
              <w:t>T-Mobile US, Inc.</w:t>
            </w:r>
          </w:p>
        </w:tc>
      </w:tr>
      <w:tr>
        <w:trPr>
          <w:trHeight w:val="189"/>
        </w:trPr>
        <w:tc>
          <w:tcPr>
            <w:tcW w:w="2680" w:type="dxa"/>
            <w:vAlign w:val="bottom"/>
            <w:tcBorders>
              <w:right w:val="single" w:sz="8" w:color="auto"/>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rPr>
              <w:t>T. Marzetti Company</w:t>
            </w:r>
          </w:p>
        </w:tc>
      </w:tr>
      <w:tr>
        <w:trPr>
          <w:trHeight w:val="189"/>
        </w:trPr>
        <w:tc>
          <w:tcPr>
            <w:tcW w:w="2680" w:type="dxa"/>
            <w:vAlign w:val="bottom"/>
            <w:tcBorders>
              <w:right w:val="single" w:sz="8" w:color="auto"/>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rPr>
              <w:t>T.D. Williamson</w:t>
            </w:r>
          </w:p>
        </w:tc>
      </w:tr>
      <w:tr>
        <w:trPr>
          <w:trHeight w:val="189"/>
        </w:trPr>
        <w:tc>
          <w:tcPr>
            <w:tcW w:w="2680" w:type="dxa"/>
            <w:vAlign w:val="bottom"/>
            <w:tcBorders>
              <w:right w:val="single" w:sz="8" w:color="auto"/>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rPr>
              <w:t>Tailored Brands</w:t>
            </w:r>
          </w:p>
        </w:tc>
      </w:tr>
      <w:tr>
        <w:trPr>
          <w:trHeight w:val="189"/>
        </w:trPr>
        <w:tc>
          <w:tcPr>
            <w:tcW w:w="2680" w:type="dxa"/>
            <w:vAlign w:val="bottom"/>
            <w:tcBorders>
              <w:right w:val="single" w:sz="8" w:color="auto"/>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rPr>
              <w:t>Takasago International Corporation (USA)</w:t>
            </w:r>
          </w:p>
        </w:tc>
      </w:tr>
      <w:tr>
        <w:trPr>
          <w:trHeight w:val="189"/>
        </w:trPr>
        <w:tc>
          <w:tcPr>
            <w:tcW w:w="2680" w:type="dxa"/>
            <w:vAlign w:val="bottom"/>
            <w:tcBorders>
              <w:right w:val="single" w:sz="8" w:color="auto"/>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rPr>
              <w:t>Takeda Pharmaceuticals U.S.A., Inc.</w:t>
            </w:r>
          </w:p>
        </w:tc>
      </w:tr>
      <w:tr>
        <w:trPr>
          <w:trHeight w:val="189"/>
        </w:trPr>
        <w:tc>
          <w:tcPr>
            <w:tcW w:w="2680" w:type="dxa"/>
            <w:vAlign w:val="bottom"/>
            <w:tcBorders>
              <w:right w:val="single" w:sz="8" w:color="auto"/>
            </w:tcBorders>
          </w:tcPr>
          <w:p>
            <w:pPr>
              <w:spacing w:after="0"/>
              <w:rPr>
                <w:sz w:val="16"/>
                <w:szCs w:val="16"/>
                <w:color w:val="auto"/>
              </w:rPr>
            </w:pPr>
          </w:p>
        </w:tc>
        <w:tc>
          <w:tcPr>
            <w:tcW w:w="2680" w:type="dxa"/>
            <w:vAlign w:val="bottom"/>
          </w:tcPr>
          <w:p>
            <w:pPr>
              <w:ind w:left="140"/>
              <w:spacing w:after="0"/>
              <w:rPr>
                <w:sz w:val="20"/>
                <w:szCs w:val="20"/>
                <w:color w:val="auto"/>
              </w:rPr>
            </w:pPr>
            <w:r>
              <w:rPr>
                <w:rFonts w:ascii="Arial" w:cs="Arial" w:eastAsia="Arial" w:hAnsi="Arial"/>
                <w:sz w:val="13"/>
                <w:szCs w:val="13"/>
                <w:color w:val="auto"/>
              </w:rPr>
              <w:t>Tallgrass Energy Partners, LP</w:t>
            </w:r>
          </w:p>
        </w:tc>
      </w:tr>
      <w:tr>
        <w:trPr>
          <w:trHeight w:val="36"/>
        </w:trPr>
        <w:tc>
          <w:tcPr>
            <w:tcW w:w="2680" w:type="dxa"/>
            <w:vAlign w:val="bottom"/>
            <w:tcBorders>
              <w:right w:val="single" w:sz="8" w:color="auto"/>
            </w:tcBorders>
          </w:tcPr>
          <w:p>
            <w:pPr>
              <w:spacing w:after="0"/>
              <w:rPr>
                <w:sz w:val="3"/>
                <w:szCs w:val="3"/>
                <w:color w:val="auto"/>
              </w:rPr>
            </w:pPr>
          </w:p>
        </w:tc>
        <w:tc>
          <w:tcPr>
            <w:tcW w:w="26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-5858510</wp:posOffset>
            </wp:positionV>
            <wp:extent cx="7141210" cy="60915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1210" cy="60915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Tanner Medical Center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Targa Resources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Target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TaskUs,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TaxAct,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Taylor Morrison Home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TBK BANK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TC Energy - Energy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TC Energy - PipeLines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TD Bank, N.A.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Teacher Retirement System of Texas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TECO Energy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Tecumseh Products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Teleflora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Telephone &amp; Data Systems, Inc. - TDS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Telecommunications Corp.</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Telephone &amp; Data Systems, Inc. - U. 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Cellular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Tellurian,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Telstra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TELUS International (U.S.)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Tempur Sealy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Tenaris, Inc. USA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Tenerity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Tenet Healthcare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Ternium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Terracon Consultants,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Terumo Americas Holding,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Terumo BCT,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Terumo Medical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Tetra Pak United States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Texas Children’s Hospital System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Texas Health Resources,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Texas Life Insurance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Texas Mutual Insurance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Textron,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Textron, Inc. - Airborne Solutions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Textron, Inc. - Bell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Textron, Inc. - Kautex</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Textron, Inc. - Textron Aviation</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Textron, Inc. - Textron Financial Corporation</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Textron, Inc. - Textron Specialized Vehicles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Textron, Inc. - Textron Systems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TGS NOPEC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Aerospace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Allstate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American College of Surgeons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-86360</wp:posOffset>
            </wp:positionV>
            <wp:extent cx="8255" cy="5859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5859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The Annie E. Casey Foundation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Beck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Boeing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Boeing Company - Insitu,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Boyd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Capital Group Companies,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Chamberlain Group,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Charles Stark Draper Laboratory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Children’s Hospital of Philadelphia</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(CHOP)</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Church of Jesus Christ of Latter-day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Saints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Clorox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Coca-Cola Company</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The Commonwealth of Virginia - Department</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of Accounts</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 Commonwealth of Virginia - Department</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of Aviation</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 Commonwealth of Virginia - Department</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of Corrections</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 Commonwealth of Virginia - Department</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of Health</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 Commonwealth of Virginia - Department</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of Motor Vehicles</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 Commonwealth of Virginia - Department</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of the Treasury</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 Commonwealth of Virginia - University of</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Virginia</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Container Store,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Cooper Companies,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Cooper Companies,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 CooperVision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Doctors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Doe Run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E.W. Scripps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E.W. Scripps Company - KGUN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Tucson - TV</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E.W. Scripps Company - KMGH - TV</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E.W. Scripps Company - KMTV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Omaha-TV</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E.W. Scripps Company - KNXV-TV</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E.W. Scripps Company - KSHB-TV</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The E.W. Scripps Company - KSTU - TV Salt</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Lake City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E.W. Scripps Company - WEWS-TV</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E.W. Scripps Company - WLEX - TV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Lexington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E.W. Scripps Company - WTMJ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Milwaukee - TV</w:t>
      </w:r>
    </w:p>
    <w:p>
      <w:pPr>
        <w:spacing w:after="0" w:line="707" w:lineRule="exact"/>
        <w:rPr>
          <w:sz w:val="20"/>
          <w:szCs w:val="20"/>
          <w:color w:val="auto"/>
        </w:rPr>
      </w:pPr>
    </w:p>
    <w:p>
      <w:pPr>
        <w:sectPr>
          <w:pgSz w:w="11900" w:h="16838" w:orient="portrait"/>
          <w:cols w:equalWidth="0" w:num="3">
            <w:col w:w="5520" w:space="280"/>
            <w:col w:w="2440" w:space="360"/>
            <w:col w:w="2640"/>
          </w:cols>
          <w:pgMar w:left="320" w:top="771" w:right="339" w:bottom="1440" w:gutter="0" w:footer="0" w:header="0"/>
        </w:sectPr>
      </w:pPr>
    </w:p>
    <w:p>
      <w:pPr>
        <w:spacing w:after="0" w:line="289"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70" w:name="page71"/>
    <w:bookmarkEnd w:id="70"/>
    <w:p>
      <w:pPr>
        <w:ind w:left="160"/>
        <w:spacing w:after="0"/>
        <w:rPr>
          <w:sz w:val="20"/>
          <w:szCs w:val="20"/>
          <w:color w:val="auto"/>
        </w:rPr>
      </w:pPr>
      <w:r>
        <w:rPr>
          <w:rFonts w:ascii="Arial" w:cs="Arial" w:eastAsia="Arial" w:hAnsi="Arial"/>
          <w:sz w:val="13"/>
          <w:szCs w:val="13"/>
          <w:color w:val="auto"/>
        </w:rPr>
        <w:t>The E.W. Scripps Company - WXYZ-TV</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Estee Lauder Companies,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Freeman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Fresh Market - Store Support Center</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Gilbert Company,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Guardian Life Insurance Company of</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America</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Hartz Mountain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Heritage Group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Honest Company,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Irvine Company, LLC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Jackson Laboratory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Johns Hopkins Hospital</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Johns Hopkins University - Applied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Physics Laboratory</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Kraft Heinz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Kroger Co.</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Methodist Hospital System</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Metropolitan Museum of Art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MITRE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Mosaic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National Academies of Sciences,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Engineering, and Medicine</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New York Public Library (NYPL)</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Nielsen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North West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Options Clearing Corporation (OCC)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Pennsylvania State University (Penn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State)</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Prime Group,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QT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Rosewood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Scripps Research Institute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Sherwin Williams Co - Performance</w:t>
      </w:r>
    </w:p>
    <w:p>
      <w:pPr>
        <w:spacing w:after="0" w:line="1" w:lineRule="exact"/>
        <w:rPr>
          <w:sz w:val="20"/>
          <w:szCs w:val="20"/>
          <w:color w:val="auto"/>
        </w:rPr>
      </w:pPr>
    </w:p>
    <w:p>
      <w:pPr>
        <w:ind w:left="300" w:right="20"/>
        <w:spacing w:after="0" w:line="235" w:lineRule="auto"/>
        <w:rPr>
          <w:sz w:val="20"/>
          <w:szCs w:val="20"/>
          <w:color w:val="auto"/>
        </w:rPr>
      </w:pPr>
      <w:r>
        <w:rPr>
          <w:rFonts w:ascii="Arial" w:cs="Arial" w:eastAsia="Arial" w:hAnsi="Arial"/>
          <w:sz w:val="13"/>
          <w:szCs w:val="13"/>
          <w:color w:val="auto"/>
        </w:rPr>
        <w:t>Coatings Grp, Global Packaging, Coating Resins &amp; Colorants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Sherwin Williams Company</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Sherwin Williams Company - Consumer</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Brands Group</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Sherwin Williams Company - Consumer</w:t>
      </w:r>
    </w:p>
    <w:p>
      <w:pPr>
        <w:spacing w:after="0" w:line="13" w:lineRule="exact"/>
        <w:rPr>
          <w:sz w:val="20"/>
          <w:szCs w:val="20"/>
          <w:color w:val="auto"/>
        </w:rPr>
      </w:pPr>
    </w:p>
    <w:p>
      <w:pPr>
        <w:ind w:left="300" w:right="60"/>
        <w:spacing w:after="0" w:line="235" w:lineRule="auto"/>
        <w:rPr>
          <w:sz w:val="20"/>
          <w:szCs w:val="20"/>
          <w:color w:val="auto"/>
        </w:rPr>
      </w:pPr>
      <w:r>
        <w:rPr>
          <w:rFonts w:ascii="Arial" w:cs="Arial" w:eastAsia="Arial" w:hAnsi="Arial"/>
          <w:sz w:val="13"/>
          <w:szCs w:val="13"/>
          <w:color w:val="auto"/>
        </w:rPr>
        <w:t>Brands Group, Consumer North America Division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Sherwin Williams Company - Global</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Supply Chain</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Sherwin Williams Company -</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Performance Coatings Group</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Sherwin Williams Company -</w:t>
      </w:r>
    </w:p>
    <w:p>
      <w:pPr>
        <w:ind w:left="300"/>
        <w:spacing w:after="0" w:line="225" w:lineRule="auto"/>
        <w:rPr>
          <w:sz w:val="20"/>
          <w:szCs w:val="20"/>
          <w:color w:val="auto"/>
        </w:rPr>
      </w:pPr>
      <w:r>
        <w:rPr>
          <w:rFonts w:ascii="Arial" w:cs="Arial" w:eastAsia="Arial" w:hAnsi="Arial"/>
          <w:sz w:val="13"/>
          <w:szCs w:val="13"/>
          <w:color w:val="auto"/>
        </w:rPr>
        <w:t>Performance Coatings Group, General</w:t>
      </w:r>
    </w:p>
    <w:p>
      <w:pPr>
        <w:ind w:left="300"/>
        <w:spacing w:after="0"/>
        <w:rPr>
          <w:sz w:val="20"/>
          <w:szCs w:val="20"/>
          <w:color w:val="auto"/>
        </w:rPr>
      </w:pPr>
      <w:r>
        <w:rPr>
          <w:rFonts w:ascii="Arial" w:cs="Arial" w:eastAsia="Arial" w:hAnsi="Arial"/>
          <w:sz w:val="13"/>
          <w:szCs w:val="13"/>
          <w:color w:val="auto"/>
        </w:rPr>
        <w:t>Industrial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Sherwin Williams Company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-86360</wp:posOffset>
            </wp:positionV>
            <wp:extent cx="8255" cy="5979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5979160"/>
                    </a:xfrm>
                    <a:prstGeom prst="rect">
                      <a:avLst/>
                    </a:prstGeom>
                    <a:noFill/>
                  </pic:spPr>
                </pic:pic>
              </a:graphicData>
            </a:graphic>
          </wp:anchor>
        </w:drawing>
        <w:drawing>
          <wp:anchor simplePos="0" relativeHeight="251657728" behindDoc="1" locked="0" layoutInCell="0" allowOverlap="1">
            <wp:simplePos x="0" y="0"/>
            <wp:positionH relativeFrom="column">
              <wp:posOffset>-103505</wp:posOffset>
            </wp:positionH>
            <wp:positionV relativeFrom="paragraph">
              <wp:posOffset>-86360</wp:posOffset>
            </wp:positionV>
            <wp:extent cx="8255" cy="5979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5979160"/>
                    </a:xfrm>
                    <a:prstGeom prst="rect">
                      <a:avLst/>
                    </a:prstGeom>
                    <a:noFill/>
                  </pic:spPr>
                </pic:pic>
              </a:graphicData>
            </a:graphic>
          </wp:anchor>
        </w:drawing>
      </w:r>
    </w:p>
    <w:p>
      <w:pPr>
        <w:ind w:left="160"/>
        <w:spacing w:after="0" w:line="225" w:lineRule="auto"/>
        <w:rPr>
          <w:sz w:val="20"/>
          <w:szCs w:val="20"/>
          <w:color w:val="auto"/>
        </w:rPr>
      </w:pPr>
      <w:r>
        <w:rPr>
          <w:rFonts w:ascii="Arial" w:cs="Arial" w:eastAsia="Arial" w:hAnsi="Arial"/>
          <w:sz w:val="13"/>
          <w:szCs w:val="13"/>
          <w:color w:val="auto"/>
        </w:rPr>
        <w:t>Performance Coatings Group, Global</w:t>
      </w:r>
    </w:p>
    <w:p>
      <w:pPr>
        <w:ind w:left="160"/>
        <w:spacing w:after="0"/>
        <w:rPr>
          <w:sz w:val="20"/>
          <w:szCs w:val="20"/>
          <w:color w:val="auto"/>
        </w:rPr>
      </w:pPr>
      <w:r>
        <w:rPr>
          <w:rFonts w:ascii="Arial" w:cs="Arial" w:eastAsia="Arial" w:hAnsi="Arial"/>
          <w:sz w:val="13"/>
          <w:szCs w:val="13"/>
          <w:color w:val="auto"/>
        </w:rPr>
        <w:t>Packaging</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Sherwin Williams Company -</w:t>
      </w:r>
    </w:p>
    <w:p>
      <w:pPr>
        <w:ind w:left="160"/>
        <w:spacing w:after="0" w:line="225" w:lineRule="auto"/>
        <w:rPr>
          <w:sz w:val="20"/>
          <w:szCs w:val="20"/>
          <w:color w:val="auto"/>
        </w:rPr>
      </w:pPr>
      <w:r>
        <w:rPr>
          <w:rFonts w:ascii="Arial" w:cs="Arial" w:eastAsia="Arial" w:hAnsi="Arial"/>
          <w:sz w:val="13"/>
          <w:szCs w:val="13"/>
          <w:color w:val="auto"/>
        </w:rPr>
        <w:t>Performance Coatings Group, Global</w:t>
      </w:r>
    </w:p>
    <w:p>
      <w:pPr>
        <w:ind w:left="160"/>
        <w:spacing w:after="0"/>
        <w:rPr>
          <w:sz w:val="20"/>
          <w:szCs w:val="20"/>
          <w:color w:val="auto"/>
        </w:rPr>
      </w:pPr>
      <w:r>
        <w:rPr>
          <w:rFonts w:ascii="Arial" w:cs="Arial" w:eastAsia="Arial" w:hAnsi="Arial"/>
          <w:sz w:val="13"/>
          <w:szCs w:val="13"/>
          <w:color w:val="auto"/>
        </w:rPr>
        <w:t>Packaging, Coil Coatings Business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Sherwin Williams Company -</w:t>
      </w:r>
    </w:p>
    <w:p>
      <w:pPr>
        <w:ind w:left="160"/>
        <w:spacing w:after="0" w:line="225" w:lineRule="auto"/>
        <w:rPr>
          <w:sz w:val="20"/>
          <w:szCs w:val="20"/>
          <w:color w:val="auto"/>
        </w:rPr>
      </w:pPr>
      <w:r>
        <w:rPr>
          <w:rFonts w:ascii="Arial" w:cs="Arial" w:eastAsia="Arial" w:hAnsi="Arial"/>
          <w:sz w:val="13"/>
          <w:szCs w:val="13"/>
          <w:color w:val="auto"/>
        </w:rPr>
        <w:t>Performance Coatings Group, Industrial</w:t>
      </w:r>
    </w:p>
    <w:p>
      <w:pPr>
        <w:ind w:left="160"/>
        <w:spacing w:after="0"/>
        <w:rPr>
          <w:sz w:val="20"/>
          <w:szCs w:val="20"/>
          <w:color w:val="auto"/>
        </w:rPr>
      </w:pPr>
      <w:r>
        <w:rPr>
          <w:rFonts w:ascii="Arial" w:cs="Arial" w:eastAsia="Arial" w:hAnsi="Arial"/>
          <w:sz w:val="13"/>
          <w:szCs w:val="13"/>
          <w:color w:val="auto"/>
        </w:rPr>
        <w:t>Wood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Sherwin-Williams Company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Performance Coatings Group, Automotive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The Sherwin-Williams Company -</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Performance Coatings Group, Protective &amp;</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Marine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Sherwin-Williams Company - 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Americas Group</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Stratton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Sundt Companies,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Taubman Company,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TJX Companies,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Travelers Companies,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Chicago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Texas System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Texas System - Oil &amp; Gas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Division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Texas System - 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University of Texas at Arlington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Texas System - 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University of Texas at Dallas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Texas System - 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University of Texas at El Paso</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Texas System - 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University of Texas at Tyler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Texas System - The</w:t>
      </w:r>
    </w:p>
    <w:p>
      <w:pPr>
        <w:spacing w:after="0" w:line="1" w:lineRule="exact"/>
        <w:rPr>
          <w:sz w:val="20"/>
          <w:szCs w:val="20"/>
          <w:color w:val="auto"/>
        </w:rPr>
      </w:pPr>
    </w:p>
    <w:p>
      <w:pPr>
        <w:ind w:left="160" w:right="280"/>
        <w:spacing w:after="0" w:line="235" w:lineRule="auto"/>
        <w:rPr>
          <w:sz w:val="20"/>
          <w:szCs w:val="20"/>
          <w:color w:val="auto"/>
        </w:rPr>
      </w:pPr>
      <w:r>
        <w:rPr>
          <w:rFonts w:ascii="Arial" w:cs="Arial" w:eastAsia="Arial" w:hAnsi="Arial"/>
          <w:sz w:val="13"/>
          <w:szCs w:val="13"/>
          <w:color w:val="auto"/>
        </w:rPr>
        <w:t>University of Texas Medical Branch at Galveston</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Texas System - The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University of Texas Rio Grande Valley</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Texas System - University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of Texas Health Science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Texas System - University</w:t>
      </w:r>
    </w:p>
    <w:p>
      <w:pPr>
        <w:ind w:left="160"/>
        <w:spacing w:after="0" w:line="225" w:lineRule="auto"/>
        <w:rPr>
          <w:sz w:val="20"/>
          <w:szCs w:val="20"/>
          <w:color w:val="auto"/>
        </w:rPr>
      </w:pPr>
      <w:r>
        <w:rPr>
          <w:rFonts w:ascii="Arial" w:cs="Arial" w:eastAsia="Arial" w:hAnsi="Arial"/>
          <w:sz w:val="13"/>
          <w:szCs w:val="13"/>
          <w:color w:val="auto"/>
        </w:rPr>
        <w:t>of Texas Health Science Center at San</w:t>
      </w:r>
    </w:p>
    <w:p>
      <w:pPr>
        <w:ind w:left="160"/>
        <w:spacing w:after="0"/>
        <w:rPr>
          <w:sz w:val="20"/>
          <w:szCs w:val="20"/>
          <w:color w:val="auto"/>
        </w:rPr>
      </w:pPr>
      <w:r>
        <w:rPr>
          <w:rFonts w:ascii="Arial" w:cs="Arial" w:eastAsia="Arial" w:hAnsi="Arial"/>
          <w:sz w:val="13"/>
          <w:szCs w:val="13"/>
          <w:color w:val="auto"/>
        </w:rPr>
        <w:t>Antonio</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Texas System - University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of Texas Health Science Center at Tyler</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The University of Texas System - University</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of Texas MD Anderson Cancer Center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University of Texas System - University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of Texas Southwestern Medical Center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Vanguard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Walt Disney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866775</wp:posOffset>
            </wp:positionV>
            <wp:extent cx="7141210"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The Walt Disney Company - Disney Parks,</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Experiences &amp; Products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The Williams Companies,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 Wonderful Company</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The Wonderful Company - Roll Law Group</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Thelios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Thermo King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Thermon Group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Third Bridge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Thomson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Thomson Reuters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Thorntons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Thrivent Financial</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ThyssenKrupp AG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Tiffany &amp; Co.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Title Nine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Title Resource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TK Elevator United States BU NA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TK Elevator United States Corporate B-1</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TMEIC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TODO1 Services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Tokai Carbon US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Tokio Marine Highland</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Tokyo Electron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Toll Global Forwarding (USA),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TOMS Shoes,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Torrid,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Toshiba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Total Quality Logistics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TotalEnergies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Tower Hill Insurance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Toyota Boshoku America,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Toyota North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TPC Group,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TPI Composites,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Tractor Supply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Trane Latin America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Trane Technologies Company, LLC</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Trane Technologies Company, LLC - CFO</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Trane Technologies Company, LLC - Trane</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Comfort Specialist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Trane Technologies Financial Services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Corporation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Trane U.S.,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Transamerica - Life Insurance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TransCanada Corporation (US)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Transcontinental</w:t>
      </w:r>
    </w:p>
    <w:p>
      <w:pPr>
        <w:spacing w:after="0" w:line="20" w:lineRule="exact"/>
        <w:rPr>
          <w:sz w:val="20"/>
          <w:szCs w:val="20"/>
          <w:color w:val="auto"/>
        </w:rPr>
      </w:pPr>
      <w:r>
        <w:rPr>
          <w:sz w:val="20"/>
          <w:szCs w:val="20"/>
          <w:color w:val="auto"/>
        </w:rPr>
        <w:br w:type="column"/>
      </w:r>
    </w:p>
    <w:p>
      <w:pPr>
        <w:ind w:right="900"/>
        <w:spacing w:after="0" w:line="303" w:lineRule="auto"/>
        <w:rPr>
          <w:sz w:val="20"/>
          <w:szCs w:val="20"/>
          <w:color w:val="auto"/>
        </w:rPr>
      </w:pPr>
      <w:r>
        <w:rPr>
          <w:rFonts w:ascii="Arial" w:cs="Arial" w:eastAsia="Arial" w:hAnsi="Arial"/>
          <w:sz w:val="13"/>
          <w:szCs w:val="13"/>
          <w:color w:val="auto"/>
        </w:rPr>
        <w:t>TransMontaigne Partners, LLC Transocean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-231140</wp:posOffset>
            </wp:positionV>
            <wp:extent cx="8255" cy="5979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597916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Travel + Leisure Co.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Travere Therapeutics, Inc.</w:t>
      </w:r>
    </w:p>
    <w:p>
      <w:pPr>
        <w:spacing w:after="0" w:line="40" w:lineRule="exact"/>
        <w:rPr>
          <w:sz w:val="20"/>
          <w:szCs w:val="20"/>
          <w:color w:val="auto"/>
        </w:rPr>
      </w:pPr>
    </w:p>
    <w:p>
      <w:pPr>
        <w:ind w:right="220"/>
        <w:spacing w:after="0" w:line="303" w:lineRule="auto"/>
        <w:rPr>
          <w:sz w:val="20"/>
          <w:szCs w:val="20"/>
          <w:color w:val="auto"/>
        </w:rPr>
      </w:pPr>
      <w:r>
        <w:rPr>
          <w:rFonts w:ascii="Arial" w:cs="Arial" w:eastAsia="Arial" w:hAnsi="Arial"/>
          <w:sz w:val="13"/>
          <w:szCs w:val="13"/>
          <w:color w:val="auto"/>
        </w:rPr>
        <w:t>Treasury Wine Estates Americas Company TreeHouse Foods, Inc.</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Trelleborg Wheel Systems Americas,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Tri Counties Bank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Tri-Arrows Aluminum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Tricon American Homes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TriHealth,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Trimble,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TRIMEDX, LLC</w:t>
      </w:r>
    </w:p>
    <w:p>
      <w:pPr>
        <w:spacing w:after="0" w:line="40" w:lineRule="exact"/>
        <w:rPr>
          <w:sz w:val="20"/>
          <w:szCs w:val="20"/>
          <w:color w:val="auto"/>
        </w:rPr>
      </w:pPr>
    </w:p>
    <w:p>
      <w:pPr>
        <w:ind w:left="160" w:right="260" w:hanging="151"/>
        <w:spacing w:after="0" w:line="249" w:lineRule="auto"/>
        <w:rPr>
          <w:sz w:val="20"/>
          <w:szCs w:val="20"/>
          <w:color w:val="auto"/>
        </w:rPr>
      </w:pPr>
      <w:r>
        <w:rPr>
          <w:rFonts w:ascii="Arial" w:cs="Arial" w:eastAsia="Arial" w:hAnsi="Arial"/>
          <w:sz w:val="13"/>
          <w:szCs w:val="13"/>
          <w:color w:val="auto"/>
        </w:rPr>
        <w:t>Trinchero Family Estates dba Sutter Home Winery</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Trinity Church Wall Street</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Trinity Health - St. Joseph Mercy - Oakland</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Trinity Industries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Trinseo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Triumph Group,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True Partners Consulting,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TruGreen Limited Partnership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Truist Financial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TSA</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TTEC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TTI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TTM Technologies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Tufts Medical Center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Tufts University</w:t>
      </w:r>
    </w:p>
    <w:p>
      <w:pPr>
        <w:spacing w:after="0" w:line="40" w:lineRule="exact"/>
        <w:rPr>
          <w:sz w:val="20"/>
          <w:szCs w:val="20"/>
          <w:color w:val="auto"/>
        </w:rPr>
      </w:pPr>
    </w:p>
    <w:p>
      <w:pPr>
        <w:ind w:right="840"/>
        <w:spacing w:after="0" w:line="303" w:lineRule="auto"/>
        <w:rPr>
          <w:sz w:val="20"/>
          <w:szCs w:val="20"/>
          <w:color w:val="auto"/>
        </w:rPr>
      </w:pPr>
      <w:r>
        <w:rPr>
          <w:rFonts w:ascii="Arial" w:cs="Arial" w:eastAsia="Arial" w:hAnsi="Arial"/>
          <w:sz w:val="13"/>
          <w:szCs w:val="13"/>
          <w:color w:val="auto"/>
        </w:rPr>
        <w:t>Tupperware Brands Corporation Turner Construction Company TUV SUD America, Inc. Twin-Star International Tyson Foods, Inc.</w:t>
      </w:r>
    </w:p>
    <w:p>
      <w:pPr>
        <w:spacing w:after="0" w:line="3" w:lineRule="exact"/>
        <w:rPr>
          <w:sz w:val="20"/>
          <w:szCs w:val="20"/>
          <w:color w:val="auto"/>
        </w:rPr>
      </w:pPr>
    </w:p>
    <w:p>
      <w:pPr>
        <w:ind w:right="860"/>
        <w:spacing w:after="0" w:line="303" w:lineRule="auto"/>
        <w:rPr>
          <w:sz w:val="20"/>
          <w:szCs w:val="20"/>
          <w:color w:val="auto"/>
        </w:rPr>
      </w:pPr>
      <w:r>
        <w:rPr>
          <w:rFonts w:ascii="Arial" w:cs="Arial" w:eastAsia="Arial" w:hAnsi="Arial"/>
          <w:sz w:val="13"/>
          <w:szCs w:val="13"/>
          <w:color w:val="auto"/>
        </w:rPr>
        <w:t>U.S. Pharmacopeia Convention Uber Technologies, Inc. UCB,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UCHealth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UChicago Medicine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Ulteig Engineers, Inc.</w:t>
      </w:r>
    </w:p>
    <w:p>
      <w:pPr>
        <w:spacing w:after="0" w:line="40" w:lineRule="exact"/>
        <w:rPr>
          <w:sz w:val="20"/>
          <w:szCs w:val="20"/>
          <w:color w:val="auto"/>
        </w:rPr>
      </w:pPr>
    </w:p>
    <w:p>
      <w:pPr>
        <w:ind w:right="840"/>
        <w:spacing w:after="0" w:line="303" w:lineRule="auto"/>
        <w:rPr>
          <w:sz w:val="20"/>
          <w:szCs w:val="20"/>
          <w:color w:val="auto"/>
        </w:rPr>
      </w:pPr>
      <w:r>
        <w:rPr>
          <w:rFonts w:ascii="Arial" w:cs="Arial" w:eastAsia="Arial" w:hAnsi="Arial"/>
          <w:sz w:val="13"/>
          <w:szCs w:val="13"/>
          <w:color w:val="auto"/>
        </w:rPr>
        <w:t>Ultimate Medical Academy, LLC Ultragenyx Pharmaceutical UMB Financial Corporation UMUC Ventures Under Armour</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UniFirst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UNITE HERE HEALTH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United Airlines Holdings,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United Launch Alliance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United Malt Group United States</w:t>
      </w:r>
    </w:p>
    <w:p>
      <w:pPr>
        <w:spacing w:after="0" w:line="200" w:lineRule="exact"/>
        <w:rPr>
          <w:sz w:val="20"/>
          <w:szCs w:val="20"/>
          <w:color w:val="auto"/>
        </w:rPr>
      </w:pPr>
    </w:p>
    <w:p>
      <w:pPr>
        <w:sectPr>
          <w:pgSz w:w="11900" w:h="16838" w:orient="portrait"/>
          <w:cols w:equalWidth="0" w:num="4">
            <w:col w:w="2640" w:space="340"/>
            <w:col w:w="2540" w:space="280"/>
            <w:col w:w="2400" w:space="400"/>
            <w:col w:w="2640"/>
          </w:cols>
          <w:pgMar w:left="320" w:top="771" w:right="339" w:bottom="1440" w:gutter="0" w:footer="0" w:header="0"/>
        </w:sectPr>
      </w:pPr>
    </w:p>
    <w:p>
      <w:pPr>
        <w:spacing w:after="0" w:line="342"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71" w:name="page72"/>
    <w:bookmarkEnd w:id="71"/>
    <w:tbl>
      <w:tblPr>
        <w:tblLayout w:type="fixed"/>
        <w:tblInd w:w="160" w:type="dxa"/>
        <w:tblCellMar>
          <w:top w:w="0" w:type="dxa"/>
          <w:left w:w="0" w:type="dxa"/>
          <w:bottom w:w="0" w:type="dxa"/>
          <w:right w:w="0" w:type="dxa"/>
        </w:tblCellMar>
      </w:tblPr>
      <w:tr>
        <w:trPr>
          <w:trHeight w:val="166"/>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United Natural Foods, Inc.</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UPM-Kymmene, Inc. - Raflatac, Inc.</w:t>
            </w:r>
          </w:p>
        </w:tc>
        <w:tc>
          <w:tcPr>
            <w:tcW w:w="2440" w:type="dxa"/>
            <w:vAlign w:val="bottom"/>
          </w:tcPr>
          <w:p>
            <w:pPr>
              <w:ind w:left="140"/>
              <w:spacing w:after="0"/>
              <w:rPr>
                <w:sz w:val="20"/>
                <w:szCs w:val="20"/>
                <w:color w:val="auto"/>
              </w:rPr>
            </w:pPr>
            <w:r>
              <w:rPr>
                <w:rFonts w:ascii="Arial" w:cs="Arial" w:eastAsia="Arial" w:hAnsi="Arial"/>
                <w:sz w:val="13"/>
                <w:szCs w:val="13"/>
                <w:color w:val="auto"/>
              </w:rPr>
              <w:t>VF Corporation - Williamson- Dickie</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United Parcel Service, Inc.</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UPM-Kymmene, Inc. - Specialty Papers</w:t>
            </w:r>
          </w:p>
        </w:tc>
        <w:tc>
          <w:tcPr>
            <w:tcW w:w="2440" w:type="dxa"/>
            <w:vAlign w:val="bottom"/>
          </w:tcPr>
          <w:p>
            <w:pPr>
              <w:ind w:left="140"/>
              <w:spacing w:after="0"/>
              <w:rPr>
                <w:sz w:val="20"/>
                <w:szCs w:val="20"/>
                <w:color w:val="auto"/>
              </w:rPr>
            </w:pPr>
            <w:r>
              <w:rPr>
                <w:rFonts w:ascii="Arial" w:cs="Arial" w:eastAsia="Arial" w:hAnsi="Arial"/>
                <w:sz w:val="13"/>
                <w:szCs w:val="13"/>
                <w:color w:val="auto"/>
              </w:rPr>
              <w:t>VF Corporation (VFC)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United Properties Investment, LLC</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Uponor, Inc.</w:t>
            </w:r>
          </w:p>
        </w:tc>
        <w:tc>
          <w:tcPr>
            <w:tcW w:w="2440" w:type="dxa"/>
            <w:vAlign w:val="bottom"/>
          </w:tcPr>
          <w:p>
            <w:pPr>
              <w:ind w:left="140"/>
              <w:spacing w:after="0"/>
              <w:rPr>
                <w:sz w:val="20"/>
                <w:szCs w:val="20"/>
                <w:color w:val="auto"/>
              </w:rPr>
            </w:pPr>
            <w:r>
              <w:rPr>
                <w:rFonts w:ascii="Arial" w:cs="Arial" w:eastAsia="Arial" w:hAnsi="Arial"/>
                <w:sz w:val="13"/>
                <w:szCs w:val="13"/>
                <w:color w:val="auto"/>
              </w:rPr>
              <w:t>Viatris,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United Rentals, Inc.</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Upsher-Smith Laboratories, LLC</w:t>
            </w:r>
          </w:p>
        </w:tc>
        <w:tc>
          <w:tcPr>
            <w:tcW w:w="2440" w:type="dxa"/>
            <w:vAlign w:val="bottom"/>
          </w:tcPr>
          <w:p>
            <w:pPr>
              <w:ind w:left="140"/>
              <w:spacing w:after="0"/>
              <w:rPr>
                <w:sz w:val="20"/>
                <w:szCs w:val="20"/>
                <w:color w:val="auto"/>
              </w:rPr>
            </w:pPr>
            <w:r>
              <w:rPr>
                <w:rFonts w:ascii="Arial" w:cs="Arial" w:eastAsia="Arial" w:hAnsi="Arial"/>
                <w:sz w:val="13"/>
                <w:szCs w:val="13"/>
                <w:color w:val="auto"/>
              </w:rPr>
              <w:t>Vicinity Energy</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United States Olympic Committee (USOC)</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Urban Oil &amp; Gas Group</w:t>
            </w:r>
          </w:p>
        </w:tc>
        <w:tc>
          <w:tcPr>
            <w:tcW w:w="2440" w:type="dxa"/>
            <w:vAlign w:val="bottom"/>
          </w:tcPr>
          <w:p>
            <w:pPr>
              <w:ind w:left="140"/>
              <w:spacing w:after="0"/>
              <w:rPr>
                <w:sz w:val="20"/>
                <w:szCs w:val="20"/>
                <w:color w:val="auto"/>
              </w:rPr>
            </w:pPr>
            <w:r>
              <w:rPr>
                <w:rFonts w:ascii="Arial" w:cs="Arial" w:eastAsia="Arial" w:hAnsi="Arial"/>
                <w:sz w:val="13"/>
                <w:szCs w:val="13"/>
                <w:color w:val="auto"/>
              </w:rPr>
              <w:t>Victoria’s Secret &amp; Co.</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United States Steel Corporation</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Urban Outfitters, Inc.</w:t>
            </w:r>
          </w:p>
        </w:tc>
        <w:tc>
          <w:tcPr>
            <w:tcW w:w="2440" w:type="dxa"/>
            <w:vAlign w:val="bottom"/>
          </w:tcPr>
          <w:p>
            <w:pPr>
              <w:ind w:left="140"/>
              <w:spacing w:after="0"/>
              <w:rPr>
                <w:sz w:val="20"/>
                <w:szCs w:val="20"/>
                <w:color w:val="auto"/>
              </w:rPr>
            </w:pPr>
            <w:r>
              <w:rPr>
                <w:rFonts w:ascii="Arial" w:cs="Arial" w:eastAsia="Arial" w:hAnsi="Arial"/>
                <w:sz w:val="13"/>
                <w:szCs w:val="13"/>
                <w:color w:val="auto"/>
              </w:rPr>
              <w:t>Videojet</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United States Sugar Corporation</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US Foods Holding Corp.</w:t>
            </w:r>
          </w:p>
        </w:tc>
        <w:tc>
          <w:tcPr>
            <w:tcW w:w="2440" w:type="dxa"/>
            <w:vAlign w:val="bottom"/>
          </w:tcPr>
          <w:p>
            <w:pPr>
              <w:ind w:left="140"/>
              <w:spacing w:after="0"/>
              <w:rPr>
                <w:sz w:val="20"/>
                <w:szCs w:val="20"/>
                <w:color w:val="auto"/>
              </w:rPr>
            </w:pPr>
            <w:r>
              <w:rPr>
                <w:rFonts w:ascii="Arial" w:cs="Arial" w:eastAsia="Arial" w:hAnsi="Arial"/>
                <w:sz w:val="13"/>
                <w:szCs w:val="13"/>
                <w:color w:val="auto"/>
              </w:rPr>
              <w:t>Vinson &amp; Elkins, LLP</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United Therapeutics Corporation</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US LBM Holdings</w:t>
            </w:r>
          </w:p>
        </w:tc>
        <w:tc>
          <w:tcPr>
            <w:tcW w:w="2440" w:type="dxa"/>
            <w:vAlign w:val="bottom"/>
          </w:tcPr>
          <w:p>
            <w:pPr>
              <w:ind w:left="140"/>
              <w:spacing w:after="0"/>
              <w:rPr>
                <w:sz w:val="20"/>
                <w:szCs w:val="20"/>
                <w:color w:val="auto"/>
              </w:rPr>
            </w:pPr>
            <w:r>
              <w:rPr>
                <w:rFonts w:ascii="Arial" w:cs="Arial" w:eastAsia="Arial" w:hAnsi="Arial"/>
                <w:sz w:val="13"/>
                <w:szCs w:val="13"/>
                <w:color w:val="auto"/>
              </w:rPr>
              <w:t>Virbac Corporation</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UnitedHealth Group</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US Synthetic Corporation</w:t>
            </w:r>
          </w:p>
        </w:tc>
        <w:tc>
          <w:tcPr>
            <w:tcW w:w="2440" w:type="dxa"/>
            <w:vAlign w:val="bottom"/>
          </w:tcPr>
          <w:p>
            <w:pPr>
              <w:ind w:left="140"/>
              <w:spacing w:after="0"/>
              <w:rPr>
                <w:sz w:val="20"/>
                <w:szCs w:val="20"/>
                <w:color w:val="auto"/>
              </w:rPr>
            </w:pPr>
            <w:r>
              <w:rPr>
                <w:rFonts w:ascii="Arial" w:cs="Arial" w:eastAsia="Arial" w:hAnsi="Arial"/>
                <w:sz w:val="13"/>
                <w:szCs w:val="13"/>
                <w:color w:val="auto"/>
              </w:rPr>
              <w:t>Virtua Health,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UnitedHealth Group - Surgical Care Affiliates</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US WorldMeds, LLC</w:t>
            </w:r>
          </w:p>
        </w:tc>
        <w:tc>
          <w:tcPr>
            <w:tcW w:w="2440" w:type="dxa"/>
            <w:vAlign w:val="bottom"/>
          </w:tcPr>
          <w:p>
            <w:pPr>
              <w:ind w:left="140"/>
              <w:spacing w:after="0"/>
              <w:rPr>
                <w:sz w:val="20"/>
                <w:szCs w:val="20"/>
                <w:color w:val="auto"/>
              </w:rPr>
            </w:pPr>
            <w:r>
              <w:rPr>
                <w:rFonts w:ascii="Arial" w:cs="Arial" w:eastAsia="Arial" w:hAnsi="Arial"/>
                <w:sz w:val="13"/>
                <w:szCs w:val="13"/>
                <w:color w:val="auto"/>
              </w:rPr>
              <w:t>Viskase Companies,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UnityPoint Health</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UW Health</w:t>
            </w:r>
          </w:p>
        </w:tc>
        <w:tc>
          <w:tcPr>
            <w:tcW w:w="2440" w:type="dxa"/>
            <w:vAlign w:val="bottom"/>
          </w:tcPr>
          <w:p>
            <w:pPr>
              <w:ind w:left="140"/>
              <w:spacing w:after="0"/>
              <w:rPr>
                <w:sz w:val="20"/>
                <w:szCs w:val="20"/>
                <w:color w:val="auto"/>
              </w:rPr>
            </w:pPr>
            <w:r>
              <w:rPr>
                <w:rFonts w:ascii="Arial" w:cs="Arial" w:eastAsia="Arial" w:hAnsi="Arial"/>
                <w:sz w:val="13"/>
                <w:szCs w:val="13"/>
                <w:color w:val="auto"/>
              </w:rPr>
              <w:t>Vistra Corp.</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Univar Solutions, Inc.</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Vail Resorts, Inc.</w:t>
            </w:r>
          </w:p>
        </w:tc>
        <w:tc>
          <w:tcPr>
            <w:tcW w:w="2440" w:type="dxa"/>
            <w:vAlign w:val="bottom"/>
          </w:tcPr>
          <w:p>
            <w:pPr>
              <w:ind w:left="140"/>
              <w:spacing w:after="0"/>
              <w:rPr>
                <w:sz w:val="20"/>
                <w:szCs w:val="20"/>
                <w:color w:val="auto"/>
              </w:rPr>
            </w:pPr>
            <w:r>
              <w:rPr>
                <w:rFonts w:ascii="Arial" w:cs="Arial" w:eastAsia="Arial" w:hAnsi="Arial"/>
                <w:sz w:val="13"/>
                <w:szCs w:val="13"/>
                <w:color w:val="auto"/>
              </w:rPr>
              <w:t>Vital Proteins, LLC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Universal Health Services (UHS)</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Valaris Limited</w:t>
            </w:r>
          </w:p>
        </w:tc>
        <w:tc>
          <w:tcPr>
            <w:tcW w:w="2440" w:type="dxa"/>
            <w:vAlign w:val="bottom"/>
          </w:tcPr>
          <w:p>
            <w:pPr>
              <w:ind w:left="140"/>
              <w:spacing w:after="0"/>
              <w:rPr>
                <w:sz w:val="20"/>
                <w:szCs w:val="20"/>
                <w:color w:val="auto"/>
              </w:rPr>
            </w:pPr>
            <w:r>
              <w:rPr>
                <w:rFonts w:ascii="Arial" w:cs="Arial" w:eastAsia="Arial" w:hAnsi="Arial"/>
                <w:sz w:val="13"/>
                <w:szCs w:val="13"/>
                <w:color w:val="auto"/>
              </w:rPr>
              <w:t>Vitamix Holdings Co</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Universal Pressure Pumping, Inc.</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Valent USA, LLC</w:t>
            </w:r>
          </w:p>
        </w:tc>
        <w:tc>
          <w:tcPr>
            <w:tcW w:w="2440" w:type="dxa"/>
            <w:vAlign w:val="bottom"/>
          </w:tcPr>
          <w:p>
            <w:pPr>
              <w:ind w:left="140"/>
              <w:spacing w:after="0"/>
              <w:rPr>
                <w:sz w:val="20"/>
                <w:szCs w:val="20"/>
                <w:color w:val="auto"/>
              </w:rPr>
            </w:pPr>
            <w:r>
              <w:rPr>
                <w:rFonts w:ascii="Arial" w:cs="Arial" w:eastAsia="Arial" w:hAnsi="Arial"/>
                <w:sz w:val="13"/>
                <w:szCs w:val="13"/>
                <w:color w:val="auto"/>
              </w:rPr>
              <w:t>Vitesco Technologies USA LLC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Health</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Valero Energy Corporation</w:t>
            </w:r>
          </w:p>
        </w:tc>
        <w:tc>
          <w:tcPr>
            <w:tcW w:w="2440" w:type="dxa"/>
            <w:vAlign w:val="bottom"/>
          </w:tcPr>
          <w:p>
            <w:pPr>
              <w:ind w:left="140"/>
              <w:spacing w:after="0"/>
              <w:rPr>
                <w:sz w:val="20"/>
                <w:szCs w:val="20"/>
                <w:color w:val="auto"/>
              </w:rPr>
            </w:pPr>
            <w:r>
              <w:rPr>
                <w:rFonts w:ascii="Arial" w:cs="Arial" w:eastAsia="Arial" w:hAnsi="Arial"/>
                <w:sz w:val="13"/>
                <w:szCs w:val="13"/>
                <w:color w:val="auto"/>
              </w:rPr>
              <w:t>Vizient</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California - Berkeley</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Vallourec Star, LP</w:t>
            </w:r>
          </w:p>
        </w:tc>
        <w:tc>
          <w:tcPr>
            <w:tcW w:w="2440" w:type="dxa"/>
            <w:vAlign w:val="bottom"/>
          </w:tcPr>
          <w:p>
            <w:pPr>
              <w:ind w:left="140"/>
              <w:spacing w:after="0"/>
              <w:rPr>
                <w:sz w:val="20"/>
                <w:szCs w:val="20"/>
                <w:color w:val="auto"/>
              </w:rPr>
            </w:pPr>
            <w:r>
              <w:rPr>
                <w:rFonts w:ascii="Arial" w:cs="Arial" w:eastAsia="Arial" w:hAnsi="Arial"/>
                <w:sz w:val="13"/>
                <w:szCs w:val="13"/>
                <w:color w:val="auto"/>
              </w:rPr>
              <w:t>VMware,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California - Davis</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Vallourec Tube-Alloy, LLC</w:t>
            </w:r>
          </w:p>
        </w:tc>
        <w:tc>
          <w:tcPr>
            <w:tcW w:w="2440" w:type="dxa"/>
            <w:vAlign w:val="bottom"/>
          </w:tcPr>
          <w:p>
            <w:pPr>
              <w:ind w:left="140"/>
              <w:spacing w:after="0"/>
              <w:rPr>
                <w:sz w:val="20"/>
                <w:szCs w:val="20"/>
                <w:color w:val="auto"/>
              </w:rPr>
            </w:pPr>
            <w:r>
              <w:rPr>
                <w:rFonts w:ascii="Arial" w:cs="Arial" w:eastAsia="Arial" w:hAnsi="Arial"/>
                <w:sz w:val="13"/>
                <w:szCs w:val="13"/>
                <w:color w:val="auto"/>
              </w:rPr>
              <w:t>Volkswagen Credit,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California - Irvine</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Vallourec USA Corporation</w:t>
            </w:r>
          </w:p>
        </w:tc>
        <w:tc>
          <w:tcPr>
            <w:tcW w:w="2440" w:type="dxa"/>
            <w:vAlign w:val="bottom"/>
          </w:tcPr>
          <w:p>
            <w:pPr>
              <w:ind w:left="140"/>
              <w:spacing w:after="0"/>
              <w:rPr>
                <w:sz w:val="20"/>
                <w:szCs w:val="20"/>
                <w:color w:val="auto"/>
              </w:rPr>
            </w:pPr>
            <w:r>
              <w:rPr>
                <w:rFonts w:ascii="Arial" w:cs="Arial" w:eastAsia="Arial" w:hAnsi="Arial"/>
                <w:sz w:val="13"/>
                <w:szCs w:val="13"/>
                <w:color w:val="auto"/>
              </w:rPr>
              <w:t>Volkswagen Group of America,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California - Los Angeles</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Valmet, Inc.</w:t>
            </w:r>
          </w:p>
        </w:tc>
        <w:tc>
          <w:tcPr>
            <w:tcW w:w="2440" w:type="dxa"/>
            <w:vAlign w:val="bottom"/>
          </w:tcPr>
          <w:p>
            <w:pPr>
              <w:ind w:left="140"/>
              <w:spacing w:after="0"/>
              <w:rPr>
                <w:sz w:val="20"/>
                <w:szCs w:val="20"/>
                <w:color w:val="auto"/>
              </w:rPr>
            </w:pPr>
            <w:r>
              <w:rPr>
                <w:rFonts w:ascii="Arial" w:cs="Arial" w:eastAsia="Arial" w:hAnsi="Arial"/>
                <w:sz w:val="13"/>
                <w:szCs w:val="13"/>
                <w:color w:val="auto"/>
              </w:rPr>
              <w:t>Volvo Group North America</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California - Merced</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VAM USA, LLC</w:t>
            </w:r>
          </w:p>
        </w:tc>
        <w:tc>
          <w:tcPr>
            <w:tcW w:w="2440" w:type="dxa"/>
            <w:vAlign w:val="bottom"/>
          </w:tcPr>
          <w:p>
            <w:pPr>
              <w:ind w:left="140"/>
              <w:spacing w:after="0"/>
              <w:rPr>
                <w:sz w:val="20"/>
                <w:szCs w:val="20"/>
                <w:color w:val="auto"/>
              </w:rPr>
            </w:pPr>
            <w:r>
              <w:rPr>
                <w:rFonts w:ascii="Arial" w:cs="Arial" w:eastAsia="Arial" w:hAnsi="Arial"/>
                <w:sz w:val="13"/>
                <w:szCs w:val="13"/>
                <w:color w:val="auto"/>
              </w:rPr>
              <w:t>Vontier</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California - Riverside</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Vanda Pharmaceuticals, Inc.</w:t>
            </w:r>
          </w:p>
        </w:tc>
        <w:tc>
          <w:tcPr>
            <w:tcW w:w="2440" w:type="dxa"/>
            <w:vAlign w:val="bottom"/>
          </w:tcPr>
          <w:p>
            <w:pPr>
              <w:ind w:left="140"/>
              <w:spacing w:after="0"/>
              <w:rPr>
                <w:sz w:val="20"/>
                <w:szCs w:val="20"/>
                <w:color w:val="auto"/>
              </w:rPr>
            </w:pPr>
            <w:r>
              <w:rPr>
                <w:rFonts w:ascii="Arial" w:cs="Arial" w:eastAsia="Arial" w:hAnsi="Arial"/>
                <w:sz w:val="13"/>
                <w:szCs w:val="13"/>
                <w:color w:val="auto"/>
              </w:rPr>
              <w:t>W. L. Gore &amp; Associates,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California - San Diego</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Vanderbilt University</w:t>
            </w:r>
          </w:p>
        </w:tc>
        <w:tc>
          <w:tcPr>
            <w:tcW w:w="2440" w:type="dxa"/>
            <w:vAlign w:val="bottom"/>
          </w:tcPr>
          <w:p>
            <w:pPr>
              <w:ind w:left="140"/>
              <w:spacing w:after="0"/>
              <w:rPr>
                <w:sz w:val="20"/>
                <w:szCs w:val="20"/>
                <w:color w:val="auto"/>
              </w:rPr>
            </w:pPr>
            <w:r>
              <w:rPr>
                <w:rFonts w:ascii="Arial" w:cs="Arial" w:eastAsia="Arial" w:hAnsi="Arial"/>
                <w:sz w:val="13"/>
                <w:szCs w:val="13"/>
                <w:color w:val="auto"/>
              </w:rPr>
              <w:t>W.R. Grace &amp; Co.</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California - San Francisco</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Vanderbilt University Medical Center</w:t>
            </w:r>
          </w:p>
        </w:tc>
        <w:tc>
          <w:tcPr>
            <w:tcW w:w="2440" w:type="dxa"/>
            <w:vAlign w:val="bottom"/>
          </w:tcPr>
          <w:p>
            <w:pPr>
              <w:ind w:left="140"/>
              <w:spacing w:after="0"/>
              <w:rPr>
                <w:sz w:val="20"/>
                <w:szCs w:val="20"/>
                <w:color w:val="auto"/>
              </w:rPr>
            </w:pPr>
            <w:r>
              <w:rPr>
                <w:rFonts w:ascii="Arial" w:cs="Arial" w:eastAsia="Arial" w:hAnsi="Arial"/>
                <w:sz w:val="13"/>
                <w:szCs w:val="13"/>
                <w:color w:val="auto"/>
              </w:rPr>
              <w:t>W.W. Grainger</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California - Santa Barbara</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Varroc Lighting Systems, Inc.</w:t>
            </w:r>
          </w:p>
        </w:tc>
        <w:tc>
          <w:tcPr>
            <w:tcW w:w="2440" w:type="dxa"/>
            <w:vAlign w:val="bottom"/>
          </w:tcPr>
          <w:p>
            <w:pPr>
              <w:ind w:left="140"/>
              <w:spacing w:after="0"/>
              <w:rPr>
                <w:sz w:val="20"/>
                <w:szCs w:val="20"/>
                <w:color w:val="auto"/>
              </w:rPr>
            </w:pPr>
            <w:r>
              <w:rPr>
                <w:rFonts w:ascii="Arial" w:cs="Arial" w:eastAsia="Arial" w:hAnsi="Arial"/>
                <w:sz w:val="13"/>
                <w:szCs w:val="13"/>
                <w:color w:val="auto"/>
              </w:rPr>
              <w:t>Wakefern Food Corporation</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California - Santa Cruz</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VCU Health System Authority</w:t>
            </w:r>
          </w:p>
        </w:tc>
        <w:tc>
          <w:tcPr>
            <w:tcW w:w="2440" w:type="dxa"/>
            <w:vAlign w:val="bottom"/>
          </w:tcPr>
          <w:p>
            <w:pPr>
              <w:ind w:left="140"/>
              <w:spacing w:after="0"/>
              <w:rPr>
                <w:sz w:val="20"/>
                <w:szCs w:val="20"/>
                <w:color w:val="auto"/>
              </w:rPr>
            </w:pPr>
            <w:r>
              <w:rPr>
                <w:rFonts w:ascii="Arial" w:cs="Arial" w:eastAsia="Arial" w:hAnsi="Arial"/>
                <w:sz w:val="13"/>
                <w:szCs w:val="13"/>
                <w:color w:val="auto"/>
                <w:w w:val="95"/>
              </w:rPr>
              <w:t>Walgreens Boots Alliance - Walgreen Co.</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California (UC)</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VELUX America, LLC</w:t>
            </w:r>
          </w:p>
        </w:tc>
        <w:tc>
          <w:tcPr>
            <w:tcW w:w="2440" w:type="dxa"/>
            <w:vAlign w:val="bottom"/>
          </w:tcPr>
          <w:p>
            <w:pPr>
              <w:ind w:left="140"/>
              <w:spacing w:after="0"/>
              <w:rPr>
                <w:sz w:val="20"/>
                <w:szCs w:val="20"/>
                <w:color w:val="auto"/>
              </w:rPr>
            </w:pPr>
            <w:r>
              <w:rPr>
                <w:rFonts w:ascii="Arial" w:cs="Arial" w:eastAsia="Arial" w:hAnsi="Arial"/>
                <w:sz w:val="13"/>
                <w:szCs w:val="13"/>
                <w:color w:val="auto"/>
              </w:rPr>
              <w:t>Walmart,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Central Florida (UCF)</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Ventas, Inc.</w:t>
            </w:r>
          </w:p>
        </w:tc>
        <w:tc>
          <w:tcPr>
            <w:tcW w:w="2440" w:type="dxa"/>
            <w:vAlign w:val="bottom"/>
          </w:tcPr>
          <w:p>
            <w:pPr>
              <w:ind w:left="140"/>
              <w:spacing w:after="0"/>
              <w:rPr>
                <w:sz w:val="20"/>
                <w:szCs w:val="20"/>
                <w:color w:val="auto"/>
              </w:rPr>
            </w:pPr>
            <w:r>
              <w:rPr>
                <w:rFonts w:ascii="Arial" w:cs="Arial" w:eastAsia="Arial" w:hAnsi="Arial"/>
                <w:sz w:val="13"/>
                <w:szCs w:val="13"/>
                <w:color w:val="auto"/>
              </w:rPr>
              <w:t>WANdisco</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Colorado Boulder</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Ventech Solutions</w:t>
            </w:r>
          </w:p>
        </w:tc>
        <w:tc>
          <w:tcPr>
            <w:tcW w:w="2440" w:type="dxa"/>
            <w:vAlign w:val="bottom"/>
          </w:tcPr>
          <w:p>
            <w:pPr>
              <w:ind w:left="140"/>
              <w:spacing w:after="0"/>
              <w:rPr>
                <w:sz w:val="20"/>
                <w:szCs w:val="20"/>
                <w:color w:val="auto"/>
              </w:rPr>
            </w:pPr>
            <w:r>
              <w:rPr>
                <w:rFonts w:ascii="Arial" w:cs="Arial" w:eastAsia="Arial" w:hAnsi="Arial"/>
                <w:sz w:val="13"/>
                <w:szCs w:val="13"/>
                <w:color w:val="auto"/>
              </w:rPr>
              <w:t>WarnerMedia LLC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Colorado System</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Ventura Foods, LLC</w:t>
            </w:r>
          </w:p>
        </w:tc>
        <w:tc>
          <w:tcPr>
            <w:tcW w:w="2440" w:type="dxa"/>
            <w:vAlign w:val="bottom"/>
          </w:tcPr>
          <w:p>
            <w:pPr>
              <w:ind w:left="140"/>
              <w:spacing w:after="0"/>
              <w:rPr>
                <w:sz w:val="20"/>
                <w:szCs w:val="20"/>
                <w:color w:val="auto"/>
              </w:rPr>
            </w:pPr>
            <w:r>
              <w:rPr>
                <w:rFonts w:ascii="Arial" w:cs="Arial" w:eastAsia="Arial" w:hAnsi="Arial"/>
                <w:sz w:val="13"/>
                <w:szCs w:val="13"/>
                <w:color w:val="auto"/>
              </w:rPr>
              <w:t>Washington University in St. Louis</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Florida</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Veran Medical Technologies Inc.</w:t>
            </w:r>
          </w:p>
        </w:tc>
        <w:tc>
          <w:tcPr>
            <w:tcW w:w="2440" w:type="dxa"/>
            <w:vAlign w:val="bottom"/>
          </w:tcPr>
          <w:p>
            <w:pPr>
              <w:ind w:left="140"/>
              <w:spacing w:after="0"/>
              <w:rPr>
                <w:sz w:val="20"/>
                <w:szCs w:val="20"/>
                <w:color w:val="auto"/>
              </w:rPr>
            </w:pPr>
            <w:r>
              <w:rPr>
                <w:rFonts w:ascii="Arial" w:cs="Arial" w:eastAsia="Arial" w:hAnsi="Arial"/>
                <w:sz w:val="13"/>
                <w:szCs w:val="13"/>
                <w:color w:val="auto"/>
              </w:rPr>
              <w:t>Waste Management,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Houston-Clear Lake</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Verathon, Inc.</w:t>
            </w:r>
          </w:p>
        </w:tc>
        <w:tc>
          <w:tcPr>
            <w:tcW w:w="2440" w:type="dxa"/>
            <w:vAlign w:val="bottom"/>
          </w:tcPr>
          <w:p>
            <w:pPr>
              <w:ind w:left="140"/>
              <w:spacing w:after="0"/>
              <w:rPr>
                <w:sz w:val="20"/>
                <w:szCs w:val="20"/>
                <w:color w:val="auto"/>
              </w:rPr>
            </w:pPr>
            <w:r>
              <w:rPr>
                <w:rFonts w:ascii="Arial" w:cs="Arial" w:eastAsia="Arial" w:hAnsi="Arial"/>
                <w:sz w:val="13"/>
                <w:szCs w:val="13"/>
                <w:color w:val="auto"/>
              </w:rPr>
              <w:t>Watches &amp; Jewelry (United States)</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Kansas (KU)</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Vericast</w:t>
            </w:r>
          </w:p>
        </w:tc>
        <w:tc>
          <w:tcPr>
            <w:tcW w:w="2440" w:type="dxa"/>
            <w:vAlign w:val="bottom"/>
          </w:tcPr>
          <w:p>
            <w:pPr>
              <w:ind w:left="140"/>
              <w:spacing w:after="0"/>
              <w:rPr>
                <w:sz w:val="20"/>
                <w:szCs w:val="20"/>
                <w:color w:val="auto"/>
              </w:rPr>
            </w:pPr>
            <w:r>
              <w:rPr>
                <w:rFonts w:ascii="Arial" w:cs="Arial" w:eastAsia="Arial" w:hAnsi="Arial"/>
                <w:sz w:val="13"/>
                <w:szCs w:val="13"/>
                <w:color w:val="auto"/>
              </w:rPr>
              <w:t>Waters Corporation</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Massachusetts Systems Office</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Veritiv Corporation</w:t>
            </w:r>
          </w:p>
        </w:tc>
        <w:tc>
          <w:tcPr>
            <w:tcW w:w="2440" w:type="dxa"/>
            <w:vAlign w:val="bottom"/>
          </w:tcPr>
          <w:p>
            <w:pPr>
              <w:ind w:left="140"/>
              <w:spacing w:after="0"/>
              <w:rPr>
                <w:sz w:val="20"/>
                <w:szCs w:val="20"/>
                <w:color w:val="auto"/>
              </w:rPr>
            </w:pPr>
            <w:r>
              <w:rPr>
                <w:rFonts w:ascii="Arial" w:cs="Arial" w:eastAsia="Arial" w:hAnsi="Arial"/>
                <w:sz w:val="13"/>
                <w:szCs w:val="13"/>
                <w:color w:val="auto"/>
              </w:rPr>
              <w:t>Watts Water Technologies</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Michigan</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Versant Health</w:t>
            </w:r>
          </w:p>
        </w:tc>
        <w:tc>
          <w:tcPr>
            <w:tcW w:w="2440" w:type="dxa"/>
            <w:vAlign w:val="bottom"/>
          </w:tcPr>
          <w:p>
            <w:pPr>
              <w:ind w:left="140"/>
              <w:spacing w:after="0"/>
              <w:rPr>
                <w:sz w:val="20"/>
                <w:szCs w:val="20"/>
                <w:color w:val="auto"/>
              </w:rPr>
            </w:pPr>
            <w:r>
              <w:rPr>
                <w:rFonts w:ascii="Arial" w:cs="Arial" w:eastAsia="Arial" w:hAnsi="Arial"/>
                <w:sz w:val="13"/>
                <w:szCs w:val="13"/>
                <w:color w:val="auto"/>
              </w:rPr>
              <w:t>Wayne Farms, LLC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Minnesota</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Verso Corporation</w:t>
            </w:r>
          </w:p>
        </w:tc>
        <w:tc>
          <w:tcPr>
            <w:tcW w:w="2440" w:type="dxa"/>
            <w:vAlign w:val="bottom"/>
          </w:tcPr>
          <w:p>
            <w:pPr>
              <w:ind w:left="140"/>
              <w:spacing w:after="0"/>
              <w:rPr>
                <w:sz w:val="20"/>
                <w:szCs w:val="20"/>
                <w:color w:val="auto"/>
              </w:rPr>
            </w:pPr>
            <w:r>
              <w:rPr>
                <w:rFonts w:ascii="Arial" w:cs="Arial" w:eastAsia="Arial" w:hAnsi="Arial"/>
                <w:sz w:val="13"/>
                <w:szCs w:val="13"/>
                <w:color w:val="auto"/>
              </w:rPr>
              <w:t>Weatherford International, LLC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Notre Dame</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Vertex Pharmaceuticals, Inc.</w:t>
            </w:r>
          </w:p>
        </w:tc>
        <w:tc>
          <w:tcPr>
            <w:tcW w:w="2440" w:type="dxa"/>
            <w:vAlign w:val="bottom"/>
          </w:tcPr>
          <w:p>
            <w:pPr>
              <w:ind w:left="140"/>
              <w:spacing w:after="0"/>
              <w:rPr>
                <w:sz w:val="20"/>
                <w:szCs w:val="20"/>
                <w:color w:val="auto"/>
              </w:rPr>
            </w:pPr>
            <w:r>
              <w:rPr>
                <w:rFonts w:ascii="Arial" w:cs="Arial" w:eastAsia="Arial" w:hAnsi="Arial"/>
                <w:sz w:val="13"/>
                <w:szCs w:val="13"/>
                <w:color w:val="auto"/>
              </w:rPr>
              <w:t>Webasto Roof Systems Americas</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Pittsburgh</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Veryan USA</w:t>
            </w:r>
          </w:p>
        </w:tc>
        <w:tc>
          <w:tcPr>
            <w:tcW w:w="2440" w:type="dxa"/>
            <w:vAlign w:val="bottom"/>
          </w:tcPr>
          <w:p>
            <w:pPr>
              <w:ind w:left="140"/>
              <w:spacing w:after="0"/>
              <w:rPr>
                <w:sz w:val="20"/>
                <w:szCs w:val="20"/>
                <w:color w:val="auto"/>
              </w:rPr>
            </w:pPr>
            <w:r>
              <w:rPr>
                <w:rFonts w:ascii="Arial" w:cs="Arial" w:eastAsia="Arial" w:hAnsi="Arial"/>
                <w:sz w:val="13"/>
                <w:szCs w:val="13"/>
                <w:color w:val="auto"/>
              </w:rPr>
              <w:t>Weber-Stephen Products, LLC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University of Wisconsin Credit Union</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Vestas American Wind Tech</w:t>
            </w:r>
          </w:p>
        </w:tc>
        <w:tc>
          <w:tcPr>
            <w:tcW w:w="2440" w:type="dxa"/>
            <w:vAlign w:val="bottom"/>
          </w:tcPr>
          <w:p>
            <w:pPr>
              <w:ind w:left="140"/>
              <w:spacing w:after="0"/>
              <w:rPr>
                <w:sz w:val="20"/>
                <w:szCs w:val="20"/>
                <w:color w:val="auto"/>
              </w:rPr>
            </w:pPr>
            <w:r>
              <w:rPr>
                <w:rFonts w:ascii="Arial" w:cs="Arial" w:eastAsia="Arial" w:hAnsi="Arial"/>
                <w:sz w:val="13"/>
                <w:szCs w:val="13"/>
                <w:color w:val="auto"/>
              </w:rPr>
              <w:t>Webster Financial Corporation</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Upfield US, Inc.</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Vestas Blades America, Inc.</w:t>
            </w:r>
          </w:p>
        </w:tc>
        <w:tc>
          <w:tcPr>
            <w:tcW w:w="2440" w:type="dxa"/>
            <w:vAlign w:val="bottom"/>
          </w:tcPr>
          <w:p>
            <w:pPr>
              <w:ind w:left="140"/>
              <w:spacing w:after="0"/>
              <w:rPr>
                <w:sz w:val="20"/>
                <w:szCs w:val="20"/>
                <w:color w:val="auto"/>
              </w:rPr>
            </w:pPr>
            <w:r>
              <w:rPr>
                <w:rFonts w:ascii="Arial" w:cs="Arial" w:eastAsia="Arial" w:hAnsi="Arial"/>
                <w:sz w:val="13"/>
                <w:szCs w:val="13"/>
                <w:color w:val="auto"/>
              </w:rPr>
              <w:t>Wegmans Food Markets, Inc.</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UPM - Communication Papers</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Vestas Nacelles America</w:t>
            </w:r>
          </w:p>
        </w:tc>
        <w:tc>
          <w:tcPr>
            <w:tcW w:w="2440" w:type="dxa"/>
            <w:vAlign w:val="bottom"/>
          </w:tcPr>
          <w:p>
            <w:pPr>
              <w:ind w:left="140"/>
              <w:spacing w:after="0"/>
              <w:rPr>
                <w:sz w:val="20"/>
                <w:szCs w:val="20"/>
                <w:color w:val="auto"/>
              </w:rPr>
            </w:pPr>
            <w:r>
              <w:rPr>
                <w:rFonts w:ascii="Arial" w:cs="Arial" w:eastAsia="Arial" w:hAnsi="Arial"/>
                <w:sz w:val="13"/>
                <w:szCs w:val="13"/>
                <w:color w:val="auto"/>
              </w:rPr>
              <w:t>Weil, Gotshal &amp; Manges, LLP</w:t>
            </w:r>
          </w:p>
        </w:tc>
      </w:tr>
      <w:tr>
        <w:trPr>
          <w:trHeight w:val="189"/>
        </w:trPr>
        <w:tc>
          <w:tcPr>
            <w:tcW w:w="26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UPM - Fibres</w:t>
            </w: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Vestas Towers America, Inc.</w:t>
            </w:r>
          </w:p>
        </w:tc>
        <w:tc>
          <w:tcPr>
            <w:tcW w:w="2440" w:type="dxa"/>
            <w:vAlign w:val="bottom"/>
          </w:tcPr>
          <w:p>
            <w:pPr>
              <w:ind w:left="140"/>
              <w:spacing w:after="0"/>
              <w:rPr>
                <w:sz w:val="20"/>
                <w:szCs w:val="20"/>
                <w:color w:val="auto"/>
              </w:rPr>
            </w:pPr>
            <w:r>
              <w:rPr>
                <w:rFonts w:ascii="Arial" w:cs="Arial" w:eastAsia="Arial" w:hAnsi="Arial"/>
                <w:sz w:val="13"/>
                <w:szCs w:val="13"/>
                <w:color w:val="auto"/>
              </w:rPr>
              <w:t>Welbilt, Inc.</w:t>
            </w:r>
          </w:p>
        </w:tc>
      </w:tr>
      <w:tr>
        <w:trPr>
          <w:trHeight w:val="189"/>
        </w:trPr>
        <w:tc>
          <w:tcPr>
            <w:tcW w:w="268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VF Corporation - Altra</w:t>
            </w:r>
          </w:p>
        </w:tc>
        <w:tc>
          <w:tcPr>
            <w:tcW w:w="2440" w:type="dxa"/>
            <w:vAlign w:val="bottom"/>
          </w:tcPr>
          <w:p>
            <w:pPr>
              <w:ind w:left="140"/>
              <w:spacing w:after="0"/>
              <w:rPr>
                <w:sz w:val="20"/>
                <w:szCs w:val="20"/>
                <w:color w:val="auto"/>
              </w:rPr>
            </w:pPr>
            <w:r>
              <w:rPr>
                <w:rFonts w:ascii="Arial" w:cs="Arial" w:eastAsia="Arial" w:hAnsi="Arial"/>
                <w:sz w:val="13"/>
                <w:szCs w:val="13"/>
                <w:color w:val="auto"/>
              </w:rPr>
              <w:t>Wellmark BlueCross BlueShield</w:t>
            </w:r>
          </w:p>
        </w:tc>
      </w:tr>
      <w:tr>
        <w:trPr>
          <w:trHeight w:val="189"/>
        </w:trPr>
        <w:tc>
          <w:tcPr>
            <w:tcW w:w="268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VF Corporation - Icebreaker</w:t>
            </w:r>
          </w:p>
        </w:tc>
        <w:tc>
          <w:tcPr>
            <w:tcW w:w="2440" w:type="dxa"/>
            <w:vAlign w:val="bottom"/>
          </w:tcPr>
          <w:p>
            <w:pPr>
              <w:ind w:left="140"/>
              <w:spacing w:after="0"/>
              <w:rPr>
                <w:sz w:val="20"/>
                <w:szCs w:val="20"/>
                <w:color w:val="auto"/>
              </w:rPr>
            </w:pPr>
            <w:r>
              <w:rPr>
                <w:rFonts w:ascii="Arial" w:cs="Arial" w:eastAsia="Arial" w:hAnsi="Arial"/>
                <w:sz w:val="13"/>
                <w:szCs w:val="13"/>
                <w:color w:val="auto"/>
              </w:rPr>
              <w:t>Wells Enterprises, Inc.</w:t>
            </w:r>
          </w:p>
        </w:tc>
      </w:tr>
      <w:tr>
        <w:trPr>
          <w:trHeight w:val="189"/>
        </w:trPr>
        <w:tc>
          <w:tcPr>
            <w:tcW w:w="268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VF Corporation - JanSport</w:t>
            </w:r>
          </w:p>
        </w:tc>
        <w:tc>
          <w:tcPr>
            <w:tcW w:w="2440" w:type="dxa"/>
            <w:vAlign w:val="bottom"/>
          </w:tcPr>
          <w:p>
            <w:pPr>
              <w:ind w:left="140"/>
              <w:spacing w:after="0"/>
              <w:rPr>
                <w:sz w:val="20"/>
                <w:szCs w:val="20"/>
                <w:color w:val="auto"/>
              </w:rPr>
            </w:pPr>
            <w:r>
              <w:rPr>
                <w:rFonts w:ascii="Arial" w:cs="Arial" w:eastAsia="Arial" w:hAnsi="Arial"/>
                <w:sz w:val="13"/>
                <w:szCs w:val="13"/>
                <w:color w:val="auto"/>
              </w:rPr>
              <w:t>Wells Fargo &amp; Company</w:t>
            </w:r>
          </w:p>
        </w:tc>
      </w:tr>
      <w:tr>
        <w:trPr>
          <w:trHeight w:val="189"/>
        </w:trPr>
        <w:tc>
          <w:tcPr>
            <w:tcW w:w="268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VF Corporation - Kipling</w:t>
            </w:r>
          </w:p>
        </w:tc>
        <w:tc>
          <w:tcPr>
            <w:tcW w:w="2440" w:type="dxa"/>
            <w:vAlign w:val="bottom"/>
          </w:tcPr>
          <w:p>
            <w:pPr>
              <w:ind w:left="140"/>
              <w:spacing w:after="0"/>
              <w:rPr>
                <w:sz w:val="20"/>
                <w:szCs w:val="20"/>
                <w:color w:val="auto"/>
              </w:rPr>
            </w:pPr>
            <w:r>
              <w:rPr>
                <w:rFonts w:ascii="Arial" w:cs="Arial" w:eastAsia="Arial" w:hAnsi="Arial"/>
                <w:sz w:val="13"/>
                <w:szCs w:val="13"/>
                <w:color w:val="auto"/>
              </w:rPr>
              <w:t>WellSpan Health</w:t>
            </w:r>
          </w:p>
        </w:tc>
      </w:tr>
      <w:tr>
        <w:trPr>
          <w:trHeight w:val="189"/>
        </w:trPr>
        <w:tc>
          <w:tcPr>
            <w:tcW w:w="268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VF Corporation - Smartwool</w:t>
            </w:r>
          </w:p>
        </w:tc>
        <w:tc>
          <w:tcPr>
            <w:tcW w:w="2440" w:type="dxa"/>
            <w:vAlign w:val="bottom"/>
          </w:tcPr>
          <w:p>
            <w:pPr>
              <w:ind w:left="140"/>
              <w:spacing w:after="0"/>
              <w:rPr>
                <w:sz w:val="20"/>
                <w:szCs w:val="20"/>
                <w:color w:val="auto"/>
              </w:rPr>
            </w:pPr>
            <w:r>
              <w:rPr>
                <w:rFonts w:ascii="Arial" w:cs="Arial" w:eastAsia="Arial" w:hAnsi="Arial"/>
                <w:sz w:val="13"/>
                <w:szCs w:val="13"/>
                <w:color w:val="auto"/>
              </w:rPr>
              <w:t>WernerCo</w:t>
            </w:r>
          </w:p>
        </w:tc>
      </w:tr>
      <w:tr>
        <w:trPr>
          <w:trHeight w:val="189"/>
        </w:trPr>
        <w:tc>
          <w:tcPr>
            <w:tcW w:w="268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VF Corporation - The North Face</w:t>
            </w:r>
          </w:p>
        </w:tc>
        <w:tc>
          <w:tcPr>
            <w:tcW w:w="2440" w:type="dxa"/>
            <w:vAlign w:val="bottom"/>
          </w:tcPr>
          <w:p>
            <w:pPr>
              <w:ind w:left="140"/>
              <w:spacing w:after="0"/>
              <w:rPr>
                <w:sz w:val="20"/>
                <w:szCs w:val="20"/>
                <w:color w:val="auto"/>
              </w:rPr>
            </w:pPr>
            <w:r>
              <w:rPr>
                <w:rFonts w:ascii="Arial" w:cs="Arial" w:eastAsia="Arial" w:hAnsi="Arial"/>
                <w:sz w:val="13"/>
                <w:szCs w:val="13"/>
                <w:color w:val="auto"/>
              </w:rPr>
              <w:t>WESCO International, Inc.</w:t>
            </w:r>
          </w:p>
        </w:tc>
      </w:tr>
      <w:tr>
        <w:trPr>
          <w:trHeight w:val="189"/>
        </w:trPr>
        <w:tc>
          <w:tcPr>
            <w:tcW w:w="268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VF Corporation - Timberland</w:t>
            </w:r>
          </w:p>
        </w:tc>
        <w:tc>
          <w:tcPr>
            <w:tcW w:w="2440" w:type="dxa"/>
            <w:vAlign w:val="bottom"/>
          </w:tcPr>
          <w:p>
            <w:pPr>
              <w:spacing w:after="0"/>
              <w:rPr>
                <w:sz w:val="16"/>
                <w:szCs w:val="16"/>
                <w:color w:val="auto"/>
              </w:rPr>
            </w:pPr>
          </w:p>
        </w:tc>
      </w:tr>
      <w:tr>
        <w:trPr>
          <w:trHeight w:val="189"/>
        </w:trPr>
        <w:tc>
          <w:tcPr>
            <w:tcW w:w="2680" w:type="dxa"/>
            <w:vAlign w:val="bottom"/>
            <w:tcBorders>
              <w:right w:val="single" w:sz="8" w:color="auto"/>
            </w:tcBorders>
          </w:tcPr>
          <w:p>
            <w:pPr>
              <w:spacing w:after="0"/>
              <w:rPr>
                <w:sz w:val="16"/>
                <w:szCs w:val="16"/>
                <w:color w:val="auto"/>
              </w:rPr>
            </w:pPr>
          </w:p>
        </w:tc>
        <w:tc>
          <w:tcPr>
            <w:tcW w:w="2820" w:type="dxa"/>
            <w:vAlign w:val="bottom"/>
            <w:tcBorders>
              <w:right w:val="single" w:sz="8" w:color="auto"/>
            </w:tcBorders>
          </w:tcPr>
          <w:p>
            <w:pPr>
              <w:ind w:left="140"/>
              <w:spacing w:after="0"/>
              <w:rPr>
                <w:sz w:val="20"/>
                <w:szCs w:val="20"/>
                <w:color w:val="auto"/>
              </w:rPr>
            </w:pPr>
            <w:r>
              <w:rPr>
                <w:rFonts w:ascii="Arial" w:cs="Arial" w:eastAsia="Arial" w:hAnsi="Arial"/>
                <w:sz w:val="13"/>
                <w:szCs w:val="13"/>
                <w:color w:val="auto"/>
              </w:rPr>
              <w:t>VF Corporation - Vans</w:t>
            </w:r>
          </w:p>
        </w:tc>
        <w:tc>
          <w:tcPr>
            <w:tcW w:w="2440" w:type="dxa"/>
            <w:vAlign w:val="bottom"/>
          </w:tcPr>
          <w:p>
            <w:pPr>
              <w:spacing w:after="0"/>
              <w:rPr>
                <w:sz w:val="16"/>
                <w:szCs w:val="16"/>
                <w:color w:val="auto"/>
              </w:rPr>
            </w:pPr>
          </w:p>
        </w:tc>
      </w:tr>
      <w:tr>
        <w:trPr>
          <w:trHeight w:val="36"/>
        </w:trPr>
        <w:tc>
          <w:tcPr>
            <w:tcW w:w="2680" w:type="dxa"/>
            <w:vAlign w:val="bottom"/>
            <w:tcBorders>
              <w:right w:val="single" w:sz="8" w:color="auto"/>
            </w:tcBorders>
          </w:tcPr>
          <w:p>
            <w:pPr>
              <w:spacing w:after="0"/>
              <w:rPr>
                <w:sz w:val="3"/>
                <w:szCs w:val="3"/>
                <w:color w:val="auto"/>
              </w:rPr>
            </w:pPr>
          </w:p>
        </w:tc>
        <w:tc>
          <w:tcPr>
            <w:tcW w:w="2820" w:type="dxa"/>
            <w:vAlign w:val="bottom"/>
            <w:tcBorders>
              <w:right w:val="single" w:sz="8" w:color="auto"/>
            </w:tcBorders>
          </w:tcPr>
          <w:p>
            <w:pPr>
              <w:spacing w:after="0"/>
              <w:rPr>
                <w:sz w:val="3"/>
                <w:szCs w:val="3"/>
                <w:color w:val="auto"/>
              </w:rPr>
            </w:pPr>
          </w:p>
        </w:tc>
        <w:tc>
          <w:tcPr>
            <w:tcW w:w="244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216535</wp:posOffset>
            </wp:positionV>
            <wp:extent cx="7141210"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West Bend Mutual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-86360</wp:posOffset>
            </wp:positionV>
            <wp:extent cx="8255" cy="58908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589089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West Fraser,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 Pharmaceutical Services,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 Virginia Higher Education Policy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Commission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Western &amp; Southern Financial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Western Area Power Administration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Western Foods,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Western Growers Assurance Trust</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Western Midstream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Western Milling,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Western National Group</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Western Union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Westerra Credit Union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Westfield Insurance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Westfield,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Westinghouse Electric Co</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Westlake Chemical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Westmoreland Mining, LLC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Westrock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Weyerhaeuser / Timberlands Division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Weyerhaeuser / Wood Products Divisions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Weyerhaeuser Company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WGL Holdings, Inc. - Washington Gas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Wheels,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Whirlpool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WhiteWater Midstream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WideOpenWest,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Wilbur-Ellis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Wild Fork Foods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William Marsh Rice University,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Willscot Mobile Mini</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Wilmer Cutler Pickering Hale and Dorr, LLP</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Wilton Brands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Winc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Winpak Portion Packaging,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Winsome Truth</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Wonderful Sales</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WoodmenLife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Woodside Electronics Corporation</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Woodward,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Workiva Inc.</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World Wide Technology Holding, Inc.</w:t>
      </w:r>
    </w:p>
    <w:p>
      <w:pPr>
        <w:spacing w:after="0" w:line="1438" w:lineRule="exact"/>
        <w:rPr>
          <w:sz w:val="20"/>
          <w:szCs w:val="20"/>
          <w:color w:val="auto"/>
        </w:rPr>
      </w:pPr>
    </w:p>
    <w:p>
      <w:pPr>
        <w:sectPr>
          <w:pgSz w:w="11900" w:h="16838" w:orient="portrait"/>
          <w:cols w:equalWidth="0" w:num="2">
            <w:col w:w="8100" w:space="500"/>
            <w:col w:w="2640"/>
          </w:cols>
          <w:pgMar w:left="320" w:top="771" w:right="339" w:bottom="1440" w:gutter="0" w:footer="0" w:header="0"/>
        </w:sectPr>
      </w:pPr>
    </w:p>
    <w:p>
      <w:pPr>
        <w:spacing w:after="0" w:line="289"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72" w:name="page73"/>
    <w:bookmarkEnd w:id="72"/>
    <w:p>
      <w:pPr>
        <w:ind w:left="160"/>
        <w:spacing w:after="0"/>
        <w:rPr>
          <w:sz w:val="20"/>
          <w:szCs w:val="20"/>
          <w:color w:val="auto"/>
        </w:rPr>
      </w:pPr>
      <w:r>
        <w:rPr>
          <w:rFonts w:ascii="Arial" w:cs="Arial" w:eastAsia="Arial" w:hAnsi="Arial"/>
          <w:sz w:val="13"/>
          <w:szCs w:val="13"/>
          <w:color w:val="auto"/>
        </w:rPr>
        <w:t>World Wrestling Entertainment,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Worthington Industries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WSP USA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WuXi Biologics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Wyndham Worldwide - Wyndham Hotels and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Resorts</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X-Rite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Xcel Energy,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Xcel Energy, Inc. - Southwestern Public</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Service Co.</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Xellia Pharmaceuticals USA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XPO Logistics,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Yale-New Haven Hospital</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Yanfeng US Automotive Interior Systems I,</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LLC</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Yanfeng US Automotive Interior Systems II,</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LLC</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Yanmar America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Yazaki North America,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YMCA of the North</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Yoh</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Young Living Essential Oils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Youngers and Sons Manufacturing</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Zachry Group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Zenith American Solutions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Ziegler CAT</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Zim American Integrated Shipping Services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Company, Inc.</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Zimmer Biomet Holdings,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ZimVie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Zions Bancorporation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Zobele USA,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Zoetis,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ZOLL Medical Corporation</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Zovio,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Zumiez, Inc.</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Zurich North America</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Zurn Water Solutions Corp.</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Zymeworks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15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tabs>
          <w:tab w:leader="none" w:pos="9780" w:val="left"/>
          <w:tab w:leader="none" w:pos="11080" w:val="left"/>
        </w:tabs>
        <w:rPr>
          <w:sz w:val="20"/>
          <w:szCs w:val="20"/>
          <w:color w:val="auto"/>
        </w:rPr>
      </w:pPr>
      <w:r>
        <w:rPr>
          <w:rFonts w:ascii="Arial" w:cs="Arial" w:eastAsia="Arial" w:hAnsi="Arial"/>
          <w:sz w:val="12"/>
          <w:szCs w:val="12"/>
          <w:color w:val="auto"/>
        </w:rPr>
        <w:t xml:space="preserve">NOTICE OF 2025 ANNUAL MEETING &amp; PROXY STATEMENT  </w:t>
      </w:r>
      <w:r>
        <w:rPr>
          <w:rFonts w:ascii="Arial" w:cs="Arial" w:eastAsia="Arial" w:hAnsi="Arial"/>
          <w:sz w:val="13"/>
          <w:szCs w:val="13"/>
          <w:color w:val="auto"/>
        </w:rPr>
        <w:t>● </w:t>
      </w:r>
      <w:r>
        <w:rPr>
          <w:rFonts w:ascii="Arial" w:cs="Arial" w:eastAsia="Arial" w:hAnsi="Arial"/>
          <w:sz w:val="12"/>
          <w:szCs w:val="12"/>
          <w:color w:val="auto"/>
        </w:rPr>
        <w:t xml:space="preserve"> ESCO TECHNOLOGIES INC.</w:t>
      </w:r>
      <w:r>
        <w:rPr>
          <w:sz w:val="20"/>
          <w:szCs w:val="20"/>
          <w:color w:val="auto"/>
        </w:rPr>
        <w:tab/>
      </w:r>
      <w:r>
        <w:rPr>
          <w:rFonts w:ascii="Arial" w:cs="Arial" w:eastAsia="Arial" w:hAnsi="Arial"/>
          <w:sz w:val="24"/>
          <w:szCs w:val="24"/>
          <w:color w:val="auto"/>
          <w:vertAlign w:val="superscript"/>
        </w:rPr>
        <w:t>APPENDIX A</w:t>
      </w:r>
      <w:r>
        <w:rPr>
          <w:sz w:val="20"/>
          <w:szCs w:val="20"/>
          <w:color w:val="auto"/>
        </w:rPr>
        <w:tab/>
      </w:r>
      <w:r>
        <w:rPr>
          <w:rFonts w:ascii="Arial" w:cs="Arial" w:eastAsia="Arial" w:hAnsi="Arial"/>
          <w:sz w:val="12"/>
          <w:szCs w:val="12"/>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71412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409575</wp:posOffset>
            </wp:positionV>
            <wp:extent cx="7141210" cy="8295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1210" cy="8295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369570</wp:posOffset>
            </wp:positionV>
            <wp:extent cx="7141210" cy="86480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1210" cy="8648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9161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1210" cy="9161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9161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1210" cy="9161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1210" cy="9161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1210" cy="9161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lvl w:ilvl="1">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1)"/>
      <w:numFmt w:val="lowerRoman"/>
      <w:start w:val="3"/>
    </w:lvl>
  </w:abstractNum>
  <w:abstractNum w:abstractNumId="21">
    <w:nsid w:val="12E685FB"/>
    <w:multiLevelType w:val="hybridMultilevel"/>
    <w:lvl w:ilvl="0">
      <w:lvlJc w:val="left"/>
      <w:lvlText w:val="1"/>
      <w:numFmt w:val="bullet"/>
      <w:start w:val="1"/>
    </w:lvl>
  </w:abstractNum>
  <w:abstractNum w:abstractNumId="22">
    <w:nsid w:val="70C6A529"/>
    <w:multiLevelType w:val="hybridMultilevel"/>
    <w:lvl w:ilvl="0">
      <w:lvlJc w:val="left"/>
      <w:lvlText w:val="1"/>
      <w:numFmt w:val="bullet"/>
      <w:start w:val="1"/>
    </w:lvl>
  </w:abstractNum>
  <w:abstractNum w:abstractNumId="23">
    <w:nsid w:val="520EEDD1"/>
    <w:multiLevelType w:val="hybridMultilevel"/>
    <w:lvl w:ilvl="0">
      <w:lvlJc w:val="left"/>
      <w:lvlText w:val="2"/>
      <w:numFmt w:val="bullet"/>
      <w:start w:val="1"/>
    </w:lvl>
  </w:abstractNum>
  <w:abstractNum w:abstractNumId="24">
    <w:nsid w:val="374A3FE6"/>
    <w:multiLevelType w:val="hybridMultilevel"/>
    <w:lvl w:ilvl="0">
      <w:lvlJc w:val="left"/>
      <w:lvlText w:val="3"/>
      <w:numFmt w:val="bullet"/>
      <w:start w:val="1"/>
    </w:lvl>
  </w:abstractNum>
  <w:abstractNum w:abstractNumId="25">
    <w:nsid w:val="4F4EF005"/>
    <w:multiLevelType w:val="hybridMultilevel"/>
    <w:lvl w:ilvl="0">
      <w:lvlJc w:val="left"/>
      <w:lvlText w:val="4"/>
      <w:numFmt w:val="bullet"/>
      <w:start w:val="1"/>
    </w:lvl>
  </w:abstractNum>
  <w:abstractNum w:abstractNumId="26">
    <w:nsid w:val="23F9C13C"/>
    <w:multiLevelType w:val="hybridMultilevel"/>
    <w:lvl w:ilvl="0">
      <w:lvlJc w:val="left"/>
      <w:lvlText w:val="5"/>
      <w:numFmt w:val="bullet"/>
      <w:start w:val="1"/>
    </w:lvl>
  </w:abstractNum>
  <w:abstractNum w:abstractNumId="27">
    <w:nsid w:val="649BB77C"/>
    <w:multiLevelType w:val="hybridMultilevel"/>
    <w:lvl w:ilvl="0">
      <w:lvlJc w:val="left"/>
      <w:lvlText w:val="6"/>
      <w:numFmt w:val="bullet"/>
      <w:start w:val="1"/>
    </w:lvl>
  </w:abstractNum>
  <w:abstractNum w:abstractNumId="28">
    <w:nsid w:val="275AC794"/>
    <w:multiLevelType w:val="hybridMultilevel"/>
    <w:lvl w:ilvl="0">
      <w:lvlJc w:val="left"/>
      <w:lvlText w:val="7"/>
      <w:numFmt w:val="bullet"/>
      <w:start w:val="1"/>
    </w:lvl>
  </w:abstractNum>
  <w:abstractNum w:abstractNumId="29">
    <w:nsid w:val="39386575"/>
    <w:multiLevelType w:val="hybridMultilevel"/>
    <w:lvl w:ilvl="0">
      <w:lvlJc w:val="left"/>
      <w:lvlText w:val="8"/>
      <w:numFmt w:val="bullet"/>
      <w:start w:val="1"/>
    </w:lvl>
  </w:abstractNum>
  <w:abstractNum w:abstractNumId="30">
    <w:nsid w:val="1CF10FD8"/>
    <w:multiLevelType w:val="hybridMultilevel"/>
    <w:lvl w:ilvl="0">
      <w:lvlJc w:val="left"/>
      <w:lvlText w:val="9"/>
      <w:numFmt w:val="bullet"/>
      <w:start w:val="1"/>
    </w:lvl>
  </w:abstractNum>
  <w:abstractNum w:abstractNumId="31">
    <w:nsid w:val="180115BE"/>
    <w:multiLevelType w:val="hybridMultilevel"/>
    <w:lvl w:ilvl="0">
      <w:lvlJc w:val="left"/>
      <w:lvlText w:val="%1"/>
      <w:numFmt w:val="decimal"/>
      <w:start w:val="1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1"/>
      <w:numFmt w:val="bullet"/>
      <w:start w:val="1"/>
    </w:lvl>
  </w:abstractNum>
  <w:abstractNum w:abstractNumId="36">
    <w:nsid w:val="741226BB"/>
    <w:multiLevelType w:val="hybridMultilevel"/>
    <w:lvl w:ilvl="0">
      <w:lvlJc w:val="left"/>
      <w:lvlText w:val="1"/>
      <w:numFmt w:val="bullet"/>
      <w:start w:val="1"/>
    </w:lvl>
  </w:abstractNum>
  <w:abstractNum w:abstractNumId="37">
    <w:nsid w:val="D34B6A8"/>
    <w:multiLevelType w:val="hybridMultilevel"/>
    <w:lvl w:ilvl="0">
      <w:lvlJc w:val="left"/>
      <w:lvlText w:val="1"/>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1"/>
      <w:numFmt w:val="bullet"/>
      <w:start w:val="1"/>
    </w:lvl>
  </w:abstractNum>
  <w:abstractNum w:abstractNumId="40">
    <w:nsid w:val="61574095"/>
    <w:multiLevelType w:val="hybridMultilevel"/>
    <w:lvl w:ilvl="0">
      <w:lvlJc w:val="left"/>
      <w:lvlText w:val="2"/>
      <w:numFmt w:val="bullet"/>
      <w:start w:val="1"/>
    </w:lvl>
  </w:abstractNum>
  <w:abstractNum w:abstractNumId="41">
    <w:nsid w:val="7E0C57B1"/>
    <w:multiLevelType w:val="hybridMultilevel"/>
    <w:lvl w:ilvl="0">
      <w:lvlJc w:val="left"/>
      <w:lvlText w:val="3"/>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1"/>
      <w:numFmt w:val="bullet"/>
      <w:start w:val="1"/>
    </w:lvl>
  </w:abstractNum>
  <w:abstractNum w:abstractNumId="44">
    <w:nsid w:val="310C50B3"/>
    <w:multiLevelType w:val="hybridMultilevel"/>
    <w:lvl w:ilvl="0">
      <w:lvlJc w:val="left"/>
      <w:lvlText w:val="2"/>
      <w:numFmt w:val="bullet"/>
      <w:start w:val="1"/>
    </w:lvl>
  </w:abstractNum>
  <w:abstractNum w:abstractNumId="45">
    <w:nsid w:val="5FF87E05"/>
    <w:multiLevelType w:val="hybridMultilevel"/>
    <w:lvl w:ilvl="0">
      <w:lvlJc w:val="left"/>
      <w:lvlText w:val="3"/>
      <w:numFmt w:val="bullet"/>
      <w:start w:val="1"/>
    </w:lvl>
  </w:abstractNum>
  <w:abstractNum w:abstractNumId="46">
    <w:nsid w:val="2F305DEF"/>
    <w:multiLevelType w:val="hybridMultilevel"/>
    <w:lvl w:ilvl="0">
      <w:lvlJc w:val="left"/>
      <w:lvlText w:val="a"/>
      <w:numFmt w:val="bullet"/>
      <w:start w:val="1"/>
    </w:lvl>
  </w:abstractNum>
  <w:abstractNum w:abstractNumId="47">
    <w:nsid w:val="25A70BF7"/>
    <w:multiLevelType w:val="hybridMultilevel"/>
    <w:lvl w:ilvl="0">
      <w:lvlJc w:val="left"/>
      <w:lvlText w:val="b"/>
      <w:numFmt w:val="bullet"/>
      <w:start w:val="1"/>
    </w:lvl>
  </w:abstractNum>
  <w:abstractNum w:abstractNumId="48">
    <w:nsid w:val="1DBABF00"/>
    <w:multiLevelType w:val="hybridMultilevel"/>
    <w:lvl w:ilvl="0">
      <w:lvlJc w:val="left"/>
      <w:lvlText w:val="c"/>
      <w:numFmt w:val="bullet"/>
      <w:start w:val="1"/>
    </w:lvl>
  </w:abstractNum>
  <w:abstractNum w:abstractNumId="49">
    <w:nsid w:val="4AD084E9"/>
    <w:multiLevelType w:val="hybridMultilevel"/>
    <w:lvl w:ilvl="0">
      <w:lvlJc w:val="left"/>
      <w:lvlText w:val="4"/>
      <w:numFmt w:val="bullet"/>
      <w:start w:val="1"/>
    </w:lvl>
  </w:abstractNum>
  <w:abstractNum w:abstractNumId="50">
    <w:nsid w:val="1F48EAA1"/>
    <w:multiLevelType w:val="hybridMultilevel"/>
    <w:lvl w:ilvl="0">
      <w:lvlJc w:val="left"/>
      <w:lvlText w:val="1"/>
      <w:numFmt w:val="bullet"/>
      <w:start w:val="1"/>
    </w:lvl>
  </w:abstractNum>
  <w:abstractNum w:abstractNumId="51">
    <w:nsid w:val="1381823A"/>
    <w:multiLevelType w:val="hybridMultilevel"/>
    <w:lvl w:ilvl="0">
      <w:lvlJc w:val="left"/>
      <w:lvlText w:val="2"/>
      <w:numFmt w:val="bullet"/>
      <w:start w:val="1"/>
    </w:lvl>
  </w:abstractNum>
  <w:abstractNum w:abstractNumId="52">
    <w:nsid w:val="5DB70AE5"/>
    <w:multiLevelType w:val="hybridMultilevel"/>
    <w:lvl w:ilvl="0">
      <w:lvlJc w:val="left"/>
      <w:lvlText w:val="3"/>
      <w:numFmt w:val="bullet"/>
      <w:start w:val="1"/>
    </w:lvl>
  </w:abstractNum>
  <w:abstractNum w:abstractNumId="53">
    <w:nsid w:val="100F8FCA"/>
    <w:multiLevelType w:val="hybridMultilevel"/>
    <w:lvl w:ilvl="0">
      <w:lvlJc w:val="left"/>
      <w:lvlText w:val="4"/>
      <w:numFmt w:val="bullet"/>
      <w:start w:val="1"/>
    </w:lvl>
  </w:abstractNum>
  <w:abstractNum w:abstractNumId="54">
    <w:nsid w:val="6590700B"/>
    <w:multiLevelType w:val="hybridMultilevel"/>
    <w:lvl w:ilvl="0">
      <w:lvlJc w:val="left"/>
      <w:lvlText w:val="1"/>
      <w:numFmt w:val="bullet"/>
      <w:start w:val="1"/>
    </w:lvl>
  </w:abstractNum>
  <w:abstractNum w:abstractNumId="55">
    <w:nsid w:val="15014ACB"/>
    <w:multiLevelType w:val="hybridMultilevel"/>
    <w:lvl w:ilvl="0">
      <w:lvlJc w:val="left"/>
      <w:lvlText w:val="2"/>
      <w:numFmt w:val="bullet"/>
      <w:start w:val="1"/>
    </w:lvl>
  </w:abstractNum>
  <w:abstractNum w:abstractNumId="56">
    <w:nsid w:val="5F5E7FD0"/>
    <w:multiLevelType w:val="hybridMultilevel"/>
    <w:lvl w:ilvl="0">
      <w:lvlJc w:val="left"/>
      <w:lvlText w:val="3"/>
      <w:numFmt w:val="bullet"/>
      <w:start w:val="1"/>
    </w:lvl>
  </w:abstractNum>
  <w:abstractNum w:abstractNumId="57">
    <w:nsid w:val="98A3148"/>
    <w:multiLevelType w:val="hybridMultilevel"/>
    <w:lvl w:ilvl="0">
      <w:lvlJc w:val="left"/>
      <w:lvlText w:val="4"/>
      <w:numFmt w:val="bullet"/>
      <w:start w:val="1"/>
    </w:lvl>
  </w:abstractNum>
  <w:abstractNum w:abstractNumId="58">
    <w:nsid w:val="799D0247"/>
    <w:multiLevelType w:val="hybridMultilevel"/>
    <w:lvl w:ilvl="0">
      <w:lvlJc w:val="left"/>
      <w:lvlText w:val="1"/>
      <w:numFmt w:val="bullet"/>
      <w:start w:val="1"/>
    </w:lvl>
  </w:abstractNum>
  <w:abstractNum w:abstractNumId="59">
    <w:nsid w:val="6B94764"/>
    <w:multiLevelType w:val="hybridMultilevel"/>
    <w:lvl w:ilvl="0">
      <w:lvlJc w:val="left"/>
      <w:lvlText w:val="2"/>
      <w:numFmt w:val="bullet"/>
      <w:start w:val="1"/>
    </w:lvl>
  </w:abstractNum>
  <w:abstractNum w:abstractNumId="60">
    <w:nsid w:val="42C296BD"/>
    <w:multiLevelType w:val="hybridMultilevel"/>
    <w:lvl w:ilvl="0">
      <w:lvlJc w:val="left"/>
      <w:lvlText w:val="1"/>
      <w:numFmt w:val="bullet"/>
      <w:start w:val="1"/>
    </w:lvl>
  </w:abstractNum>
  <w:abstractNum w:abstractNumId="61">
    <w:nsid w:val="168E121F"/>
    <w:multiLevelType w:val="hybridMultilevel"/>
    <w:lvl w:ilvl="0">
      <w:lvlJc w:val="left"/>
      <w:lvlText w:val="6"/>
      <w:numFmt w:val="bullet"/>
      <w:start w:val="1"/>
    </w:lvl>
  </w:abstractNum>
  <w:abstractNum w:abstractNumId="62">
    <w:nsid w:val="1EBA5D23"/>
    <w:multiLevelType w:val="hybridMultilevel"/>
    <w:lvl w:ilvl="0">
      <w:lvlJc w:val="left"/>
      <w:lvlText w:val="7"/>
      <w:numFmt w:val="bullet"/>
      <w:start w:val="1"/>
    </w:lvl>
  </w:abstractNum>
  <w:abstractNum w:abstractNumId="63">
    <w:nsid w:val="661E3F1E"/>
    <w:multiLevelType w:val="hybridMultilevel"/>
    <w:lvl w:ilvl="0">
      <w:lvlJc w:val="left"/>
      <w:lvlText w:val="8"/>
      <w:numFmt w:val="bullet"/>
      <w:start w:val="1"/>
    </w:lvl>
  </w:abstractNum>
  <w:abstractNum w:abstractNumId="64">
    <w:nsid w:val="5DC79EA8"/>
    <w:multiLevelType w:val="hybridMultilevel"/>
    <w:lvl w:ilvl="0">
      <w:lvlJc w:val="left"/>
      <w:lvlText w:val="1"/>
      <w:numFmt w:val="bullet"/>
      <w:start w:val="1"/>
    </w:lvl>
  </w:abstractNum>
  <w:abstractNum w:abstractNumId="65">
    <w:nsid w:val="540A471C"/>
    <w:multiLevelType w:val="hybridMultilevel"/>
    <w:lvl w:ilvl="0">
      <w:lvlJc w:val="left"/>
      <w:lvlText w:val="3"/>
      <w:numFmt w:val="bullet"/>
      <w:start w:val="1"/>
    </w:lvl>
  </w:abstractNum>
  <w:abstractNum w:abstractNumId="66">
    <w:nsid w:val="7BD3EE7B"/>
    <w:multiLevelType w:val="hybridMultilevel"/>
    <w:lvl w:ilvl="0">
      <w:lvlJc w:val="left"/>
      <w:lvlText w:val="4"/>
      <w:numFmt w:val="bullet"/>
      <w:start w:val="1"/>
    </w:lvl>
  </w:abstractNum>
  <w:abstractNum w:abstractNumId="67">
    <w:nsid w:val="51D9C564"/>
    <w:multiLevelType w:val="hybridMultilevel"/>
    <w:lvl w:ilvl="0">
      <w:lvlJc w:val="left"/>
      <w:lvlText w:val="5"/>
      <w:numFmt w:val="bullet"/>
      <w:start w:val="1"/>
    </w:lvl>
  </w:abstractNum>
  <w:abstractNum w:abstractNumId="68">
    <w:nsid w:val="613EFDC5"/>
    <w:multiLevelType w:val="hybridMultilevel"/>
    <w:lvl w:ilvl="0">
      <w:lvlJc w:val="left"/>
      <w:lvlText w:val="6"/>
      <w:numFmt w:val="bullet"/>
      <w:start w:val="1"/>
    </w:lvl>
  </w:abstractNum>
  <w:abstractNum w:abstractNumId="69">
    <w:nsid w:val="BF72B14"/>
    <w:multiLevelType w:val="hybridMultilevel"/>
    <w:lvl w:ilvl="0">
      <w:lvlJc w:val="left"/>
      <w:lvlText w:val="1"/>
      <w:numFmt w:val="bullet"/>
      <w:start w:val="1"/>
    </w:lvl>
  </w:abstractNum>
  <w:abstractNum w:abstractNumId="70">
    <w:nsid w:val="11447B73"/>
    <w:multiLevelType w:val="hybridMultilevel"/>
    <w:lvl w:ilvl="0">
      <w:lvlJc w:val="left"/>
      <w:lvlText w:val="2"/>
      <w:numFmt w:val="bullet"/>
      <w:start w:val="1"/>
    </w:lvl>
  </w:abstractNum>
  <w:abstractNum w:abstractNumId="71">
    <w:nsid w:val="42963E5A"/>
    <w:multiLevelType w:val="hybridMultilevel"/>
    <w:lvl w:ilvl="0">
      <w:lvlJc w:val="left"/>
      <w:lvlText w:val="3"/>
      <w:numFmt w:val="bullet"/>
      <w:start w:val="1"/>
    </w:lvl>
  </w:abstractNum>
  <w:abstractNum w:abstractNumId="72">
    <w:nsid w:val="A0382C5"/>
    <w:multiLevelType w:val="hybridMultilevel"/>
    <w:lvl w:ilvl="0">
      <w:lvlJc w:val="left"/>
      <w:lvlText w:val="4"/>
      <w:numFmt w:val="bullet"/>
      <w:start w:val="1"/>
    </w:lvl>
  </w:abstractNum>
  <w:abstractNum w:abstractNumId="73">
    <w:nsid w:val="8F2B15E"/>
    <w:multiLevelType w:val="hybridMultilevel"/>
    <w:lvl w:ilvl="0">
      <w:lvlJc w:val="left"/>
      <w:lvlText w:val="1"/>
      <w:numFmt w:val="bullet"/>
      <w:start w:val="1"/>
    </w:lvl>
  </w:abstractNum>
  <w:abstractNum w:abstractNumId="74">
    <w:nsid w:val="1A32234B"/>
    <w:multiLevelType w:val="hybridMultilevel"/>
    <w:lvl w:ilvl="0">
      <w:lvlJc w:val="left"/>
      <w:lvlText w:val="2"/>
      <w:numFmt w:val="bullet"/>
      <w:start w:val="1"/>
    </w:lvl>
  </w:abstractNum>
  <w:abstractNum w:abstractNumId="75">
    <w:nsid w:val="3B0FD379"/>
    <w:multiLevelType w:val="hybridMultilevel"/>
    <w:lvl w:ilvl="0">
      <w:lvlJc w:val="left"/>
      <w:lvlText w:val="3"/>
      <w:numFmt w:val="bullet"/>
      <w:start w:val="1"/>
    </w:lvl>
  </w:abstractNum>
  <w:abstractNum w:abstractNumId="76">
    <w:nsid w:val="68EB2F63"/>
    <w:multiLevelType w:val="hybridMultilevel"/>
    <w:lvl w:ilvl="0">
      <w:lvlJc w:val="left"/>
      <w:lvlText w:val="4"/>
      <w:numFmt w:val="bullet"/>
      <w:start w:val="1"/>
    </w:lvl>
  </w:abstractNum>
  <w:abstractNum w:abstractNumId="77">
    <w:nsid w:val="4962813B"/>
    <w:multiLevelType w:val="hybridMultilevel"/>
    <w:lvl w:ilvl="0">
      <w:lvlJc w:val="left"/>
      <w:lvlText w:val="1"/>
      <w:numFmt w:val="bullet"/>
      <w:start w:val="1"/>
    </w:lvl>
  </w:abstractNum>
  <w:abstractNum w:abstractNumId="78">
    <w:nsid w:val="60B6DF70"/>
    <w:multiLevelType w:val="hybridMultilevel"/>
    <w:lvl w:ilvl="0">
      <w:lvlJc w:val="left"/>
      <w:lvlText w:val="2"/>
      <w:numFmt w:val="bullet"/>
      <w:start w:val="1"/>
    </w:lvl>
  </w:abstractNum>
  <w:abstractNum w:abstractNumId="79">
    <w:nsid w:val="6A5EE64"/>
    <w:multiLevelType w:val="hybridMultilevel"/>
    <w:lvl w:ilvl="0">
      <w:lvlJc w:val="left"/>
      <w:lvlText w:val="3"/>
      <w:numFmt w:val="bullet"/>
      <w:start w:val="1"/>
    </w:lvl>
  </w:abstractNum>
  <w:abstractNum w:abstractNumId="80">
    <w:nsid w:val="14330624"/>
    <w:multiLevelType w:val="hybridMultilevel"/>
    <w:lvl w:ilvl="0">
      <w:lvlJc w:val="left"/>
      <w:lvlText w:val="4"/>
      <w:numFmt w:val="bullet"/>
      <w:start w:val="1"/>
    </w:lvl>
  </w:abstractNum>
  <w:abstractNum w:abstractNumId="81">
    <w:nsid w:val="7FFFCA11"/>
    <w:multiLevelType w:val="hybridMultilevel"/>
    <w:lvl w:ilvl="0">
      <w:lvlJc w:val="left"/>
      <w:lvlText w:val="%1"/>
      <w:numFmt w:val="upperLetter"/>
      <w:start w:val="53"/>
    </w:lvl>
  </w:abstractNum>
  <w:abstractNum w:abstractNumId="82">
    <w:nsid w:val="1A27709E"/>
    <w:multiLevelType w:val="hybridMultilevel"/>
    <w:lvl w:ilvl="0">
      <w:lvlJc w:val="left"/>
      <w:lvlText w:val="%1"/>
      <w:numFmt w:val="upperLetter"/>
      <w:start w:val="4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2024-12-16T12:06:30Z</dcterms:created>
  <dcterms:modified xsi:type="dcterms:W3CDTF">2024-12-16T12:06:30Z</dcterms:modified>
</cp:coreProperties>
</file>