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240"/>
        <w:ind w:left="0" w:right="0" w:hanging="0"/>
        <w:jc w:val="center"/>
        <w:rPr/>
      </w:pPr>
      <w:bookmarkStart w:id="0" w:name="_4508328c_a884_43ef_bb6f_af76a02f682b"/>
      <w:bookmarkStart w:id="1" w:name="ese-20260630x10q.htm"/>
      <w:bookmarkStart w:id="2" w:name="ksese20260630x10q"/>
      <w:bookmarkEnd w:id="0"/>
      <w:bookmarkEnd w:id="1"/>
      <w:bookmarkEnd w:id="2"/>
      <w:r>
        <w:rPr/>
        <w:t>​</w:t>
      </w:r>
    </w:p>
    <w:p>
      <w:pPr>
        <w:pStyle w:val="TextBody"/>
        <w:pBdr/>
        <w:bidi w:val="0"/>
        <w:spacing w:before="0" w:after="240"/>
        <w:ind w:left="0" w:right="0" w:hanging="36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UNITED STATES</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SECURITIES AND EXCHANGE COMMISSION</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WASHINGTON, D.C. 20549</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 10-Q</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(MARK ONE)</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fm9FwhiIk0WKiq9nhzwQrA_1_1"/>
      <w:bookmarkStart w:id="4" w:name="_80b72688_8deb_496e_8e26_77b4a71ede86"/>
      <w:bookmarkStart w:id="5" w:name="Tc_fm9FwhiIk0WKiq9nhzwQrA_1_1"/>
      <w:bookmarkStart w:id="6" w:name="_80b72688_8deb_496e_8e26_77b4a71ede86"/>
      <w:bookmarkEnd w:id="5"/>
      <w:bookmarkEnd w:id="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QUARTERLY REPORT PURSUANT TO SECTION 13 OR 15(D) OF THE SECURITIES EXCHANGE ACT OF 1934 FOR THE QUARTERLY PERIOD ENDED JUNE 30, 2026</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OR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7" w:name="Tc_WdRCXdikqE2gaToxcG37qQ_1_1"/>
      <w:bookmarkStart w:id="8" w:name="_23078afd_fd10_4728_bec1_00f439ee1ebd"/>
      <w:bookmarkStart w:id="9" w:name="Tc_WdRCXdikqE2gaToxcG37qQ_1_1"/>
      <w:bookmarkStart w:id="10" w:name="_23078afd_fd10_4728_bec1_00f439ee1ebd"/>
      <w:bookmarkEnd w:id="9"/>
      <w:bookmarkEnd w:id="10"/>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269990" cy="29210"/>
                      <wp:effectExtent l="0" t="0" r="0" b="0"/>
                      <wp:wrapNone/>
                      <wp:docPr id="1" name="Frame1"/>
                      <a:graphic xmlns:a="http://schemas.openxmlformats.org/drawingml/2006/main">
                        <a:graphicData uri="http://schemas.microsoft.com/office/word/2010/wordprocessingShape">
                          <wps:wsp>
                            <wps:cNvSpPr txBox="1"/>
                            <wps:spPr>
                              <a:xfrm>
                                <a:off x="0" y="0"/>
                                <a:ext cx="62699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TRANSITION REPORT PURSUANT TO SECTION 13 OR 15(D) OF THE SECURITIES EXCHANGE ACT OF 1934 FOR THE TRANSITION PERIOD FROM             TO            </w:t>
            </w:r>
          </w:p>
        </w:tc>
      </w:tr>
    </w:tbl>
    <w:p>
      <w:pPr>
        <w:pStyle w:val="TextBody"/>
        <w:pBdr/>
        <w:bidi w:val="0"/>
        <w:spacing w:before="0" w:after="0"/>
        <w:ind w:left="0" w:right="0" w:hanging="360"/>
        <w:jc w:val="left"/>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COMMISSION FILE NUMBER 1-10596</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ESCO TECHNOLOGIES INC.</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1" w:name="Tc_JTZJue61_0eWxucT4l-_wQ_6_1"/>
      <w:bookmarkStart w:id="12" w:name="Tc_Lsz8A-DuKEycKk4UF0mF0A_6_0"/>
      <w:bookmarkStart w:id="13" w:name="Tc_UB-ffI6F0k2yIB5KbJDSmg_5_0"/>
      <w:bookmarkStart w:id="14" w:name="Tc_Zh4LI4iEpkGcgBmoAEtanQ_4_0"/>
      <w:bookmarkStart w:id="15" w:name="Tc_eJaK0aX9mkqbJtQOXLHv2g_2_1"/>
      <w:bookmarkStart w:id="16" w:name="Tc_FKLU7mA81ke0h6FRY8r17Q_2_0"/>
      <w:bookmarkStart w:id="17" w:name="Tc_qyqQrSgU-kGKNVeNGzCRwA_1_1"/>
      <w:bookmarkStart w:id="18" w:name="Tc_tHV-3j3WrUWij15NZ0GUfA_1_0"/>
      <w:bookmarkStart w:id="19" w:name="_dfae55d3_a740_436e_a766_4735fba49997"/>
      <w:bookmarkStart w:id="20" w:name="Tc_JTZJue61_0eWxucT4l-_wQ_6_1"/>
      <w:bookmarkStart w:id="21" w:name="Tc_Lsz8A-DuKEycKk4UF0mF0A_6_0"/>
      <w:bookmarkStart w:id="22" w:name="Tc_UB-ffI6F0k2yIB5KbJDSmg_5_0"/>
      <w:bookmarkStart w:id="23" w:name="Tc_Zh4LI4iEpkGcgBmoAEtanQ_4_0"/>
      <w:bookmarkStart w:id="24" w:name="Tc_eJaK0aX9mkqbJtQOXLHv2g_2_1"/>
      <w:bookmarkStart w:id="25" w:name="Tc_FKLU7mA81ke0h6FRY8r17Q_2_0"/>
      <w:bookmarkStart w:id="26" w:name="Tc_qyqQrSgU-kGKNVeNGzCRwA_1_1"/>
      <w:bookmarkStart w:id="27" w:name="Tc_tHV-3j3WrUWij15NZ0GUfA_1_0"/>
      <w:bookmarkStart w:id="28" w:name="_dfae55d3_a740_436e_a766_4735fba49997"/>
      <w:bookmarkEnd w:id="20"/>
      <w:bookmarkEnd w:id="21"/>
      <w:bookmarkEnd w:id="22"/>
      <w:bookmarkEnd w:id="23"/>
      <w:bookmarkEnd w:id="24"/>
      <w:bookmarkEnd w:id="25"/>
      <w:bookmarkEnd w:id="26"/>
      <w:bookmarkEnd w:id="27"/>
      <w:bookmarkEnd w:id="28"/>
    </w:p>
    <w:tbl>
      <w:tblPr>
        <w:tblW w:w="4952" w:type="dxa"/>
        <w:jc w:val="left"/>
        <w:tblInd w:w="0" w:type="dxa"/>
        <w:tblLayout w:type="fixed"/>
        <w:tblCellMar>
          <w:top w:w="0" w:type="dxa"/>
          <w:left w:w="0" w:type="dxa"/>
          <w:bottom w:w="0" w:type="dxa"/>
          <w:right w:w="0" w:type="dxa"/>
        </w:tblCellMar>
      </w:tblPr>
      <w:tblGrid>
        <w:gridCol w:w="3496"/>
        <w:gridCol w:w="1456"/>
      </w:tblGrid>
      <w:tr>
        <w:trPr/>
        <w:tc>
          <w:tcPr>
            <w:tcW w:w="3496"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MISSOURI</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43-1554045</w:t>
            </w:r>
          </w:p>
        </w:tc>
      </w:tr>
      <w:tr>
        <w:trPr/>
        <w:tc>
          <w:tcPr>
            <w:tcW w:w="34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(State or other jurisdiction of</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w:t>
            </w:r>
          </w:p>
        </w:tc>
      </w:tr>
      <w:tr>
        <w:trPr/>
        <w:tc>
          <w:tcPr>
            <w:tcW w:w="34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incorporation or organization)</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Identification No.)</w:t>
            </w:r>
          </w:p>
        </w:tc>
      </w:tr>
      <w:tr>
        <w:trPr/>
        <w:tc>
          <w:tcPr>
            <w:tcW w:w="3496" w:type="dxa"/>
            <w:tcBorders/>
            <w:vAlign w:val="center"/>
          </w:tcPr>
          <w:p>
            <w:pPr>
              <w:pStyle w:val="TableContents"/>
              <w:bidi w:val="0"/>
              <w:spacing w:before="0" w:after="0"/>
              <w:ind w:left="0" w:right="0" w:hanging="0"/>
              <w:jc w:val="center"/>
              <w:rPr/>
            </w:pPr>
            <w:r>
              <w:rPr/>
              <w:t>​</w:t>
            </w:r>
          </w:p>
        </w:tc>
        <w:tc>
          <w:tcPr>
            <w:tcW w:w="1456" w:type="dxa"/>
            <w:tcBorders/>
            <w:vAlign w:val="center"/>
          </w:tcPr>
          <w:p>
            <w:pPr>
              <w:pStyle w:val="TableContents"/>
              <w:bidi w:val="0"/>
              <w:spacing w:before="0" w:after="0"/>
              <w:ind w:left="0" w:right="0" w:hanging="0"/>
              <w:jc w:val="center"/>
              <w:rPr/>
            </w:pPr>
            <w:r>
              <w:rPr/>
              <w:t>​</w:t>
            </w:r>
          </w:p>
        </w:tc>
      </w:tr>
      <w:tr>
        <w:trPr/>
        <w:tc>
          <w:tcPr>
            <w:tcW w:w="34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645 MARYVILLE CENTRE DR.,</w:t>
            </w:r>
            <w:r>
              <w:rPr>
                <w:rFonts w:ascii="Times New Roman;Times;serif" w:hAnsi="Times New Roman;Times;serif"/>
                <w:sz w:val="20"/>
              </w:rPr>
              <w:t xml:space="preserve"> </w:t>
            </w:r>
            <w:r>
              <w:rPr>
                <w:rFonts w:ascii="Times New Roman;Times;serif" w:hAnsi="Times New Roman;Times;serif"/>
                <w:sz w:val="18"/>
              </w:rPr>
              <w:t>SUITE 300</w:t>
            </w:r>
          </w:p>
        </w:tc>
        <w:tc>
          <w:tcPr>
            <w:tcW w:w="1456" w:type="dxa"/>
            <w:tcBorders/>
            <w:vAlign w:val="center"/>
          </w:tcPr>
          <w:p>
            <w:pPr>
              <w:pStyle w:val="TableContents"/>
              <w:bidi w:val="0"/>
              <w:spacing w:before="0" w:after="0"/>
              <w:ind w:left="0" w:right="0" w:hanging="0"/>
              <w:jc w:val="center"/>
              <w:rPr/>
            </w:pPr>
            <w:r>
              <w:rPr/>
              <w:t>​</w:t>
            </w:r>
          </w:p>
        </w:tc>
      </w:tr>
      <w:tr>
        <w:trPr/>
        <w:tc>
          <w:tcPr>
            <w:tcW w:w="349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 xml:space="preserve">ST. LOUIS, </w:t>
            </w:r>
            <w:r>
              <w:rPr>
                <w:rFonts w:ascii="Times New Roman;Times;serif" w:hAnsi="Times New Roman;Times;serif"/>
                <w:b w:val="false"/>
                <w:i w:val="false"/>
                <w:caps w:val="false"/>
                <w:smallCaps w:val="false"/>
                <w:sz w:val="18"/>
              </w:rPr>
              <w:t>MISSOURI</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63141-5855</w:t>
            </w:r>
          </w:p>
        </w:tc>
      </w:tr>
      <w:tr>
        <w:trPr/>
        <w:tc>
          <w:tcPr>
            <w:tcW w:w="34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(314) 213-7200</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9" w:name="Tc_EkeTHBJhYkGEXLjL3sJiPQ_1_4"/>
      <w:bookmarkStart w:id="30" w:name="Tc_7WMlzR6NK02_1f9jgojxrw_1_2"/>
      <w:bookmarkStart w:id="31" w:name="Tc_0iFj6bkEPkOv4h3PfUp8VA_1_0"/>
      <w:bookmarkStart w:id="32" w:name="_d2c07665_ae34_4c04_a2e5_9774fc50bcd7"/>
      <w:bookmarkStart w:id="33" w:name="Tc_EkeTHBJhYkGEXLjL3sJiPQ_1_4"/>
      <w:bookmarkStart w:id="34" w:name="Tc_7WMlzR6NK02_1f9jgojxrw_1_2"/>
      <w:bookmarkStart w:id="35" w:name="Tc_0iFj6bkEPkOv4h3PfUp8VA_1_0"/>
      <w:bookmarkStart w:id="36" w:name="_d2c07665_ae34_4c04_a2e5_9774fc50bcd7"/>
      <w:bookmarkEnd w:id="33"/>
      <w:bookmarkEnd w:id="34"/>
      <w:bookmarkEnd w:id="35"/>
      <w:bookmarkEnd w:id="36"/>
    </w:p>
    <w:tbl>
      <w:tblPr>
        <w:tblW w:w="9515" w:type="dxa"/>
        <w:jc w:val="left"/>
        <w:tblInd w:w="0" w:type="dxa"/>
        <w:tblLayout w:type="fixed"/>
        <w:tblCellMar>
          <w:top w:w="0" w:type="dxa"/>
          <w:left w:w="0" w:type="dxa"/>
          <w:bottom w:w="0" w:type="dxa"/>
          <w:right w:w="0" w:type="dxa"/>
        </w:tblCellMar>
      </w:tblPr>
      <w:tblGrid>
        <w:gridCol w:w="3496"/>
        <w:gridCol w:w="346"/>
        <w:gridCol w:w="1621"/>
        <w:gridCol w:w="346"/>
        <w:gridCol w:w="3706"/>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219960" cy="175260"/>
                      <wp:effectExtent l="0" t="0" r="0" b="0"/>
                      <wp:wrapNone/>
                      <wp:docPr id="2" name="Frame2"/>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029335" cy="175260"/>
                      <wp:effectExtent l="0" t="0" r="0" b="0"/>
                      <wp:wrapNone/>
                      <wp:docPr id="3" name="Frame3"/>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353310" cy="175260"/>
                      <wp:effectExtent l="0" t="0" r="0" b="0"/>
                      <wp:wrapNone/>
                      <wp:docPr id="4" name="Frame4"/>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346" w:type="dxa"/>
            <w:tcBorders/>
            <w:vAlign w:val="center"/>
          </w:tcPr>
          <w:p>
            <w:pPr>
              <w:pStyle w:val="TableContents"/>
              <w:bidi w:val="0"/>
              <w:spacing w:before="0" w:after="0"/>
              <w:ind w:left="0" w:right="0" w:hanging="0"/>
              <w:jc w:val="center"/>
              <w:rPr/>
            </w:pPr>
            <w:r>
              <w:rPr/>
              <w:t>  ​ ​ ​</w:t>
            </w:r>
          </w:p>
        </w:tc>
        <w:tc>
          <w:tcPr>
            <w:tcW w:w="16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46" w:type="dxa"/>
            <w:tcBorders/>
            <w:vAlign w:val="center"/>
          </w:tcPr>
          <w:p>
            <w:pPr>
              <w:pStyle w:val="TableContents"/>
              <w:bidi w:val="0"/>
              <w:spacing w:before="0" w:after="0"/>
              <w:ind w:left="0" w:right="0" w:hanging="0"/>
              <w:jc w:val="center"/>
              <w:rPr/>
            </w:pPr>
            <w:r>
              <w:rPr/>
              <w:t>  ​ ​ ​</w:t>
            </w:r>
          </w:p>
        </w:tc>
        <w:tc>
          <w:tcPr>
            <w:tcW w:w="3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49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$0.01 per share</w:t>
            </w:r>
          </w:p>
        </w:tc>
        <w:tc>
          <w:tcPr>
            <w:tcW w:w="346" w:type="dxa"/>
            <w:tcBorders/>
            <w:vAlign w:val="center"/>
          </w:tcPr>
          <w:p>
            <w:pPr>
              <w:pStyle w:val="TableContents"/>
              <w:bidi w:val="0"/>
              <w:spacing w:before="0" w:after="0"/>
              <w:ind w:left="0" w:right="0" w:hanging="0"/>
              <w:jc w:val="center"/>
              <w:rPr/>
            </w:pPr>
            <w:r>
              <w:rPr/>
              <w:t>​</w:t>
            </w:r>
          </w:p>
        </w:tc>
        <w:tc>
          <w:tcPr>
            <w:tcW w:w="162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ESE</w:t>
            </w:r>
          </w:p>
        </w:tc>
        <w:tc>
          <w:tcPr>
            <w:tcW w:w="346" w:type="dxa"/>
            <w:tcBorders/>
            <w:vAlign w:val="center"/>
          </w:tcPr>
          <w:p>
            <w:pPr>
              <w:pStyle w:val="TableContents"/>
              <w:bidi w:val="0"/>
              <w:spacing w:before="0" w:after="0"/>
              <w:ind w:left="0" w:right="0" w:hanging="0"/>
              <w:jc w:val="center"/>
              <w:rPr/>
            </w:pPr>
            <w:r>
              <w:rPr/>
              <w:t>​</w:t>
            </w:r>
          </w:p>
        </w:tc>
        <w:tc>
          <w:tcPr>
            <w:tcW w:w="37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New York Stock Exchange</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7" w:name="Tc_tY00FT1pDkCqGniqcBqGGg_2_0"/>
      <w:bookmarkStart w:id="38" w:name="Tc_DDf1W4f6hky0cGN50BMnjw_1_2"/>
      <w:bookmarkStart w:id="39" w:name="Tc_6PJbXfFNG0Sb8BmIu5JfwQ_1_1"/>
      <w:bookmarkStart w:id="40" w:name="Tc_obatW3DUp0yhzQtIVhUsXw_1_0"/>
      <w:bookmarkStart w:id="41" w:name="Tc_X87rCYTeE0qAs4VosbFokg_0_3"/>
      <w:bookmarkStart w:id="42" w:name="Tc_WgyPNRcLikqFaZxur9urHw_0_2"/>
      <w:bookmarkStart w:id="43" w:name="Tc_bPxE7B_1_EqLUuErwhbjFA_0_1"/>
      <w:bookmarkStart w:id="44" w:name="Tc_BLFGzXzgWEiao26Yh3SFbA_0_0"/>
      <w:bookmarkStart w:id="45" w:name="_34e4ecde_3078_46dc_a0f7_749428c90b20"/>
      <w:bookmarkStart w:id="46" w:name="Tc_tY00FT1pDkCqGniqcBqGGg_2_0"/>
      <w:bookmarkStart w:id="47" w:name="Tc_DDf1W4f6hky0cGN50BMnjw_1_2"/>
      <w:bookmarkStart w:id="48" w:name="Tc_6PJbXfFNG0Sb8BmIu5JfwQ_1_1"/>
      <w:bookmarkStart w:id="49" w:name="Tc_obatW3DUp0yhzQtIVhUsXw_1_0"/>
      <w:bookmarkStart w:id="50" w:name="Tc_X87rCYTeE0qAs4VosbFokg_0_3"/>
      <w:bookmarkStart w:id="51" w:name="Tc_WgyPNRcLikqFaZxur9urHw_0_2"/>
      <w:bookmarkStart w:id="52" w:name="Tc_bPxE7B_1_EqLUuErwhbjFA_0_1"/>
      <w:bookmarkStart w:id="53" w:name="Tc_BLFGzXzgWEiao26Yh3SFbA_0_0"/>
      <w:bookmarkStart w:id="54" w:name="_34e4ecde_3078_46dc_a0f7_749428c90b20"/>
      <w:bookmarkEnd w:id="46"/>
      <w:bookmarkEnd w:id="47"/>
      <w:bookmarkEnd w:id="48"/>
      <w:bookmarkEnd w:id="49"/>
      <w:bookmarkEnd w:id="50"/>
      <w:bookmarkEnd w:id="51"/>
      <w:bookmarkEnd w:id="52"/>
      <w:bookmarkEnd w:id="53"/>
      <w:bookmarkEnd w:id="54"/>
    </w:p>
    <w:tbl>
      <w:tblPr>
        <w:tblW w:w="4804" w:type="dxa"/>
        <w:jc w:val="left"/>
        <w:tblInd w:w="0" w:type="dxa"/>
        <w:tblLayout w:type="fixed"/>
        <w:tblCellMar>
          <w:top w:w="0" w:type="dxa"/>
          <w:left w:w="0" w:type="dxa"/>
          <w:bottom w:w="0" w:type="dxa"/>
          <w:right w:w="0" w:type="dxa"/>
        </w:tblCellMar>
      </w:tblPr>
      <w:tblGrid>
        <w:gridCol w:w="2101"/>
        <w:gridCol w:w="316"/>
        <w:gridCol w:w="2026"/>
        <w:gridCol w:w="361"/>
      </w:tblGrid>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18"/>
              </w:rPr>
              <w:t>Large accelerated filer</w:t>
            </w:r>
            <w:r>
              <w:rPr>
                <w:rFonts w:ascii="Times New Roman;Times;serif" w:hAnsi="Times New Roman;Times;serif"/>
                <w:sz w:val="20"/>
              </w:rPr>
              <w:t xml:space="preserve"> </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Non-accelerated filer </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Emerging growth company </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 </w:t>
            </w:r>
          </w:p>
        </w:tc>
        <w:tc>
          <w:tcPr>
            <w:tcW w:w="361" w:type="dxa"/>
            <w:tcBorders/>
            <w:vAlign w:val="center"/>
          </w:tcPr>
          <w:p>
            <w:pPr>
              <w:pStyle w:val="TableContents"/>
              <w:bidi w:val="0"/>
              <w:spacing w:before="0" w:after="24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the number of shares outstanding of each of the issuer’s classes of common stock, as of the latest practicable date.</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55" w:name="Tc_-6qHDPFttEWYQcTaVRZOFg_2_0"/>
      <w:bookmarkStart w:id="56" w:name="Tc_bdlKVWtq-kuxAHajxJxrRA_1_2"/>
      <w:bookmarkStart w:id="57" w:name="Tc_PBDiSRt-L0iS2IkNCYaGXg_1_0"/>
      <w:bookmarkStart w:id="58" w:name="_602c5b5a_8ef5_458e_8b5d_fb715d710ad1"/>
      <w:bookmarkStart w:id="59" w:name="Tc_-6qHDPFttEWYQcTaVRZOFg_2_0"/>
      <w:bookmarkStart w:id="60" w:name="Tc_bdlKVWtq-kuxAHajxJxrRA_1_2"/>
      <w:bookmarkStart w:id="61" w:name="Tc_PBDiSRt-L0iS2IkNCYaGXg_1_0"/>
      <w:bookmarkStart w:id="62" w:name="_602c5b5a_8ef5_458e_8b5d_fb715d710ad1"/>
      <w:bookmarkEnd w:id="59"/>
      <w:bookmarkEnd w:id="60"/>
      <w:bookmarkEnd w:id="61"/>
      <w:bookmarkEnd w:id="62"/>
    </w:p>
    <w:tbl>
      <w:tblPr>
        <w:tblW w:w="6228" w:type="dxa"/>
        <w:jc w:val="left"/>
        <w:tblInd w:w="0" w:type="dxa"/>
        <w:tblLayout w:type="fixed"/>
        <w:tblCellMar>
          <w:top w:w="0" w:type="dxa"/>
          <w:left w:w="0" w:type="dxa"/>
          <w:bottom w:w="0" w:type="dxa"/>
          <w:right w:w="0" w:type="dxa"/>
        </w:tblCellMar>
      </w:tblPr>
      <w:tblGrid>
        <w:gridCol w:w="2986"/>
        <w:gridCol w:w="346"/>
        <w:gridCol w:w="2896"/>
      </w:tblGrid>
      <w:tr>
        <w:trPr/>
        <w:tc>
          <w:tcPr>
            <w:tcW w:w="298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p>
        </w:tc>
        <w:tc>
          <w:tcPr>
            <w:tcW w:w="2896" w:type="dxa"/>
            <w:tcBorders/>
            <w:vAlign w:val="center"/>
          </w:tcPr>
          <w:p>
            <w:pPr>
              <w:pStyle w:val="TableContents"/>
              <w:bidi w:val="0"/>
              <w:spacing w:before="0" w:after="283"/>
              <w:ind w:left="0" w:right="0" w:hanging="0"/>
              <w:jc w:val="left"/>
              <w:rPr>
                <w:sz w:val="4"/>
                <w:szCs w:val="4"/>
              </w:rPr>
            </w:pPr>
            <w:r>
              <w:rPr>
                <w:sz w:val="4"/>
                <w:szCs w:val="4"/>
              </w:rPr>
            </w:r>
          </w:p>
        </w:tc>
      </w:tr>
      <w:tr>
        <w:trPr/>
        <w:tc>
          <w:tcPr>
            <w:tcW w:w="298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Class</w:t>
            </w:r>
          </w:p>
        </w:tc>
        <w:tc>
          <w:tcPr>
            <w:tcW w:w="346" w:type="dxa"/>
            <w:tcBorders/>
            <w:vAlign w:val="center"/>
          </w:tcPr>
          <w:p>
            <w:pPr>
              <w:pStyle w:val="TableContents"/>
              <w:bidi w:val="0"/>
              <w:spacing w:before="0" w:after="0"/>
              <w:ind w:left="0" w:right="0" w:hanging="0"/>
              <w:jc w:val="center"/>
              <w:rPr/>
            </w:pPr>
            <w:r>
              <w:rPr/>
              <w:t>  ​ ​ ​</w:t>
            </w:r>
          </w:p>
        </w:tc>
        <w:tc>
          <w:tcPr>
            <w:tcW w:w="289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Shares outstanding at July 31, 2026</w:t>
            </w:r>
          </w:p>
        </w:tc>
      </w:tr>
      <w:tr>
        <w:trPr/>
        <w:tc>
          <w:tcPr>
            <w:tcW w:w="298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$.01 par value per share</w:t>
            </w:r>
          </w:p>
        </w:tc>
        <w:tc>
          <w:tcPr>
            <w:tcW w:w="346" w:type="dxa"/>
            <w:tcBorders/>
            <w:vAlign w:val="center"/>
          </w:tcPr>
          <w:p>
            <w:pPr>
              <w:pStyle w:val="TableContents"/>
              <w:bidi w:val="0"/>
              <w:spacing w:before="0" w:after="0"/>
              <w:ind w:left="0" w:right="0" w:hanging="0"/>
              <w:jc w:val="center"/>
              <w:rPr/>
            </w:pPr>
            <w:r>
              <w:rPr/>
              <w:t> </w:t>
            </w:r>
          </w:p>
        </w:tc>
        <w:tc>
          <w:tcPr>
            <w:tcW w:w="2896" w:type="dxa"/>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25,907,567</w:t>
            </w:r>
          </w:p>
        </w:tc>
      </w:tr>
    </w:tbl>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63" w:name="_e6936cc5_f948_4f77_94e5_2f55eb3e6dd3"/>
      <w:bookmarkEnd w:id="63"/>
      <w:r>
        <w:rPr>
          <w:rFonts w:ascii="Times New Roman;Times;serif" w:hAnsi="Times New Roman;Times;serif"/>
          <w:sz w:val="20"/>
        </w:rPr>
        <w:t>PART I. FINANCIAL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ITEM 1. FINANCIAL STATEMENTS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ESCO TECHNOLOGIES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CONDENSED CONSOLIDATED STATEMENTS OF OPERATIONS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(Dollars in thousands, except per share amounts)</w:t>
      </w:r>
    </w:p>
    <w:p>
      <w:pPr>
        <w:pStyle w:val="TextBody"/>
        <w:bidi w:val="0"/>
        <w:spacing w:before="0" w:after="240"/>
        <w:ind w:left="0" w:right="0" w:hanging="0"/>
        <w:jc w:val="center"/>
        <w:rPr>
          <w:shd w:fill="FFFF00" w:val="clear"/>
        </w:rPr>
      </w:pPr>
      <w:r>
        <w:rPr>
          <w:shd w:fill="FFFF00" w:val="clear"/>
        </w:rPr>
        <w:t>​</w:t>
      </w:r>
    </w:p>
    <w:p>
      <w:pPr>
        <w:pStyle w:val="Normal"/>
        <w:bidi w:val="0"/>
        <w:spacing w:before="0" w:after="0"/>
        <w:jc w:val="left"/>
        <w:rPr>
          <w:sz w:val="4"/>
          <w:szCs w:val="4"/>
        </w:rPr>
      </w:pPr>
      <w:r>
        <w:rPr>
          <w:sz w:val="4"/>
          <w:szCs w:val="4"/>
        </w:rPr>
      </w:r>
      <w:bookmarkStart w:id="64" w:name="Tc_Y_awAzMQu0KR3stShGGedg_27_2"/>
      <w:bookmarkStart w:id="65" w:name="Tc_YLvLVkFcgkmh2-Xsuk_Buw_27_0"/>
      <w:bookmarkStart w:id="66" w:name="Tc_ORr0snX1eUeTrEuahJEFkA_26_0"/>
      <w:bookmarkStart w:id="67" w:name="Tc_Cfk6NjhHyEqLzBIrcVj6Fw_25_2"/>
      <w:bookmarkStart w:id="68" w:name="Tc_PC_xgJEkAEe5f2hYI9MG2A_25_0"/>
      <w:bookmarkStart w:id="69" w:name="Tc_E-Apnh9Qd0GI5dsg0OGdcw_23_2"/>
      <w:bookmarkStart w:id="70" w:name="Tc_cj5aRuuHEEupnw34vJ3PhA_23_0"/>
      <w:bookmarkStart w:id="71" w:name="Tc_F9jx0Svolk2-aqcjK0tyrw_22_0"/>
      <w:bookmarkStart w:id="72" w:name="Tc_YkXISjMD5k-5Eu_OzVcJPg_21_2"/>
      <w:bookmarkStart w:id="73" w:name="Tc_ylQZE6Hq_0GjpF9c9KdLXw_21_0"/>
      <w:bookmarkStart w:id="74" w:name="Tc_fAfStvt1kEi6AZunDYXy3g_20_0"/>
      <w:bookmarkStart w:id="75" w:name="Tc_Xz17L2UpQkm7oKcbl6tZaQ_18_2"/>
      <w:bookmarkStart w:id="76" w:name="Tc_cVPpQgWrokeKOoNAbZntrQ_18_0"/>
      <w:bookmarkStart w:id="77" w:name="Tc_09Ug8MCK_UaotdrcE5e52Q_16_3"/>
      <w:bookmarkStart w:id="78" w:name="Tc_XkMGuxePoEyuCaQ5324qQQ_16_0"/>
      <w:bookmarkStart w:id="79" w:name="Tc_pfi2FEjgNU-2E4FbN-_OmA_15_0"/>
      <w:bookmarkStart w:id="80" w:name="Tc_aMm9xu05XE2W2mCkMuU7Ug_14_0"/>
      <w:bookmarkStart w:id="81" w:name="Tc_6hhke6uE80ixyIyKQoXDBw_13_0"/>
      <w:bookmarkStart w:id="82" w:name="Tc_gX5raFG9_keY5xYGlu7HAw_11_0"/>
      <w:bookmarkStart w:id="83" w:name="Tc_cAsKO9zRLEqUw8IPF9DzcA_10_0"/>
      <w:bookmarkStart w:id="84" w:name="Tc_WLHmSBIEDUaccYQl0QDh5Q_9_0"/>
      <w:bookmarkStart w:id="85" w:name="Tc_zl2KcIFbE0igi4IpOtQCCw_8_0"/>
      <w:bookmarkStart w:id="86" w:name="Tc_4v-wwp_BRkGRwJcBdRsX6g_7_0"/>
      <w:bookmarkStart w:id="87" w:name="Tc_HDaMKkvBt0-YWf5cXaU8tw_6_0"/>
      <w:bookmarkStart w:id="88" w:name="Tc_Caq53PPXAUOfbnvaV44deA_5_0"/>
      <w:bookmarkStart w:id="89" w:name="Tc_hZ7NqZJivU6d-p8igBgg2A_4_2"/>
      <w:bookmarkStart w:id="90" w:name="Tc_zk-ZZ3vXvkyxe1k5wLajvA_4_0"/>
      <w:bookmarkStart w:id="91" w:name="Tc_fplt1QGdH0ixdnCx20qc5w_3_5"/>
      <w:bookmarkStart w:id="92" w:name="Tc_ko0BjRwmBUO_-uwC-rJsBA_3_2"/>
      <w:bookmarkStart w:id="93" w:name="Tc_VcQ-CkFsAEi7eXfonMAruA_2_2"/>
      <w:bookmarkStart w:id="94" w:name="Tc_Vl177hvoDkWkLtAesf69bw_1_2"/>
      <w:bookmarkStart w:id="95" w:name="_dda22008_30dc_4f3d_91a3_d1c033580b89"/>
      <w:bookmarkStart w:id="96" w:name="Tc_Y_awAzMQu0KR3stShGGedg_27_2"/>
      <w:bookmarkStart w:id="97" w:name="Tc_YLvLVkFcgkmh2-Xsuk_Buw_27_0"/>
      <w:bookmarkStart w:id="98" w:name="Tc_ORr0snX1eUeTrEuahJEFkA_26_0"/>
      <w:bookmarkStart w:id="99" w:name="Tc_Cfk6NjhHyEqLzBIrcVj6Fw_25_2"/>
      <w:bookmarkStart w:id="100" w:name="Tc_PC_xgJEkAEe5f2hYI9MG2A_25_0"/>
      <w:bookmarkStart w:id="101" w:name="Tc_E-Apnh9Qd0GI5dsg0OGdcw_23_2"/>
      <w:bookmarkStart w:id="102" w:name="Tc_cj5aRuuHEEupnw34vJ3PhA_23_0"/>
      <w:bookmarkStart w:id="103" w:name="Tc_F9jx0Svolk2-aqcjK0tyrw_22_0"/>
      <w:bookmarkStart w:id="104" w:name="Tc_YkXISjMD5k-5Eu_OzVcJPg_21_2"/>
      <w:bookmarkStart w:id="105" w:name="Tc_ylQZE6Hq_0GjpF9c9KdLXw_21_0"/>
      <w:bookmarkStart w:id="106" w:name="Tc_fAfStvt1kEi6AZunDYXy3g_20_0"/>
      <w:bookmarkStart w:id="107" w:name="Tc_Xz17L2UpQkm7oKcbl6tZaQ_18_2"/>
      <w:bookmarkStart w:id="108" w:name="Tc_cVPpQgWrokeKOoNAbZntrQ_18_0"/>
      <w:bookmarkStart w:id="109" w:name="Tc_09Ug8MCK_UaotdrcE5e52Q_16_3"/>
      <w:bookmarkStart w:id="110" w:name="Tc_XkMGuxePoEyuCaQ5324qQQ_16_0"/>
      <w:bookmarkStart w:id="111" w:name="Tc_pfi2FEjgNU-2E4FbN-_OmA_15_0"/>
      <w:bookmarkStart w:id="112" w:name="Tc_aMm9xu05XE2W2mCkMuU7Ug_14_0"/>
      <w:bookmarkStart w:id="113" w:name="Tc_6hhke6uE80ixyIyKQoXDBw_13_0"/>
      <w:bookmarkStart w:id="114" w:name="Tc_gX5raFG9_keY5xYGlu7HAw_11_0"/>
      <w:bookmarkStart w:id="115" w:name="Tc_cAsKO9zRLEqUw8IPF9DzcA_10_0"/>
      <w:bookmarkStart w:id="116" w:name="Tc_WLHmSBIEDUaccYQl0QDh5Q_9_0"/>
      <w:bookmarkStart w:id="117" w:name="Tc_zl2KcIFbE0igi4IpOtQCCw_8_0"/>
      <w:bookmarkStart w:id="118" w:name="Tc_4v-wwp_BRkGRwJcBdRsX6g_7_0"/>
      <w:bookmarkStart w:id="119" w:name="Tc_HDaMKkvBt0-YWf5cXaU8tw_6_0"/>
      <w:bookmarkStart w:id="120" w:name="Tc_Caq53PPXAUOfbnvaV44deA_5_0"/>
      <w:bookmarkStart w:id="121" w:name="Tc_hZ7NqZJivU6d-p8igBgg2A_4_2"/>
      <w:bookmarkStart w:id="122" w:name="Tc_zk-ZZ3vXvkyxe1k5wLajvA_4_0"/>
      <w:bookmarkStart w:id="123" w:name="Tc_fplt1QGdH0ixdnCx20qc5w_3_5"/>
      <w:bookmarkStart w:id="124" w:name="Tc_ko0BjRwmBUO_-uwC-rJsBA_3_2"/>
      <w:bookmarkStart w:id="125" w:name="Tc_VcQ-CkFsAEi7eXfonMAruA_2_2"/>
      <w:bookmarkStart w:id="126" w:name="Tc_Vl177hvoDkWkLtAesf69bw_1_2"/>
      <w:bookmarkStart w:id="127" w:name="_dda22008_30dc_4f3d_91a3_d1c033580b89"/>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p>
    <w:tbl>
      <w:tblPr>
        <w:tblW w:w="8661" w:type="dxa"/>
        <w:jc w:val="left"/>
        <w:tblInd w:w="0" w:type="dxa"/>
        <w:tblLayout w:type="fixed"/>
        <w:tblCellMar>
          <w:top w:w="0" w:type="dxa"/>
          <w:left w:w="0" w:type="dxa"/>
          <w:bottom w:w="0" w:type="dxa"/>
          <w:right w:w="0" w:type="dxa"/>
        </w:tblCellMar>
      </w:tblPr>
      <w:tblGrid>
        <w:gridCol w:w="6151"/>
        <w:gridCol w:w="346"/>
        <w:gridCol w:w="211"/>
        <w:gridCol w:w="781"/>
        <w:gridCol w:w="346"/>
        <w:gridCol w:w="826"/>
      </w:tblGrid>
      <w:tr>
        <w:trPr/>
        <w:tc>
          <w:tcPr>
            <w:tcW w:w="6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3905885" cy="175260"/>
                      <wp:effectExtent l="0" t="0" r="0" b="0"/>
                      <wp:wrapNone/>
                      <wp:docPr id="5" name="Frame5"/>
                      <a:graphic xmlns:a="http://schemas.openxmlformats.org/drawingml/2006/main">
                        <a:graphicData uri="http://schemas.microsoft.com/office/word/2010/wordprocessingShape">
                          <wps:wsp>
                            <wps:cNvSpPr txBox="1"/>
                            <wps:spPr>
                              <a:xfrm>
                                <a:off x="0" y="0"/>
                                <a:ext cx="3905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175260"/>
                      <wp:effectExtent l="0" t="0" r="0" b="0"/>
                      <wp:wrapNone/>
                      <wp:docPr id="6" name="Frame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33985" cy="175260"/>
                      <wp:effectExtent l="0" t="0" r="0" b="0"/>
                      <wp:wrapNone/>
                      <wp:docPr id="7" name="Frame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95935" cy="175260"/>
                      <wp:effectExtent l="0" t="0" r="0" b="0"/>
                      <wp:wrapNone/>
                      <wp:docPr id="8" name="Frame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24510" cy="175260"/>
                      <wp:effectExtent l="0" t="0" r="0" b="0"/>
                      <wp:wrapNone/>
                      <wp:docPr id="10" name="Frame1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6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6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6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6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339,027</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296,344</w:t>
            </w:r>
          </w:p>
        </w:tc>
      </w:tr>
      <w:tr>
        <w:trPr/>
        <w:tc>
          <w:tcPr>
            <w:tcW w:w="6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6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197,508</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174,350</w:t>
            </w:r>
          </w:p>
        </w:tc>
      </w:tr>
      <w:tr>
        <w:trPr/>
        <w:tc>
          <w:tcPr>
            <w:tcW w:w="6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71,002</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62,042</w:t>
            </w:r>
          </w:p>
        </w:tc>
      </w:tr>
      <w:tr>
        <w:trPr/>
        <w:tc>
          <w:tcPr>
            <w:tcW w:w="6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20,342</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16,753</w:t>
            </w:r>
          </w:p>
        </w:tc>
      </w:tr>
      <w:tr>
        <w:trPr/>
        <w:tc>
          <w:tcPr>
            <w:tcW w:w="6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8,713</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7,921</w:t>
            </w:r>
          </w:p>
        </w:tc>
      </w:tr>
      <w:tr>
        <w:trPr/>
        <w:tc>
          <w:tcPr>
            <w:tcW w:w="6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2,209</w:t>
            </w:r>
          </w:p>
        </w:tc>
      </w:tr>
      <w:tr>
        <w:trPr/>
        <w:tc>
          <w:tcPr>
            <w:tcW w:w="6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298,073</w:t>
            </w:r>
          </w:p>
        </w:tc>
        <w:tc>
          <w:tcPr>
            <w:tcW w:w="346" w:type="dxa"/>
            <w:tcBorders/>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263,275</w:t>
            </w:r>
          </w:p>
        </w:tc>
      </w:tr>
      <w:tr>
        <w:trPr/>
        <w:tc>
          <w:tcPr>
            <w:tcW w:w="61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6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before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40,954</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33,069</w:t>
            </w:r>
          </w:p>
        </w:tc>
      </w:tr>
      <w:tr>
        <w:trPr/>
        <w:tc>
          <w:tcPr>
            <w:tcW w:w="6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8,219</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8,314</w:t>
            </w:r>
          </w:p>
        </w:tc>
      </w:tr>
      <w:tr>
        <w:trPr/>
        <w:tc>
          <w:tcPr>
            <w:tcW w:w="6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from continuing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32,735</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24,755</w:t>
            </w:r>
          </w:p>
        </w:tc>
      </w:tr>
      <w:tr>
        <w:trPr/>
        <w:tc>
          <w:tcPr>
            <w:tcW w:w="6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Earnings from discontinued operations, net of tax expense of $0 and $599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w:t>
            </w:r>
          </w:p>
        </w:tc>
      </w:tr>
      <w:tr>
        <w:trPr/>
        <w:tc>
          <w:tcPr>
            <w:tcW w:w="6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6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32,735</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26,065</w:t>
            </w:r>
          </w:p>
        </w:tc>
      </w:tr>
      <w:tr>
        <w:trPr/>
        <w:tc>
          <w:tcPr>
            <w:tcW w:w="61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61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6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 Continuing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0.96</w:t>
            </w:r>
          </w:p>
        </w:tc>
      </w:tr>
      <w:tr>
        <w:trPr/>
        <w:tc>
          <w:tcPr>
            <w:tcW w:w="6151" w:type="dxa"/>
            <w:tcBorders/>
            <w:shd w:fill="CCEEFF" w:val="clear"/>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Discontinued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r>
      <w:tr>
        <w:trPr/>
        <w:tc>
          <w:tcPr>
            <w:tcW w:w="6151"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Net earnings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346" w:type="dxa"/>
            <w:tcBorders/>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r>
      <w:tr>
        <w:trPr/>
        <w:tc>
          <w:tcPr>
            <w:tcW w:w="615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61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 Continuing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0.96</w:t>
            </w:r>
          </w:p>
        </w:tc>
      </w:tr>
      <w:tr>
        <w:trPr/>
        <w:tc>
          <w:tcPr>
            <w:tcW w:w="6151" w:type="dxa"/>
            <w:tcBorders/>
            <w:shd w:fill="CCEEFF" w:val="clear"/>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Discontinued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0.00</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r>
      <w:tr>
        <w:trPr/>
        <w:tc>
          <w:tcPr>
            <w:tcW w:w="6151"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Net earnings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w:t>
            </w:r>
          </w:p>
        </w:tc>
        <w:tc>
          <w:tcPr>
            <w:tcW w:w="346" w:type="dxa"/>
            <w:tcBorders/>
            <w:vAlign w:val="center"/>
          </w:tcPr>
          <w:p>
            <w:pPr>
              <w:pStyle w:val="TableContents"/>
              <w:bidi w:val="0"/>
              <w:spacing w:before="0" w:after="0"/>
              <w:ind w:left="0" w:right="0" w:hanging="0"/>
              <w:jc w:val="left"/>
              <w:rPr/>
            </w:pPr>
            <w:r>
              <w:rPr/>
              <w:t>​</w:t>
            </w:r>
          </w:p>
        </w:tc>
        <w:tc>
          <w:tcPr>
            <w:tcW w:w="82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1.01</w:t>
            </w:r>
          </w:p>
        </w:tc>
      </w:tr>
    </w:tbl>
    <w:p>
      <w:pPr>
        <w:pStyle w:val="TextBody"/>
        <w:bidi w:val="0"/>
        <w:spacing w:before="0" w:after="0"/>
        <w:ind w:left="0" w:right="0" w:hanging="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ESCO TECHNOLOGIES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CONDENSED CONSOLIDATED STATEMENTS OF OPERATIONS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(Dollars in thousands, except per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28" w:name="Tc_Bgr3aa1kb0iD2T9Ugat7eA_29_2"/>
      <w:bookmarkStart w:id="129" w:name="Tc_JL0DBOlLhU2jd0x80rRRvg_29_0"/>
      <w:bookmarkStart w:id="130" w:name="Tc_yE6_rOMyMkiYdsMv5DnJDg_28_0"/>
      <w:bookmarkStart w:id="131" w:name="Tc_Bo8pH4mG1UWzsJBBHglv6g_27_2"/>
      <w:bookmarkStart w:id="132" w:name="Tc_GGO7QWLrhkuIL18R_eXddQ_27_0"/>
      <w:bookmarkStart w:id="133" w:name="Tc_9QqLDm2BlEqbev_y6pYwpw_25_2"/>
      <w:bookmarkStart w:id="134" w:name="Tc_jI5hk4tpAkqLCF1jXuyaQQ_25_0"/>
      <w:bookmarkStart w:id="135" w:name="Tc_Rsel9JQ-ekS80VJ4Clt6WQ_24_0"/>
      <w:bookmarkStart w:id="136" w:name="Tc_6QQzERM7LU2_SEtTVhT9iA_23_2"/>
      <w:bookmarkStart w:id="137" w:name="Tc_rrJJCeAhxEqFMggQPCHdYA_23_0"/>
      <w:bookmarkStart w:id="138" w:name="Tc_Qfxp6ZP2JUWezjaQ2R8P9w_21_0"/>
      <w:bookmarkStart w:id="139" w:name="Tc_kqb3jlc_P0aa1djFfNk3rg_19_2"/>
      <w:bookmarkStart w:id="140" w:name="Tc_dXIvq2Zjq0yLoyN8juw4Pg_19_0"/>
      <w:bookmarkStart w:id="141" w:name="Tc_N6E3v1Pp_EOLYDw_RA8_3g_17_0"/>
      <w:bookmarkStart w:id="142" w:name="Tc_0aWPFWk7wU-SWS5Staeo8g_16_0"/>
      <w:bookmarkStart w:id="143" w:name="Tc_5xkY6OXyr0KxSxCFGhQiFw_15_0"/>
      <w:bookmarkStart w:id="144" w:name="Tc_fGB36kXFbUu3ZgDyyyaGRg_14_0"/>
      <w:bookmarkStart w:id="145" w:name="Tc_rg08bvcBvUGkD4p3dNdCLQ_12_0"/>
      <w:bookmarkStart w:id="146" w:name="Tc_xnWQ7oo-IEml6412aqCXnQ_11_0"/>
      <w:bookmarkStart w:id="147" w:name="Tc_l0QwGgKcL0CxPwbWMm0JCw_10_0"/>
      <w:bookmarkStart w:id="148" w:name="Tc_avZOwgt_Okil_dyCtr2kQw_9_0"/>
      <w:bookmarkStart w:id="149" w:name="Tc_ajzTtipu5EaXv4cPxqsgxQ_8_0"/>
      <w:bookmarkStart w:id="150" w:name="Tc_ga_-F-fr0U6SQh3HbdrzQw_7_0"/>
      <w:bookmarkStart w:id="151" w:name="Tc__tY8RX1zvUyB9IE8AJob3Q_6_0"/>
      <w:bookmarkStart w:id="152" w:name="Tc_RjisydmMiEWmZt-DacZJjg_5_2"/>
      <w:bookmarkStart w:id="153" w:name="Tc_BPOtLTd1LUyocYYaSrKtCQ_5_0"/>
      <w:bookmarkStart w:id="154" w:name="Tc_PyXShy258kWSFVYbtm_hfg_3_5"/>
      <w:bookmarkStart w:id="155" w:name="Tc_iVGxZQPuR0K5pjyazz4_3A_3_2"/>
      <w:bookmarkStart w:id="156" w:name="Tc_-YGQtbiNE0iQt1FPTtPLBA_2_2"/>
      <w:bookmarkStart w:id="157" w:name="Tc_bl-0vC38dke9Da42dIN4nw_1_2"/>
      <w:bookmarkStart w:id="158" w:name="_3c8cceb5_608b_42a4_ab6c_97f6acff5056"/>
      <w:bookmarkStart w:id="159" w:name="Tc_Bgr3aa1kb0iD2T9Ugat7eA_29_2"/>
      <w:bookmarkStart w:id="160" w:name="Tc_JL0DBOlLhU2jd0x80rRRvg_29_0"/>
      <w:bookmarkStart w:id="161" w:name="Tc_yE6_rOMyMkiYdsMv5DnJDg_28_0"/>
      <w:bookmarkStart w:id="162" w:name="Tc_Bo8pH4mG1UWzsJBBHglv6g_27_2"/>
      <w:bookmarkStart w:id="163" w:name="Tc_GGO7QWLrhkuIL18R_eXddQ_27_0"/>
      <w:bookmarkStart w:id="164" w:name="Tc_9QqLDm2BlEqbev_y6pYwpw_25_2"/>
      <w:bookmarkStart w:id="165" w:name="Tc_jI5hk4tpAkqLCF1jXuyaQQ_25_0"/>
      <w:bookmarkStart w:id="166" w:name="Tc_Rsel9JQ-ekS80VJ4Clt6WQ_24_0"/>
      <w:bookmarkStart w:id="167" w:name="Tc_6QQzERM7LU2_SEtTVhT9iA_23_2"/>
      <w:bookmarkStart w:id="168" w:name="Tc_rrJJCeAhxEqFMggQPCHdYA_23_0"/>
      <w:bookmarkStart w:id="169" w:name="Tc_Qfxp6ZP2JUWezjaQ2R8P9w_21_0"/>
      <w:bookmarkStart w:id="170" w:name="Tc_kqb3jlc_P0aa1djFfNk3rg_19_2"/>
      <w:bookmarkStart w:id="171" w:name="Tc_dXIvq2Zjq0yLoyN8juw4Pg_19_0"/>
      <w:bookmarkStart w:id="172" w:name="Tc_N6E3v1Pp_EOLYDw_RA8_3g_17_0"/>
      <w:bookmarkStart w:id="173" w:name="Tc_0aWPFWk7wU-SWS5Staeo8g_16_0"/>
      <w:bookmarkStart w:id="174" w:name="Tc_5xkY6OXyr0KxSxCFGhQiFw_15_0"/>
      <w:bookmarkStart w:id="175" w:name="Tc_fGB36kXFbUu3ZgDyyyaGRg_14_0"/>
      <w:bookmarkStart w:id="176" w:name="Tc_rg08bvcBvUGkD4p3dNdCLQ_12_0"/>
      <w:bookmarkStart w:id="177" w:name="Tc_xnWQ7oo-IEml6412aqCXnQ_11_0"/>
      <w:bookmarkStart w:id="178" w:name="Tc_l0QwGgKcL0CxPwbWMm0JCw_10_0"/>
      <w:bookmarkStart w:id="179" w:name="Tc_avZOwgt_Okil_dyCtr2kQw_9_0"/>
      <w:bookmarkStart w:id="180" w:name="Tc_ajzTtipu5EaXv4cPxqsgxQ_8_0"/>
      <w:bookmarkStart w:id="181" w:name="Tc_ga_-F-fr0U6SQh3HbdrzQw_7_0"/>
      <w:bookmarkStart w:id="182" w:name="Tc__tY8RX1zvUyB9IE8AJob3Q_6_0"/>
      <w:bookmarkStart w:id="183" w:name="Tc_RjisydmMiEWmZt-DacZJjg_5_2"/>
      <w:bookmarkStart w:id="184" w:name="Tc_BPOtLTd1LUyocYYaSrKtCQ_5_0"/>
      <w:bookmarkStart w:id="185" w:name="Tc_PyXShy258kWSFVYbtm_hfg_3_5"/>
      <w:bookmarkStart w:id="186" w:name="Tc_iVGxZQPuR0K5pjyazz4_3A_3_2"/>
      <w:bookmarkStart w:id="187" w:name="Tc_-YGQtbiNE0iQt1FPTtPLBA_2_2"/>
      <w:bookmarkStart w:id="188" w:name="Tc_bl-0vC38dke9Da42dIN4nw_1_2"/>
      <w:bookmarkStart w:id="189" w:name="_3c8cceb5_608b_42a4_ab6c_97f6acff5056"/>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tbl>
      <w:tblPr>
        <w:tblW w:w="8976" w:type="dxa"/>
        <w:jc w:val="left"/>
        <w:tblInd w:w="0" w:type="dxa"/>
        <w:tblLayout w:type="fixed"/>
        <w:tblCellMar>
          <w:top w:w="0" w:type="dxa"/>
          <w:left w:w="0" w:type="dxa"/>
          <w:bottom w:w="0" w:type="dxa"/>
          <w:right w:w="0" w:type="dxa"/>
        </w:tblCellMar>
      </w:tblPr>
      <w:tblGrid>
        <w:gridCol w:w="6466"/>
        <w:gridCol w:w="346"/>
        <w:gridCol w:w="211"/>
        <w:gridCol w:w="781"/>
        <w:gridCol w:w="346"/>
        <w:gridCol w:w="826"/>
      </w:tblGrid>
      <w:tr>
        <w:trPr/>
        <w:tc>
          <w:tcPr>
            <w:tcW w:w="6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105910" cy="175260"/>
                      <wp:effectExtent l="0" t="0" r="0" b="0"/>
                      <wp:wrapNone/>
                      <wp:docPr id="11" name="Frame11"/>
                      <a:graphic xmlns:a="http://schemas.openxmlformats.org/drawingml/2006/main">
                        <a:graphicData uri="http://schemas.microsoft.com/office/word/2010/wordprocessingShape">
                          <wps:wsp>
                            <wps:cNvSpPr txBox="1"/>
                            <wps:spPr>
                              <a:xfrm>
                                <a:off x="0" y="0"/>
                                <a:ext cx="410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495935" cy="175260"/>
                      <wp:effectExtent l="0" t="0" r="0" b="0"/>
                      <wp:wrapNone/>
                      <wp:docPr id="14" name="Frame1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5"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524510" cy="175260"/>
                      <wp:effectExtent l="0" t="0" r="0" b="0"/>
                      <wp:wrapNone/>
                      <wp:docPr id="16" name="Frame1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6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6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6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6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938,027</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742,714</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545,274</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431,068</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195,039</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171,305</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61,086</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32,735</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13,992</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12,373</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2,340</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1,947</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costs and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817,731</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649,428</w:t>
            </w:r>
          </w:p>
        </w:tc>
      </w:tr>
      <w:tr>
        <w:trPr/>
        <w:tc>
          <w:tcPr>
            <w:tcW w:w="64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before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120,296</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93,286</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25,314</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21,841</w:t>
            </w:r>
          </w:p>
        </w:tc>
      </w:tr>
      <w:tr>
        <w:trPr/>
        <w:tc>
          <w:tcPr>
            <w:tcW w:w="6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from continuing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94,982</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71,445</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from discontinued operations, net of tax expense of $363 and $3,006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1,177</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9,126</w:t>
            </w:r>
          </w:p>
        </w:tc>
      </w:tr>
      <w:tr>
        <w:trPr/>
        <w:tc>
          <w:tcPr>
            <w:tcW w:w="6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96,159</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80,571</w:t>
            </w:r>
          </w:p>
        </w:tc>
      </w:tr>
      <w:tr>
        <w:trPr/>
        <w:tc>
          <w:tcPr>
            <w:tcW w:w="6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6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 Continuing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w:t>
            </w:r>
          </w:p>
        </w:tc>
      </w:tr>
      <w:tr>
        <w:trPr/>
        <w:tc>
          <w:tcPr>
            <w:tcW w:w="6466"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Discontinued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c>
          <w:tcPr>
            <w:tcW w:w="346" w:type="dxa"/>
            <w:tcBorders/>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w:t>
            </w:r>
          </w:p>
        </w:tc>
      </w:tr>
      <w:tr>
        <w:trPr/>
        <w:tc>
          <w:tcPr>
            <w:tcW w:w="6466" w:type="dxa"/>
            <w:tcBorders/>
            <w:shd w:fill="CCEEFF" w:val="clear"/>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Net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w:t>
            </w:r>
          </w:p>
        </w:tc>
      </w:tr>
      <w:tr>
        <w:trPr/>
        <w:tc>
          <w:tcPr>
            <w:tcW w:w="6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6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 Continuing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w:t>
            </w:r>
          </w:p>
        </w:tc>
        <w:tc>
          <w:tcPr>
            <w:tcW w:w="34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r>
      <w:tr>
        <w:trPr/>
        <w:tc>
          <w:tcPr>
            <w:tcW w:w="6466"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Discontinued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0.05</w:t>
            </w:r>
          </w:p>
        </w:tc>
        <w:tc>
          <w:tcPr>
            <w:tcW w:w="346" w:type="dxa"/>
            <w:tcBorders/>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w:t>
            </w:r>
          </w:p>
        </w:tc>
      </w:tr>
      <w:tr>
        <w:trPr/>
        <w:tc>
          <w:tcPr>
            <w:tcW w:w="6466" w:type="dxa"/>
            <w:tcBorders/>
            <w:shd w:fill="CCEEFF" w:val="clear"/>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Net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3.11</w:t>
            </w:r>
          </w:p>
        </w:tc>
      </w:tr>
    </w:tbl>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0"/>
        <w:ind w:left="0" w:right="0" w:hanging="0"/>
        <w:jc w:val="center"/>
        <w:rPr>
          <w:rFonts w:ascii="Times New Roman;Times;serif" w:hAnsi="Times New Roman;Times;serif"/>
          <w:sz w:val="20"/>
        </w:rPr>
      </w:pPr>
      <w:bookmarkStart w:id="190" w:name="_c606339b_59b4_436b_829d_92634eb9a262"/>
      <w:bookmarkEnd w:id="190"/>
      <w:r>
        <w:rPr>
          <w:rFonts w:ascii="Times New Roman;Times;serif" w:hAnsi="Times New Roman;Times;serif"/>
          <w:sz w:val="20"/>
        </w:rPr>
        <w:t>ESCO TECHNOLOGIES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CONDENSED CONSOLIDATED STATEMENTS OF COMPREHENSIVE INCOME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(Dollars 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91" w:name="Tc_lnBJf0liFEOSrrkPNf16Jw_8_2"/>
      <w:bookmarkStart w:id="192" w:name="Tc_CA2skPaKI0WV9C-erTxCEA_8_0"/>
      <w:bookmarkStart w:id="193" w:name="Tc_TuNAM6u7UUKdaJ4S1w-45A_7_0"/>
      <w:bookmarkStart w:id="194" w:name="Tc_PAx8Zj3iI0SXo3LChUitZQ_6_0"/>
      <w:bookmarkStart w:id="195" w:name="Tc_BOeDFb0z40aM8ytIOnZ3lw_5_0"/>
      <w:bookmarkStart w:id="196" w:name="Tc_aTWtPiSA-UmCRhrA78tqbw_4_2"/>
      <w:bookmarkStart w:id="197" w:name="Tc_qMb_lyK4_EO2nLA5BUW0og_4_0"/>
      <w:bookmarkStart w:id="198" w:name="Tc_mjrr5R5hnUyeJgoG8-TMKg_3_9"/>
      <w:bookmarkStart w:id="199" w:name="Tc_JLd4k-HzDUulJs3SKM34fw_3_7"/>
      <w:bookmarkStart w:id="200" w:name="Tc_xI1i0zEm_kysOtGVsKPNAw_3_5"/>
      <w:bookmarkStart w:id="201" w:name="Tc_qdJT_hTEAEyMc5eaS3a0Uw_3_2"/>
      <w:bookmarkStart w:id="202" w:name="Tc_LrDyaxPjsUCSbFktWmr05w_2_7"/>
      <w:bookmarkStart w:id="203" w:name="Tc_Ta8Ofzqa_kWtpS9HNC3JkQ_2_2"/>
      <w:bookmarkStart w:id="204" w:name="Tc_DOoQyWSlOE2U4LEJPOaXww_1_7"/>
      <w:bookmarkStart w:id="205" w:name="Tc_oEDerNxkFEOItWUnW4tKvw_1_2"/>
      <w:bookmarkStart w:id="206" w:name="_fc62e27d_f5b0_4b46_b11d_f19b002d05b4"/>
      <w:bookmarkStart w:id="207" w:name="Tc_lnBJf0liFEOSrrkPNf16Jw_8_2"/>
      <w:bookmarkStart w:id="208" w:name="Tc_CA2skPaKI0WV9C-erTxCEA_8_0"/>
      <w:bookmarkStart w:id="209" w:name="Tc_TuNAM6u7UUKdaJ4S1w-45A_7_0"/>
      <w:bookmarkStart w:id="210" w:name="Tc_PAx8Zj3iI0SXo3LChUitZQ_6_0"/>
      <w:bookmarkStart w:id="211" w:name="Tc_BOeDFb0z40aM8ytIOnZ3lw_5_0"/>
      <w:bookmarkStart w:id="212" w:name="Tc_aTWtPiSA-UmCRhrA78tqbw_4_2"/>
      <w:bookmarkStart w:id="213" w:name="Tc_qMb_lyK4_EO2nLA5BUW0og_4_0"/>
      <w:bookmarkStart w:id="214" w:name="Tc_mjrr5R5hnUyeJgoG8-TMKg_3_9"/>
      <w:bookmarkStart w:id="215" w:name="Tc_JLd4k-HzDUulJs3SKM34fw_3_7"/>
      <w:bookmarkStart w:id="216" w:name="Tc_xI1i0zEm_kysOtGVsKPNAw_3_5"/>
      <w:bookmarkStart w:id="217" w:name="Tc_qdJT_hTEAEyMc5eaS3a0Uw_3_2"/>
      <w:bookmarkStart w:id="218" w:name="Tc_LrDyaxPjsUCSbFktWmr05w_2_7"/>
      <w:bookmarkStart w:id="219" w:name="Tc_Ta8Ofzqa_kWtpS9HNC3JkQ_2_2"/>
      <w:bookmarkStart w:id="220" w:name="Tc_DOoQyWSlOE2U4LEJPOaXww_1_7"/>
      <w:bookmarkStart w:id="221" w:name="Tc_oEDerNxkFEOItWUnW4tKvw_1_2"/>
      <w:bookmarkStart w:id="222" w:name="_fc62e27d_f5b0_4b46_b11d_f19b002d05b4"/>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tbl>
      <w:tblPr>
        <w:tblW w:w="8827" w:type="dxa"/>
        <w:jc w:val="left"/>
        <w:tblInd w:w="0" w:type="dxa"/>
        <w:tblLayout w:type="fixed"/>
        <w:tblCellMar>
          <w:top w:w="0" w:type="dxa"/>
          <w:left w:w="0" w:type="dxa"/>
          <w:bottom w:w="0" w:type="dxa"/>
          <w:right w:w="0" w:type="dxa"/>
        </w:tblCellMar>
      </w:tblPr>
      <w:tblGrid>
        <w:gridCol w:w="4276"/>
        <w:gridCol w:w="346"/>
        <w:gridCol w:w="211"/>
        <w:gridCol w:w="691"/>
        <w:gridCol w:w="346"/>
        <w:gridCol w:w="676"/>
        <w:gridCol w:w="346"/>
        <w:gridCol w:w="796"/>
        <w:gridCol w:w="346"/>
        <w:gridCol w:w="793"/>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715260" cy="175260"/>
                      <wp:effectExtent l="0" t="0" r="0" b="0"/>
                      <wp:wrapNone/>
                      <wp:docPr id="17" name="Frame17"/>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8"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438785" cy="175260"/>
                      <wp:effectExtent l="0" t="0" r="0" b="0"/>
                      <wp:wrapNone/>
                      <wp:docPr id="20" name="Frame2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175260"/>
                      <wp:effectExtent l="0" t="0" r="0" b="0"/>
                      <wp:wrapNone/>
                      <wp:docPr id="21"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29260" cy="175260"/>
                      <wp:effectExtent l="0" t="0" r="0" b="0"/>
                      <wp:wrapNone/>
                      <wp:docPr id="22" name="Frame2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05460" cy="175260"/>
                      <wp:effectExtent l="0" t="0" r="0" b="0"/>
                      <wp:wrapNone/>
                      <wp:docPr id="24" name="Frame2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03555" cy="175260"/>
                      <wp:effectExtent l="0" t="0" r="0" b="0"/>
                      <wp:wrapNone/>
                      <wp:docPr id="26" name="Frame26"/>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2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1935"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4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2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193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2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32,735</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26,065</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96,159</w:t>
            </w:r>
          </w:p>
        </w:tc>
        <w:tc>
          <w:tcPr>
            <w:tcW w:w="346"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80,571</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net of tax:</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(2,116)</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23,075</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(12,959)</w:t>
            </w:r>
          </w:p>
        </w:tc>
        <w:tc>
          <w:tcPr>
            <w:tcW w:w="346" w:type="dxa"/>
            <w:tcBorders/>
            <w:shd w:fill="CCEEFF" w:val="cle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13,180</w:t>
            </w:r>
          </w:p>
        </w:tc>
      </w:tr>
      <w:tr>
        <w:trPr/>
        <w:tc>
          <w:tcPr>
            <w:tcW w:w="42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income (loss), net of tax</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(2,116)</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23,075</w:t>
            </w:r>
          </w:p>
        </w:tc>
        <w:tc>
          <w:tcPr>
            <w:tcW w:w="34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(12,959)</w:t>
            </w:r>
          </w:p>
        </w:tc>
        <w:tc>
          <w:tcPr>
            <w:tcW w:w="346" w:type="dxa"/>
            <w:tcBorders/>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13,180</w:t>
            </w:r>
          </w:p>
        </w:tc>
      </w:tr>
      <w:tr>
        <w:trPr/>
        <w:tc>
          <w:tcPr>
            <w:tcW w:w="4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30,619</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49,140</w:t>
            </w:r>
          </w:p>
        </w:tc>
        <w:tc>
          <w:tcPr>
            <w:tcW w:w="346" w:type="dxa"/>
            <w:tcBorders/>
            <w:shd w:fill="CCEEFF" w:val="clear"/>
            <w:vAlign w:val="center"/>
          </w:tcPr>
          <w:p>
            <w:pPr>
              <w:pStyle w:val="TableContents"/>
              <w:bidi w:val="0"/>
              <w:spacing w:before="0" w:after="0"/>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83,200</w:t>
            </w:r>
          </w:p>
        </w:tc>
        <w:tc>
          <w:tcPr>
            <w:tcW w:w="346" w:type="dxa"/>
            <w:tcBorders/>
            <w:shd w:fill="CCEEFF" w:val="clear"/>
            <w:vAlign w:val="center"/>
          </w:tcPr>
          <w:p>
            <w:pPr>
              <w:pStyle w:val="TableContents"/>
              <w:bidi w:val="0"/>
              <w:spacing w:before="0" w:after="0"/>
              <w:ind w:left="0" w:right="0" w:hanging="0"/>
              <w:jc w:val="left"/>
              <w:rPr/>
            </w:pPr>
            <w:r>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93,751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0"/>
        <w:ind w:left="0" w:right="0" w:hanging="0"/>
        <w:jc w:val="center"/>
        <w:rPr>
          <w:rFonts w:ascii="Times New Roman;Times;serif" w:hAnsi="Times New Roman;Times;serif"/>
          <w:sz w:val="20"/>
        </w:rPr>
      </w:pPr>
      <w:bookmarkStart w:id="223" w:name="_5a4520b6_433b_466d_8fe0_ea4ac0b837bf"/>
      <w:bookmarkEnd w:id="223"/>
      <w:r>
        <w:rPr>
          <w:rFonts w:ascii="Times New Roman;Times;serif" w:hAnsi="Times New Roman;Times;serif"/>
          <w:sz w:val="20"/>
        </w:rPr>
        <w:t>ESCO TECHNOLOGIES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CONDENSED CONSOLIDATED BALANCE SHEETS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(Dollars 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24" w:name="Tc_V5rU1CuKd0G592ldL9IfdQ_41_2"/>
      <w:bookmarkStart w:id="225" w:name="Tc_Ncv2L7nr9EOJfZQOGqtKDg_41_0"/>
      <w:bookmarkStart w:id="226" w:name="Tc_pLHKg-p76EmVtnEw55Ka1Q_40_0"/>
      <w:bookmarkStart w:id="227" w:name="Tc_Mc0S7q7XTkyesC7l16SGWg_39_0"/>
      <w:bookmarkStart w:id="228" w:name="Tc_7fm8fqmf2Eeqmm8MG0NpcQ_37_0"/>
      <w:bookmarkStart w:id="229" w:name="Tc_dxcLoKSZ6EanpGaxAxezEQ_36_0"/>
      <w:bookmarkStart w:id="230" w:name="Tc_CLKwQ_x5p0SXINBmoFMo4w_35_0"/>
      <w:bookmarkStart w:id="231" w:name="Tc_yumGLt99w0Go1y79MBAWeQ_34_0"/>
      <w:bookmarkStart w:id="232" w:name="Tc_0ZGyTVcx-UKCrqzb88oV6Q_33_0"/>
      <w:bookmarkStart w:id="233" w:name="Tc_MqqGZPzmvkK5WSCaRT5mPQ_32_0"/>
      <w:bookmarkStart w:id="234" w:name="Tc_126_15dnjEWupRRAIi4_oA_31_0"/>
      <w:bookmarkStart w:id="235" w:name="Tc_wya6RSbYpEGSabJVcRhw5A_30_0"/>
      <w:bookmarkStart w:id="236" w:name="Tc_OvVV5eUa7EWETRsXjepO6Q_29_0"/>
      <w:bookmarkStart w:id="237" w:name="Tc_q2agexpIPkya_aJK7RJ9zg_28_0"/>
      <w:bookmarkStart w:id="238" w:name="Tc_WiOGTX_hJUuyEbmM5Ec7Rg_27_0"/>
      <w:bookmarkStart w:id="239" w:name="Tc_CVHW4uRyWUKtZMllUB4O7w_26_0"/>
      <w:bookmarkStart w:id="240" w:name="Tc_-XOzGV_DwU6wBZh4ck_vWQ_25_0"/>
      <w:bookmarkStart w:id="241" w:name="Tc_cc6d-KYNzkK4CZw7NYpG9w_24_0"/>
      <w:bookmarkStart w:id="242" w:name="Tc_aW4tg752yESbZ8bluk08Cg_23_0"/>
      <w:bookmarkStart w:id="243" w:name="Tc_c92jiRS8pEWhTo92eZ3L1g_22_0"/>
      <w:bookmarkStart w:id="244" w:name="Tc_PvpW33pPhUiu66PfOoU5aA_21_0"/>
      <w:bookmarkStart w:id="245" w:name="Tc_wwvyyZJk3kuHQBM66o1m0w_20_2"/>
      <w:bookmarkStart w:id="246" w:name="Tc_Q5tiU4CAn0-3tb-_Z5UyBg_20_0"/>
      <w:bookmarkStart w:id="247" w:name="Tc_M560nHpAeUeJ7FOW132Y9Q_19_0"/>
      <w:bookmarkStart w:id="248" w:name="Tc_g0Ptj7YczUm-8JD6v5Ddrg_18_0"/>
      <w:bookmarkStart w:id="249" w:name="Tc_CWD7j823nEyJQFV7KGsJeQ_16_2"/>
      <w:bookmarkStart w:id="250" w:name="Tc_VupGpAa3HUWoGF_pOyC8Pw_16_0"/>
      <w:bookmarkStart w:id="251" w:name="Tc_w0N7AwLLwUaagY-7B8kc8g_15_0"/>
      <w:bookmarkStart w:id="252" w:name="Tc_re55ciicZkOyLJeY3t-0Hg_14_0"/>
      <w:bookmarkStart w:id="253" w:name="Tc_0txHnuVrBkm4zxiv2ep3yA_13_0"/>
      <w:bookmarkStart w:id="254" w:name="Tc_jGlt7aB3KUC6wJGoCMy_hg_12_0"/>
      <w:bookmarkStart w:id="255" w:name="Tc_UEXp6F8O_0ivCry8806-5w_11_0"/>
      <w:bookmarkStart w:id="256" w:name="Tc_2uHg-3UyaUGBQ7PezRrK2Q_10_0"/>
      <w:bookmarkStart w:id="257" w:name="Tc_MpyJZOeOCkm_6Rx2udy89w_9_0"/>
      <w:bookmarkStart w:id="258" w:name="Tc_LWo6xCrW7Emn1Qoub5Ou1g_8_0"/>
      <w:bookmarkStart w:id="259" w:name="Tc_PTdVInaL8kKh7t_21pPKwQ_7_0"/>
      <w:bookmarkStart w:id="260" w:name="Tc_20bITBOUy06cf6NRLPBEMA_6_0"/>
      <w:bookmarkStart w:id="261" w:name="Tc_lr8W5HMp50-IcIsV1uZ8Tg_5_2"/>
      <w:bookmarkStart w:id="262" w:name="Tc_GMEUFotWrUaWCPGj3fN4lw_5_0"/>
      <w:bookmarkStart w:id="263" w:name="Tc_-qQ19yX5GUygkEsThXoc8Q_4_0"/>
      <w:bookmarkStart w:id="264" w:name="Tc_aRPoo7VPE0-MDC8Esh_Rqg_3_0"/>
      <w:bookmarkStart w:id="265" w:name="Tc__Yd0NrFVZUi8dwJItmB9Tw_2_5"/>
      <w:bookmarkStart w:id="266" w:name="Tc_yi8SLSMK6Um4kUZJVzm3qA_2_2"/>
      <w:bookmarkStart w:id="267" w:name="Tc_iqgskMlMOEmUKLlrDxC02A_1_5"/>
      <w:bookmarkStart w:id="268" w:name="Tc__TAUb2QS0EuPM-cEinWpGQ_1_2"/>
      <w:bookmarkStart w:id="269" w:name="_8dc90fcf_d27f_4a09_917d_d4e14caf2c38"/>
      <w:bookmarkStart w:id="270" w:name="Tc_V5rU1CuKd0G592ldL9IfdQ_41_2"/>
      <w:bookmarkStart w:id="271" w:name="Tc_Ncv2L7nr9EOJfZQOGqtKDg_41_0"/>
      <w:bookmarkStart w:id="272" w:name="Tc_pLHKg-p76EmVtnEw55Ka1Q_40_0"/>
      <w:bookmarkStart w:id="273" w:name="Tc_Mc0S7q7XTkyesC7l16SGWg_39_0"/>
      <w:bookmarkStart w:id="274" w:name="Tc_7fm8fqmf2Eeqmm8MG0NpcQ_37_0"/>
      <w:bookmarkStart w:id="275" w:name="Tc_dxcLoKSZ6EanpGaxAxezEQ_36_0"/>
      <w:bookmarkStart w:id="276" w:name="Tc_CLKwQ_x5p0SXINBmoFMo4w_35_0"/>
      <w:bookmarkStart w:id="277" w:name="Tc_yumGLt99w0Go1y79MBAWeQ_34_0"/>
      <w:bookmarkStart w:id="278" w:name="Tc_0ZGyTVcx-UKCrqzb88oV6Q_33_0"/>
      <w:bookmarkStart w:id="279" w:name="Tc_MqqGZPzmvkK5WSCaRT5mPQ_32_0"/>
      <w:bookmarkStart w:id="280" w:name="Tc_126_15dnjEWupRRAIi4_oA_31_0"/>
      <w:bookmarkStart w:id="281" w:name="Tc_wya6RSbYpEGSabJVcRhw5A_30_0"/>
      <w:bookmarkStart w:id="282" w:name="Tc_OvVV5eUa7EWETRsXjepO6Q_29_0"/>
      <w:bookmarkStart w:id="283" w:name="Tc_q2agexpIPkya_aJK7RJ9zg_28_0"/>
      <w:bookmarkStart w:id="284" w:name="Tc_WiOGTX_hJUuyEbmM5Ec7Rg_27_0"/>
      <w:bookmarkStart w:id="285" w:name="Tc_CVHW4uRyWUKtZMllUB4O7w_26_0"/>
      <w:bookmarkStart w:id="286" w:name="Tc_-XOzGV_DwU6wBZh4ck_vWQ_25_0"/>
      <w:bookmarkStart w:id="287" w:name="Tc_cc6d-KYNzkK4CZw7NYpG9w_24_0"/>
      <w:bookmarkStart w:id="288" w:name="Tc_aW4tg752yESbZ8bluk08Cg_23_0"/>
      <w:bookmarkStart w:id="289" w:name="Tc_c92jiRS8pEWhTo92eZ3L1g_22_0"/>
      <w:bookmarkStart w:id="290" w:name="Tc_PvpW33pPhUiu66PfOoU5aA_21_0"/>
      <w:bookmarkStart w:id="291" w:name="Tc_wwvyyZJk3kuHQBM66o1m0w_20_2"/>
      <w:bookmarkStart w:id="292" w:name="Tc_Q5tiU4CAn0-3tb-_Z5UyBg_20_0"/>
      <w:bookmarkStart w:id="293" w:name="Tc_M560nHpAeUeJ7FOW132Y9Q_19_0"/>
      <w:bookmarkStart w:id="294" w:name="Tc_g0Ptj7YczUm-8JD6v5Ddrg_18_0"/>
      <w:bookmarkStart w:id="295" w:name="Tc_CWD7j823nEyJQFV7KGsJeQ_16_2"/>
      <w:bookmarkStart w:id="296" w:name="Tc_VupGpAa3HUWoGF_pOyC8Pw_16_0"/>
      <w:bookmarkStart w:id="297" w:name="Tc_w0N7AwLLwUaagY-7B8kc8g_15_0"/>
      <w:bookmarkStart w:id="298" w:name="Tc_re55ciicZkOyLJeY3t-0Hg_14_0"/>
      <w:bookmarkStart w:id="299" w:name="Tc_0txHnuVrBkm4zxiv2ep3yA_13_0"/>
      <w:bookmarkStart w:id="300" w:name="Tc_jGlt7aB3KUC6wJGoCMy_hg_12_0"/>
      <w:bookmarkStart w:id="301" w:name="Tc_UEXp6F8O_0ivCry8806-5w_11_0"/>
      <w:bookmarkStart w:id="302" w:name="Tc_2uHg-3UyaUGBQ7PezRrK2Q_10_0"/>
      <w:bookmarkStart w:id="303" w:name="Tc_MpyJZOeOCkm_6Rx2udy89w_9_0"/>
      <w:bookmarkStart w:id="304" w:name="Tc_LWo6xCrW7Emn1Qoub5Ou1g_8_0"/>
      <w:bookmarkStart w:id="305" w:name="Tc_PTdVInaL8kKh7t_21pPKwQ_7_0"/>
      <w:bookmarkStart w:id="306" w:name="Tc_20bITBOUy06cf6NRLPBEMA_6_0"/>
      <w:bookmarkStart w:id="307" w:name="Tc_lr8W5HMp50-IcIsV1uZ8Tg_5_2"/>
      <w:bookmarkStart w:id="308" w:name="Tc_GMEUFotWrUaWCPGj3fN4lw_5_0"/>
      <w:bookmarkStart w:id="309" w:name="Tc_-qQ19yX5GUygkEsThXoc8Q_4_0"/>
      <w:bookmarkStart w:id="310" w:name="Tc_aRPoo7VPE0-MDC8Esh_Rqg_3_0"/>
      <w:bookmarkStart w:id="311" w:name="Tc__Yd0NrFVZUi8dwJItmB9Tw_2_5"/>
      <w:bookmarkStart w:id="312" w:name="Tc_yi8SLSMK6Um4kUZJVzm3qA_2_2"/>
      <w:bookmarkStart w:id="313" w:name="Tc_iqgskMlMOEmUKLlrDxC02A_1_5"/>
      <w:bookmarkStart w:id="314" w:name="Tc__TAUb2QS0EuPM-cEinWpGQ_1_2"/>
      <w:bookmarkStart w:id="315" w:name="_8dc90fcf_d27f_4a09_917d_d4e14caf2c38"/>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tbl>
      <w:tblPr>
        <w:tblW w:w="10205" w:type="dxa"/>
        <w:jc w:val="left"/>
        <w:tblInd w:w="0" w:type="dxa"/>
        <w:tblLayout w:type="fixed"/>
        <w:tblCellMar>
          <w:top w:w="0" w:type="dxa"/>
          <w:left w:w="0" w:type="dxa"/>
          <w:bottom w:w="0" w:type="dxa"/>
          <w:right w:w="0" w:type="dxa"/>
        </w:tblCellMar>
      </w:tblPr>
      <w:tblGrid>
        <w:gridCol w:w="7167"/>
        <w:gridCol w:w="346"/>
        <w:gridCol w:w="211"/>
        <w:gridCol w:w="931"/>
        <w:gridCol w:w="346"/>
        <w:gridCol w:w="112"/>
        <w:gridCol w:w="1092"/>
      </w:tblGrid>
      <w:tr>
        <w:trPr/>
        <w:tc>
          <w:tcPr>
            <w:tcW w:w="71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551045" cy="175260"/>
                      <wp:effectExtent l="0" t="0" r="0" b="0"/>
                      <wp:wrapNone/>
                      <wp:docPr id="27" name="Frame27"/>
                      <a:graphic xmlns:a="http://schemas.openxmlformats.org/drawingml/2006/main">
                        <a:graphicData uri="http://schemas.microsoft.com/office/word/2010/wordprocessingShape">
                          <wps:wsp>
                            <wps:cNvSpPr txBox="1"/>
                            <wps:spPr>
                              <a:xfrm>
                                <a:off x="0" y="0"/>
                                <a:ext cx="4551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8"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9"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91185" cy="175260"/>
                      <wp:effectExtent l="0" t="0" r="0" b="0"/>
                      <wp:wrapNone/>
                      <wp:docPr id="30" name="Frame3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31"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71120" cy="175260"/>
                      <wp:effectExtent l="0" t="0" r="0" b="0"/>
                      <wp:wrapNone/>
                      <wp:docPr id="32" name="Frame32"/>
                      <a:graphic xmlns:a="http://schemas.openxmlformats.org/drawingml/2006/main">
                        <a:graphicData uri="http://schemas.microsoft.com/office/word/2010/wordprocessingShape">
                          <wps:wsp>
                            <wps:cNvSpPr txBox="1"/>
                            <wps:spPr>
                              <a:xfrm>
                                <a:off x="0" y="0"/>
                                <a:ext cx="71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93420" cy="175260"/>
                      <wp:effectExtent l="0" t="0" r="0" b="0"/>
                      <wp:wrapNone/>
                      <wp:docPr id="33" name="Frame33"/>
                      <a:graphic xmlns:a="http://schemas.openxmlformats.org/drawingml/2006/main">
                        <a:graphicData uri="http://schemas.microsoft.com/office/word/2010/wordprocessingShape">
                          <wps:wsp>
                            <wps:cNvSpPr txBox="1"/>
                            <wps:spPr>
                              <a:xfrm>
                                <a:off x="0" y="0"/>
                                <a:ext cx="693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67"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20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716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1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12" w:type="dxa"/>
            <w:tcBorders/>
            <w:shd w:fill="CCEEFF" w:val="clear"/>
            <w:vAlign w:val="center"/>
          </w:tcPr>
          <w:p>
            <w:pPr>
              <w:pStyle w:val="TableContents"/>
              <w:bidi w:val="0"/>
              <w:spacing w:before="0" w:after="0"/>
              <w:ind w:left="0" w:right="0" w:hanging="0"/>
              <w:jc w:val="left"/>
              <w:rPr/>
            </w:pPr>
            <w:r>
              <w:rPr/>
              <w:t>​</w:t>
            </w:r>
          </w:p>
        </w:tc>
        <w:tc>
          <w:tcPr>
            <w:tcW w:w="1092" w:type="dxa"/>
            <w:tcBorders/>
            <w:shd w:fill="CCEEFF" w:val="clear"/>
            <w:vAlign w:val="center"/>
          </w:tcPr>
          <w:p>
            <w:pPr>
              <w:pStyle w:val="TableContents"/>
              <w:bidi w:val="0"/>
              <w:spacing w:before="0" w:after="0"/>
              <w:ind w:left="0" w:right="0" w:hanging="0"/>
              <w:jc w:val="right"/>
              <w:rPr/>
            </w:pPr>
            <w:r>
              <w:rPr/>
              <w:t>  ​</w:t>
            </w:r>
          </w:p>
        </w:tc>
      </w:tr>
      <w:tr>
        <w:trPr/>
        <w:tc>
          <w:tcPr>
            <w:tcW w:w="71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12" w:type="dxa"/>
            <w:tcBorders/>
            <w:vAlign w:val="center"/>
          </w:tcPr>
          <w:p>
            <w:pPr>
              <w:pStyle w:val="TableContents"/>
              <w:bidi w:val="0"/>
              <w:spacing w:before="0" w:after="0"/>
              <w:ind w:left="0" w:right="0" w:hanging="0"/>
              <w:jc w:val="left"/>
              <w:rPr/>
            </w:pPr>
            <w:r>
              <w:rPr/>
              <w:t>​</w:t>
            </w:r>
          </w:p>
        </w:tc>
        <w:tc>
          <w:tcPr>
            <w:tcW w:w="1092" w:type="dxa"/>
            <w:tcBorders/>
            <w:vAlign w:val="center"/>
          </w:tcPr>
          <w:p>
            <w:pPr>
              <w:pStyle w:val="TableContents"/>
              <w:bidi w:val="0"/>
              <w:spacing w:before="0" w:after="0"/>
              <w:ind w:left="0" w:right="0" w:hanging="0"/>
              <w:jc w:val="right"/>
              <w:rPr/>
            </w:pPr>
            <w:r>
              <w:rPr/>
              <w:t>  ​</w:t>
            </w:r>
          </w:p>
        </w:tc>
      </w:tr>
      <w:tr>
        <w:trPr/>
        <w:tc>
          <w:tcPr>
            <w:tcW w:w="71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73,236</w:t>
            </w:r>
          </w:p>
        </w:tc>
        <w:tc>
          <w:tcPr>
            <w:tcW w:w="346" w:type="dxa"/>
            <w:tcBorders/>
            <w:shd w:fill="CCEEFF" w:val="clear"/>
            <w:vAlign w:val="center"/>
          </w:tcPr>
          <w:p>
            <w:pPr>
              <w:pStyle w:val="TableContents"/>
              <w:bidi w:val="0"/>
              <w:spacing w:before="0" w:after="0"/>
              <w:ind w:left="0" w:right="0" w:hanging="0"/>
              <w:jc w:val="left"/>
              <w:rPr/>
            </w:pPr>
            <w:r>
              <w:rPr/>
              <w:t> </w:t>
            </w:r>
          </w:p>
        </w:tc>
        <w:tc>
          <w:tcPr>
            <w:tcW w:w="112" w:type="dxa"/>
            <w:tcBorders/>
            <w:shd w:fill="CCEEFF" w:val="clear"/>
            <w:vAlign w:val="center"/>
          </w:tcPr>
          <w:p>
            <w:pPr>
              <w:pStyle w:val="TableContents"/>
              <w:bidi w:val="0"/>
              <w:spacing w:before="0" w:after="0"/>
              <w:ind w:left="0" w:right="0" w:hanging="0"/>
              <w:jc w:val="left"/>
              <w:rPr/>
            </w:pPr>
            <w:r>
              <w:rPr/>
              <w:t>​</w:t>
            </w:r>
          </w:p>
        </w:tc>
        <w:tc>
          <w:tcPr>
            <w:tcW w:w="10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101,350</w:t>
            </w:r>
          </w:p>
        </w:tc>
      </w:tr>
      <w:tr>
        <w:trPr/>
        <w:tc>
          <w:tcPr>
            <w:tcW w:w="71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 of allowance for credit losses of $2,712 and $3,205, respectively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267,493</w:t>
            </w:r>
          </w:p>
        </w:tc>
        <w:tc>
          <w:tcPr>
            <w:tcW w:w="346" w:type="dxa"/>
            <w:tcBorders/>
            <w:vAlign w:val="center"/>
          </w:tcPr>
          <w:p>
            <w:pPr>
              <w:pStyle w:val="TableContents"/>
              <w:bidi w:val="0"/>
              <w:spacing w:before="0" w:after="0"/>
              <w:ind w:left="0" w:right="0" w:hanging="0"/>
              <w:jc w:val="left"/>
              <w:rPr/>
            </w:pPr>
            <w:r>
              <w:rPr/>
              <w:t> </w:t>
            </w:r>
          </w:p>
        </w:tc>
        <w:tc>
          <w:tcPr>
            <w:tcW w:w="112" w:type="dxa"/>
            <w:tcBorders/>
            <w:vAlign w:val="center"/>
          </w:tcPr>
          <w:p>
            <w:pPr>
              <w:pStyle w:val="TableContents"/>
              <w:bidi w:val="0"/>
              <w:spacing w:before="0" w:after="0"/>
              <w:ind w:left="0" w:right="0" w:hanging="0"/>
              <w:jc w:val="left"/>
              <w:rPr/>
            </w:pPr>
            <w:r>
              <w:rPr/>
              <w:t>​</w:t>
            </w:r>
          </w:p>
        </w:tc>
        <w:tc>
          <w:tcPr>
            <w:tcW w:w="10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253,554</w:t>
            </w:r>
          </w:p>
        </w:tc>
      </w:tr>
      <w:tr>
        <w:trPr/>
        <w:tc>
          <w:tcPr>
            <w:tcW w:w="71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127,620</w:t>
            </w:r>
          </w:p>
        </w:tc>
        <w:tc>
          <w:tcPr>
            <w:tcW w:w="346" w:type="dxa"/>
            <w:tcBorders/>
            <w:shd w:fill="CCEEFF" w:val="clear"/>
            <w:vAlign w:val="center"/>
          </w:tcPr>
          <w:p>
            <w:pPr>
              <w:pStyle w:val="TableContents"/>
              <w:bidi w:val="0"/>
              <w:spacing w:before="0" w:after="0"/>
              <w:ind w:left="0" w:right="0" w:hanging="0"/>
              <w:jc w:val="left"/>
              <w:rPr/>
            </w:pPr>
            <w:r>
              <w:rPr/>
              <w:t> </w:t>
            </w:r>
          </w:p>
        </w:tc>
        <w:tc>
          <w:tcPr>
            <w:tcW w:w="112" w:type="dxa"/>
            <w:tcBorders/>
            <w:shd w:fill="CCEEFF" w:val="clear"/>
            <w:vAlign w:val="center"/>
          </w:tcPr>
          <w:p>
            <w:pPr>
              <w:pStyle w:val="TableContents"/>
              <w:bidi w:val="0"/>
              <w:spacing w:before="0" w:after="0"/>
              <w:ind w:left="0" w:right="0" w:hanging="0"/>
              <w:jc w:val="left"/>
              <w:rPr/>
            </w:pPr>
            <w:r>
              <w:rPr/>
              <w:t>​</w:t>
            </w:r>
          </w:p>
        </w:tc>
        <w:tc>
          <w:tcPr>
            <w:tcW w:w="10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90,730</w:t>
            </w:r>
          </w:p>
        </w:tc>
      </w:tr>
      <w:tr>
        <w:trPr/>
        <w:tc>
          <w:tcPr>
            <w:tcW w:w="71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240,542</w:t>
            </w:r>
          </w:p>
        </w:tc>
        <w:tc>
          <w:tcPr>
            <w:tcW w:w="346" w:type="dxa"/>
            <w:tcBorders/>
            <w:vAlign w:val="center"/>
          </w:tcPr>
          <w:p>
            <w:pPr>
              <w:pStyle w:val="TableContents"/>
              <w:bidi w:val="0"/>
              <w:spacing w:before="0" w:after="0"/>
              <w:ind w:left="0" w:right="0" w:hanging="0"/>
              <w:jc w:val="left"/>
              <w:rPr/>
            </w:pPr>
            <w:r>
              <w:rPr/>
              <w:t> </w:t>
            </w:r>
          </w:p>
        </w:tc>
        <w:tc>
          <w:tcPr>
            <w:tcW w:w="112" w:type="dxa"/>
            <w:tcBorders/>
            <w:vAlign w:val="center"/>
          </w:tcPr>
          <w:p>
            <w:pPr>
              <w:pStyle w:val="TableContents"/>
              <w:bidi w:val="0"/>
              <w:spacing w:before="0" w:after="0"/>
              <w:ind w:left="0" w:right="0" w:hanging="0"/>
              <w:jc w:val="left"/>
              <w:rPr/>
            </w:pPr>
            <w:r>
              <w:rPr/>
              <w:t>​</w:t>
            </w:r>
          </w:p>
        </w:tc>
        <w:tc>
          <w:tcPr>
            <w:tcW w:w="10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217,807</w:t>
            </w:r>
          </w:p>
        </w:tc>
      </w:tr>
      <w:tr>
        <w:trPr/>
        <w:tc>
          <w:tcPr>
            <w:tcW w:w="71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46,620</w:t>
            </w:r>
          </w:p>
        </w:tc>
        <w:tc>
          <w:tcPr>
            <w:tcW w:w="346" w:type="dxa"/>
            <w:tcBorders/>
            <w:shd w:fill="CCEEFF" w:val="clear"/>
            <w:vAlign w:val="center"/>
          </w:tcPr>
          <w:p>
            <w:pPr>
              <w:pStyle w:val="TableContents"/>
              <w:bidi w:val="0"/>
              <w:spacing w:before="0" w:after="0"/>
              <w:ind w:left="0" w:right="0" w:hanging="0"/>
              <w:jc w:val="left"/>
              <w:rPr/>
            </w:pPr>
            <w:r>
              <w:rPr/>
              <w:t> </w:t>
            </w:r>
          </w:p>
        </w:tc>
        <w:tc>
          <w:tcPr>
            <w:tcW w:w="1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25,065</w:t>
            </w:r>
          </w:p>
        </w:tc>
      </w:tr>
      <w:tr>
        <w:trPr/>
        <w:tc>
          <w:tcPr>
            <w:tcW w:w="71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755,511</w:t>
            </w:r>
          </w:p>
        </w:tc>
        <w:tc>
          <w:tcPr>
            <w:tcW w:w="346" w:type="dxa"/>
            <w:tcBorders/>
            <w:vAlign w:val="center"/>
          </w:tcPr>
          <w:p>
            <w:pPr>
              <w:pStyle w:val="TableContents"/>
              <w:bidi w:val="0"/>
              <w:spacing w:before="0" w:after="0"/>
              <w:ind w:left="0" w:right="0" w:hanging="0"/>
              <w:jc w:val="left"/>
              <w:rPr/>
            </w:pPr>
            <w:r>
              <w:rPr/>
              <w:t> </w:t>
            </w:r>
          </w:p>
        </w:tc>
        <w:tc>
          <w:tcPr>
            <w:tcW w:w="112" w:type="dxa"/>
            <w:tcBorders/>
            <w:vAlign w:val="center"/>
          </w:tcPr>
          <w:p>
            <w:pPr>
              <w:pStyle w:val="TableContents"/>
              <w:bidi w:val="0"/>
              <w:spacing w:before="0" w:after="0"/>
              <w:ind w:left="0" w:right="0" w:hanging="0"/>
              <w:jc w:val="left"/>
              <w:rPr/>
            </w:pPr>
            <w:r>
              <w:rPr/>
              <w:t>​</w:t>
            </w:r>
          </w:p>
        </w:tc>
        <w:tc>
          <w:tcPr>
            <w:tcW w:w="10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688,506</w:t>
            </w:r>
          </w:p>
        </w:tc>
      </w:tr>
      <w:tr>
        <w:trPr/>
        <w:tc>
          <w:tcPr>
            <w:tcW w:w="71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 of accumulated depreciation of $200,107 and $186,796,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175,282</w:t>
            </w:r>
          </w:p>
        </w:tc>
        <w:tc>
          <w:tcPr>
            <w:tcW w:w="346" w:type="dxa"/>
            <w:tcBorders/>
            <w:shd w:fill="CCEEFF" w:val="clear"/>
            <w:vAlign w:val="center"/>
          </w:tcPr>
          <w:p>
            <w:pPr>
              <w:pStyle w:val="TableContents"/>
              <w:bidi w:val="0"/>
              <w:spacing w:before="0" w:after="0"/>
              <w:ind w:left="0" w:right="0" w:hanging="0"/>
              <w:jc w:val="left"/>
              <w:rPr/>
            </w:pPr>
            <w:r>
              <w:rPr/>
              <w:t> </w:t>
            </w:r>
          </w:p>
        </w:tc>
        <w:tc>
          <w:tcPr>
            <w:tcW w:w="112" w:type="dxa"/>
            <w:tcBorders/>
            <w:shd w:fill="CCEEFF" w:val="clear"/>
            <w:vAlign w:val="center"/>
          </w:tcPr>
          <w:p>
            <w:pPr>
              <w:pStyle w:val="TableContents"/>
              <w:bidi w:val="0"/>
              <w:spacing w:before="0" w:after="0"/>
              <w:ind w:left="0" w:right="0" w:hanging="0"/>
              <w:jc w:val="left"/>
              <w:rPr/>
            </w:pPr>
            <w:r>
              <w:rPr/>
              <w:t>​</w:t>
            </w:r>
          </w:p>
        </w:tc>
        <w:tc>
          <w:tcPr>
            <w:tcW w:w="10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172,493</w:t>
            </w:r>
          </w:p>
        </w:tc>
      </w:tr>
      <w:tr>
        <w:trPr/>
        <w:tc>
          <w:tcPr>
            <w:tcW w:w="71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 of accumulated amortization of $348,052 and $286,965, respectively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664,450</w:t>
            </w:r>
          </w:p>
        </w:tc>
        <w:tc>
          <w:tcPr>
            <w:tcW w:w="346" w:type="dxa"/>
            <w:tcBorders/>
            <w:vAlign w:val="center"/>
          </w:tcPr>
          <w:p>
            <w:pPr>
              <w:pStyle w:val="TableContents"/>
              <w:bidi w:val="0"/>
              <w:spacing w:before="0" w:after="0"/>
              <w:ind w:left="0" w:right="0" w:hanging="0"/>
              <w:jc w:val="left"/>
              <w:rPr/>
            </w:pPr>
            <w:r>
              <w:rPr/>
              <w:t> </w:t>
            </w:r>
          </w:p>
        </w:tc>
        <w:tc>
          <w:tcPr>
            <w:tcW w:w="112" w:type="dxa"/>
            <w:tcBorders/>
            <w:vAlign w:val="center"/>
          </w:tcPr>
          <w:p>
            <w:pPr>
              <w:pStyle w:val="TableContents"/>
              <w:bidi w:val="0"/>
              <w:spacing w:before="0" w:after="0"/>
              <w:ind w:left="0" w:right="0" w:hanging="0"/>
              <w:jc w:val="left"/>
              <w:rPr/>
            </w:pPr>
            <w:r>
              <w:rPr/>
              <w:t>​</w:t>
            </w:r>
          </w:p>
        </w:tc>
        <w:tc>
          <w:tcPr>
            <w:tcW w:w="10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723,973</w:t>
            </w:r>
          </w:p>
        </w:tc>
      </w:tr>
      <w:tr>
        <w:trPr/>
        <w:tc>
          <w:tcPr>
            <w:tcW w:w="71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760,275</w:t>
            </w:r>
          </w:p>
        </w:tc>
        <w:tc>
          <w:tcPr>
            <w:tcW w:w="346" w:type="dxa"/>
            <w:tcBorders/>
            <w:shd w:fill="CCEEFF" w:val="clear"/>
            <w:vAlign w:val="center"/>
          </w:tcPr>
          <w:p>
            <w:pPr>
              <w:pStyle w:val="TableContents"/>
              <w:bidi w:val="0"/>
              <w:spacing w:before="0" w:after="0"/>
              <w:ind w:left="0" w:right="0" w:hanging="0"/>
              <w:jc w:val="left"/>
              <w:rPr/>
            </w:pPr>
            <w:r>
              <w:rPr/>
              <w:t> </w:t>
            </w:r>
          </w:p>
        </w:tc>
        <w:tc>
          <w:tcPr>
            <w:tcW w:w="112" w:type="dxa"/>
            <w:tcBorders/>
            <w:shd w:fill="CCEEFF" w:val="clear"/>
            <w:vAlign w:val="center"/>
          </w:tcPr>
          <w:p>
            <w:pPr>
              <w:pStyle w:val="TableContents"/>
              <w:bidi w:val="0"/>
              <w:spacing w:before="0" w:after="0"/>
              <w:ind w:left="0" w:right="0" w:hanging="0"/>
              <w:jc w:val="left"/>
              <w:rPr/>
            </w:pPr>
            <w:r>
              <w:rPr/>
              <w:t>​</w:t>
            </w:r>
          </w:p>
        </w:tc>
        <w:tc>
          <w:tcPr>
            <w:tcW w:w="10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761,931</w:t>
            </w:r>
          </w:p>
        </w:tc>
      </w:tr>
      <w:tr>
        <w:trPr/>
        <w:tc>
          <w:tcPr>
            <w:tcW w:w="71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47,271</w:t>
            </w:r>
          </w:p>
        </w:tc>
        <w:tc>
          <w:tcPr>
            <w:tcW w:w="346" w:type="dxa"/>
            <w:tcBorders/>
            <w:vAlign w:val="center"/>
          </w:tcPr>
          <w:p>
            <w:pPr>
              <w:pStyle w:val="TableContents"/>
              <w:bidi w:val="0"/>
              <w:spacing w:before="0" w:after="0"/>
              <w:ind w:left="0" w:right="0" w:hanging="0"/>
              <w:jc w:val="left"/>
              <w:rPr/>
            </w:pPr>
            <w:r>
              <w:rPr/>
              <w:t>​</w:t>
            </w:r>
          </w:p>
        </w:tc>
        <w:tc>
          <w:tcPr>
            <w:tcW w:w="112" w:type="dxa"/>
            <w:tcBorders/>
            <w:vAlign w:val="center"/>
          </w:tcPr>
          <w:p>
            <w:pPr>
              <w:pStyle w:val="TableContents"/>
              <w:bidi w:val="0"/>
              <w:spacing w:before="0" w:after="0"/>
              <w:ind w:left="0" w:right="0" w:hanging="0"/>
              <w:jc w:val="left"/>
              <w:rPr/>
            </w:pPr>
            <w:r>
              <w:rPr/>
              <w:t>​</w:t>
            </w:r>
          </w:p>
        </w:tc>
        <w:tc>
          <w:tcPr>
            <w:tcW w:w="10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47,707</w:t>
            </w:r>
          </w:p>
        </w:tc>
      </w:tr>
      <w:tr>
        <w:trPr/>
        <w:tc>
          <w:tcPr>
            <w:tcW w:w="71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17,214</w:t>
            </w:r>
          </w:p>
        </w:tc>
        <w:tc>
          <w:tcPr>
            <w:tcW w:w="346" w:type="dxa"/>
            <w:tcBorders/>
            <w:shd w:fill="CCEEFF" w:val="clear"/>
            <w:vAlign w:val="center"/>
          </w:tcPr>
          <w:p>
            <w:pPr>
              <w:pStyle w:val="TableContents"/>
              <w:bidi w:val="0"/>
              <w:spacing w:before="0" w:after="0"/>
              <w:ind w:left="0" w:right="0" w:hanging="0"/>
              <w:jc w:val="left"/>
              <w:rPr/>
            </w:pPr>
            <w:r>
              <w:rPr/>
              <w:t> </w:t>
            </w:r>
          </w:p>
        </w:tc>
        <w:tc>
          <w:tcPr>
            <w:tcW w:w="1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15,778</w:t>
            </w:r>
          </w:p>
        </w:tc>
      </w:tr>
      <w:tr>
        <w:trPr/>
        <w:tc>
          <w:tcPr>
            <w:tcW w:w="71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2,420,003</w:t>
            </w:r>
          </w:p>
        </w:tc>
        <w:tc>
          <w:tcPr>
            <w:tcW w:w="346" w:type="dxa"/>
            <w:tcBorders/>
            <w:vAlign w:val="center"/>
          </w:tcPr>
          <w:p>
            <w:pPr>
              <w:pStyle w:val="TableContents"/>
              <w:bidi w:val="0"/>
              <w:spacing w:before="0" w:after="0"/>
              <w:ind w:left="0" w:right="0" w:hanging="0"/>
              <w:jc w:val="left"/>
              <w:rPr/>
            </w:pPr>
            <w:r>
              <w:rPr/>
              <w:t>​</w:t>
            </w:r>
          </w:p>
        </w:tc>
        <w:tc>
          <w:tcPr>
            <w:tcW w:w="112"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9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2,410,388</w:t>
            </w:r>
          </w:p>
        </w:tc>
      </w:tr>
      <w:tr>
        <w:trPr/>
        <w:tc>
          <w:tcPr>
            <w:tcW w:w="716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2" w:type="dxa"/>
            <w:tcBorders/>
            <w:shd w:fill="CCEEFF" w:val="clear"/>
            <w:vAlign w:val="center"/>
          </w:tcPr>
          <w:p>
            <w:pPr>
              <w:pStyle w:val="TableContents"/>
              <w:bidi w:val="0"/>
              <w:spacing w:before="0" w:after="0"/>
              <w:ind w:left="0" w:right="0" w:hanging="0"/>
              <w:jc w:val="left"/>
              <w:rPr/>
            </w:pPr>
            <w:r>
              <w:rPr/>
              <w:t>​</w:t>
            </w:r>
          </w:p>
        </w:tc>
        <w:tc>
          <w:tcPr>
            <w:tcW w:w="1092" w:type="dxa"/>
            <w:tcBorders/>
            <w:shd w:fill="CCEEFF" w:val="clear"/>
            <w:vAlign w:val="center"/>
          </w:tcPr>
          <w:p>
            <w:pPr>
              <w:pStyle w:val="TableContents"/>
              <w:bidi w:val="0"/>
              <w:spacing w:before="0" w:after="0"/>
              <w:ind w:left="0" w:right="0" w:hanging="0"/>
              <w:jc w:val="right"/>
              <w:rPr/>
            </w:pPr>
            <w:r>
              <w:rPr/>
              <w:t>​</w:t>
            </w:r>
          </w:p>
        </w:tc>
      </w:tr>
      <w:tr>
        <w:trPr/>
        <w:tc>
          <w:tcPr>
            <w:tcW w:w="71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 AND SHAREHOLDERS’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2" w:type="dxa"/>
            <w:tcBorders/>
            <w:vAlign w:val="center"/>
          </w:tcPr>
          <w:p>
            <w:pPr>
              <w:pStyle w:val="TableContents"/>
              <w:bidi w:val="0"/>
              <w:spacing w:before="0" w:after="0"/>
              <w:ind w:left="0" w:right="0" w:hanging="0"/>
              <w:jc w:val="left"/>
              <w:rPr/>
            </w:pPr>
            <w:r>
              <w:rPr/>
              <w:t>​</w:t>
            </w:r>
          </w:p>
        </w:tc>
        <w:tc>
          <w:tcPr>
            <w:tcW w:w="1092" w:type="dxa"/>
            <w:tcBorders/>
            <w:vAlign w:val="center"/>
          </w:tcPr>
          <w:p>
            <w:pPr>
              <w:pStyle w:val="TableContents"/>
              <w:bidi w:val="0"/>
              <w:spacing w:before="0" w:after="0"/>
              <w:ind w:left="0" w:right="0" w:hanging="0"/>
              <w:jc w:val="right"/>
              <w:rPr/>
            </w:pPr>
            <w:r>
              <w:rPr/>
              <w:t>​</w:t>
            </w:r>
          </w:p>
        </w:tc>
      </w:tr>
      <w:tr>
        <w:trPr/>
        <w:tc>
          <w:tcPr>
            <w:tcW w:w="71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2" w:type="dxa"/>
            <w:tcBorders/>
            <w:shd w:fill="CCEEFF" w:val="clear"/>
            <w:vAlign w:val="center"/>
          </w:tcPr>
          <w:p>
            <w:pPr>
              <w:pStyle w:val="TableContents"/>
              <w:bidi w:val="0"/>
              <w:spacing w:before="0" w:after="0"/>
              <w:ind w:left="0" w:right="0" w:hanging="0"/>
              <w:jc w:val="left"/>
              <w:rPr/>
            </w:pPr>
            <w:r>
              <w:rPr/>
              <w:t>​</w:t>
            </w:r>
          </w:p>
        </w:tc>
        <w:tc>
          <w:tcPr>
            <w:tcW w:w="1092" w:type="dxa"/>
            <w:tcBorders/>
            <w:shd w:fill="CCEEFF" w:val="clear"/>
            <w:vAlign w:val="center"/>
          </w:tcPr>
          <w:p>
            <w:pPr>
              <w:pStyle w:val="TableContents"/>
              <w:bidi w:val="0"/>
              <w:spacing w:before="0" w:after="0"/>
              <w:ind w:left="0" w:right="0" w:hanging="0"/>
              <w:jc w:val="right"/>
              <w:rPr/>
            </w:pPr>
            <w:r>
              <w:rPr/>
              <w:t>​</w:t>
            </w:r>
          </w:p>
        </w:tc>
      </w:tr>
      <w:tr>
        <w:trPr/>
        <w:tc>
          <w:tcPr>
            <w:tcW w:w="71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maturities of long-term debt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w:t>
            </w:r>
          </w:p>
        </w:tc>
        <w:tc>
          <w:tcPr>
            <w:tcW w:w="346" w:type="dxa"/>
            <w:tcBorders/>
            <w:vAlign w:val="center"/>
          </w:tcPr>
          <w:p>
            <w:pPr>
              <w:pStyle w:val="TableContents"/>
              <w:bidi w:val="0"/>
              <w:spacing w:before="0" w:after="0"/>
              <w:ind w:left="0" w:right="0" w:hanging="0"/>
              <w:jc w:val="left"/>
              <w:rPr/>
            </w:pPr>
            <w:r>
              <w:rPr/>
              <w:t>​</w:t>
            </w:r>
          </w:p>
        </w:tc>
        <w:tc>
          <w:tcPr>
            <w:tcW w:w="112" w:type="dxa"/>
            <w:tcBorders/>
            <w:vAlign w:val="center"/>
          </w:tcPr>
          <w:p>
            <w:pPr>
              <w:pStyle w:val="TableContents"/>
              <w:bidi w:val="0"/>
              <w:spacing w:before="0" w:after="0"/>
              <w:ind w:left="0" w:right="0" w:hanging="0"/>
              <w:jc w:val="left"/>
              <w:rPr/>
            </w:pPr>
            <w:r>
              <w:rPr/>
              <w:t>​</w:t>
            </w:r>
          </w:p>
        </w:tc>
        <w:tc>
          <w:tcPr>
            <w:tcW w:w="10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w:t>
            </w:r>
          </w:p>
        </w:tc>
      </w:tr>
      <w:tr>
        <w:trPr/>
        <w:tc>
          <w:tcPr>
            <w:tcW w:w="71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116,539</w:t>
            </w:r>
          </w:p>
        </w:tc>
        <w:tc>
          <w:tcPr>
            <w:tcW w:w="346" w:type="dxa"/>
            <w:tcBorders/>
            <w:shd w:fill="CCEEFF" w:val="clear"/>
            <w:vAlign w:val="center"/>
          </w:tcPr>
          <w:p>
            <w:pPr>
              <w:pStyle w:val="TableContents"/>
              <w:bidi w:val="0"/>
              <w:spacing w:before="0" w:after="0"/>
              <w:ind w:left="0" w:right="0" w:hanging="0"/>
              <w:jc w:val="left"/>
              <w:rPr/>
            </w:pPr>
            <w:r>
              <w:rPr/>
              <w:t>​</w:t>
            </w:r>
          </w:p>
        </w:tc>
        <w:tc>
          <w:tcPr>
            <w:tcW w:w="112" w:type="dxa"/>
            <w:tcBorders/>
            <w:shd w:fill="CCEEFF" w:val="clear"/>
            <w:vAlign w:val="center"/>
          </w:tcPr>
          <w:p>
            <w:pPr>
              <w:pStyle w:val="TableContents"/>
              <w:bidi w:val="0"/>
              <w:spacing w:before="0" w:after="0"/>
              <w:ind w:left="0" w:right="0" w:hanging="0"/>
              <w:jc w:val="left"/>
              <w:rPr/>
            </w:pPr>
            <w:r>
              <w:rPr/>
              <w:t>​</w:t>
            </w:r>
          </w:p>
        </w:tc>
        <w:tc>
          <w:tcPr>
            <w:tcW w:w="10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96,534</w:t>
            </w:r>
          </w:p>
        </w:tc>
      </w:tr>
      <w:tr>
        <w:trPr/>
        <w:tc>
          <w:tcPr>
            <w:tcW w:w="71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288,142</w:t>
            </w:r>
          </w:p>
        </w:tc>
        <w:tc>
          <w:tcPr>
            <w:tcW w:w="346" w:type="dxa"/>
            <w:tcBorders/>
            <w:vAlign w:val="center"/>
          </w:tcPr>
          <w:p>
            <w:pPr>
              <w:pStyle w:val="TableContents"/>
              <w:bidi w:val="0"/>
              <w:spacing w:before="0" w:after="0"/>
              <w:ind w:left="0" w:right="0" w:hanging="0"/>
              <w:jc w:val="left"/>
              <w:rPr/>
            </w:pPr>
            <w:r>
              <w:rPr/>
              <w:t>​</w:t>
            </w:r>
          </w:p>
        </w:tc>
        <w:tc>
          <w:tcPr>
            <w:tcW w:w="112" w:type="dxa"/>
            <w:tcBorders/>
            <w:vAlign w:val="center"/>
          </w:tcPr>
          <w:p>
            <w:pPr>
              <w:pStyle w:val="TableContents"/>
              <w:bidi w:val="0"/>
              <w:spacing w:before="0" w:after="0"/>
              <w:ind w:left="0" w:right="0" w:hanging="0"/>
              <w:jc w:val="left"/>
              <w:rPr/>
            </w:pPr>
            <w:r>
              <w:rPr/>
              <w:t>​</w:t>
            </w:r>
          </w:p>
        </w:tc>
        <w:tc>
          <w:tcPr>
            <w:tcW w:w="10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216,590</w:t>
            </w:r>
          </w:p>
        </w:tc>
      </w:tr>
      <w:tr>
        <w:trPr/>
        <w:tc>
          <w:tcPr>
            <w:tcW w:w="71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salaries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54,995</w:t>
            </w:r>
          </w:p>
        </w:tc>
        <w:tc>
          <w:tcPr>
            <w:tcW w:w="346" w:type="dxa"/>
            <w:tcBorders/>
            <w:shd w:fill="CCEEFF" w:val="clear"/>
            <w:vAlign w:val="center"/>
          </w:tcPr>
          <w:p>
            <w:pPr>
              <w:pStyle w:val="TableContents"/>
              <w:bidi w:val="0"/>
              <w:spacing w:before="0" w:after="0"/>
              <w:ind w:left="0" w:right="0" w:hanging="0"/>
              <w:jc w:val="left"/>
              <w:rPr/>
            </w:pPr>
            <w:r>
              <w:rPr/>
              <w:t>​</w:t>
            </w:r>
          </w:p>
        </w:tc>
        <w:tc>
          <w:tcPr>
            <w:tcW w:w="112" w:type="dxa"/>
            <w:tcBorders/>
            <w:shd w:fill="CCEEFF" w:val="clear"/>
            <w:vAlign w:val="center"/>
          </w:tcPr>
          <w:p>
            <w:pPr>
              <w:pStyle w:val="TableContents"/>
              <w:bidi w:val="0"/>
              <w:spacing w:before="0" w:after="0"/>
              <w:ind w:left="0" w:right="0" w:hanging="0"/>
              <w:jc w:val="left"/>
              <w:rPr/>
            </w:pPr>
            <w:r>
              <w:rPr/>
              <w:t>​</w:t>
            </w:r>
          </w:p>
        </w:tc>
        <w:tc>
          <w:tcPr>
            <w:tcW w:w="10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53,301</w:t>
            </w:r>
          </w:p>
        </w:tc>
      </w:tr>
      <w:tr>
        <w:trPr/>
        <w:tc>
          <w:tcPr>
            <w:tcW w:w="71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payable - current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5,754</w:t>
            </w:r>
          </w:p>
        </w:tc>
        <w:tc>
          <w:tcPr>
            <w:tcW w:w="346" w:type="dxa"/>
            <w:tcBorders/>
            <w:vAlign w:val="center"/>
          </w:tcPr>
          <w:p>
            <w:pPr>
              <w:pStyle w:val="TableContents"/>
              <w:bidi w:val="0"/>
              <w:spacing w:before="0" w:after="0"/>
              <w:ind w:left="0" w:right="0" w:hanging="0"/>
              <w:jc w:val="left"/>
              <w:rPr/>
            </w:pPr>
            <w:r>
              <w:rPr/>
              <w:t>​</w:t>
            </w:r>
          </w:p>
        </w:tc>
        <w:tc>
          <w:tcPr>
            <w:tcW w:w="112" w:type="dxa"/>
            <w:tcBorders/>
            <w:vAlign w:val="center"/>
          </w:tcPr>
          <w:p>
            <w:pPr>
              <w:pStyle w:val="TableContents"/>
              <w:bidi w:val="0"/>
              <w:spacing w:before="0" w:after="0"/>
              <w:ind w:left="0" w:right="0" w:hanging="0"/>
              <w:jc w:val="left"/>
              <w:rPr/>
            </w:pPr>
            <w:r>
              <w:rPr/>
              <w:t>​</w:t>
            </w:r>
          </w:p>
        </w:tc>
        <w:tc>
          <w:tcPr>
            <w:tcW w:w="10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62,007</w:t>
            </w:r>
          </w:p>
        </w:tc>
      </w:tr>
      <w:tr>
        <w:trPr/>
        <w:tc>
          <w:tcPr>
            <w:tcW w:w="71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other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61,263</w:t>
            </w:r>
          </w:p>
        </w:tc>
        <w:tc>
          <w:tcPr>
            <w:tcW w:w="346" w:type="dxa"/>
            <w:tcBorders/>
            <w:shd w:fill="CCEEFF" w:val="clear"/>
            <w:vAlign w:val="center"/>
          </w:tcPr>
          <w:p>
            <w:pPr>
              <w:pStyle w:val="TableContents"/>
              <w:bidi w:val="0"/>
              <w:spacing w:before="0" w:after="0"/>
              <w:ind w:left="0" w:right="0" w:hanging="0"/>
              <w:jc w:val="left"/>
              <w:rPr/>
            </w:pPr>
            <w:r>
              <w:rPr/>
              <w:t>​</w:t>
            </w:r>
          </w:p>
        </w:tc>
        <w:tc>
          <w:tcPr>
            <w:tcW w:w="1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59,716</w:t>
            </w:r>
          </w:p>
        </w:tc>
      </w:tr>
      <w:tr>
        <w:trPr/>
        <w:tc>
          <w:tcPr>
            <w:tcW w:w="71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546,693</w:t>
            </w:r>
          </w:p>
        </w:tc>
        <w:tc>
          <w:tcPr>
            <w:tcW w:w="346" w:type="dxa"/>
            <w:tcBorders/>
            <w:vAlign w:val="center"/>
          </w:tcPr>
          <w:p>
            <w:pPr>
              <w:pStyle w:val="TableContents"/>
              <w:bidi w:val="0"/>
              <w:spacing w:before="0" w:after="0"/>
              <w:ind w:left="0" w:right="0" w:hanging="0"/>
              <w:jc w:val="left"/>
              <w:rPr/>
            </w:pPr>
            <w:r>
              <w:rPr/>
              <w:t>​</w:t>
            </w:r>
          </w:p>
        </w:tc>
        <w:tc>
          <w:tcPr>
            <w:tcW w:w="112" w:type="dxa"/>
            <w:tcBorders/>
            <w:vAlign w:val="center"/>
          </w:tcPr>
          <w:p>
            <w:pPr>
              <w:pStyle w:val="TableContents"/>
              <w:bidi w:val="0"/>
              <w:spacing w:before="0" w:after="0"/>
              <w:ind w:left="0" w:right="0" w:hanging="0"/>
              <w:jc w:val="left"/>
              <w:rPr/>
            </w:pPr>
            <w:r>
              <w:rPr/>
              <w:t>​</w:t>
            </w:r>
          </w:p>
        </w:tc>
        <w:tc>
          <w:tcPr>
            <w:tcW w:w="10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508,148</w:t>
            </w:r>
          </w:p>
        </w:tc>
      </w:tr>
      <w:tr>
        <w:trPr/>
        <w:tc>
          <w:tcPr>
            <w:tcW w:w="71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115,333</w:t>
            </w:r>
          </w:p>
        </w:tc>
        <w:tc>
          <w:tcPr>
            <w:tcW w:w="346" w:type="dxa"/>
            <w:tcBorders/>
            <w:shd w:fill="CCEEFF" w:val="clear"/>
            <w:vAlign w:val="center"/>
          </w:tcPr>
          <w:p>
            <w:pPr>
              <w:pStyle w:val="TableContents"/>
              <w:bidi w:val="0"/>
              <w:spacing w:before="0" w:after="0"/>
              <w:ind w:left="0" w:right="0" w:hanging="0"/>
              <w:jc w:val="left"/>
              <w:rPr/>
            </w:pPr>
            <w:r>
              <w:rPr/>
              <w:t>​</w:t>
            </w:r>
          </w:p>
        </w:tc>
        <w:tc>
          <w:tcPr>
            <w:tcW w:w="112" w:type="dxa"/>
            <w:tcBorders/>
            <w:shd w:fill="CCEEFF" w:val="clear"/>
            <w:vAlign w:val="center"/>
          </w:tcPr>
          <w:p>
            <w:pPr>
              <w:pStyle w:val="TableContents"/>
              <w:bidi w:val="0"/>
              <w:spacing w:before="0" w:after="0"/>
              <w:ind w:left="0" w:right="0" w:hanging="0"/>
              <w:jc w:val="left"/>
              <w:rPr/>
            </w:pPr>
            <w:r>
              <w:rPr/>
              <w:t>​</w:t>
            </w:r>
          </w:p>
        </w:tc>
        <w:tc>
          <w:tcPr>
            <w:tcW w:w="10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112,390</w:t>
            </w:r>
          </w:p>
        </w:tc>
      </w:tr>
      <w:tr>
        <w:trPr/>
        <w:tc>
          <w:tcPr>
            <w:tcW w:w="71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operating 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44,107</w:t>
            </w:r>
          </w:p>
        </w:tc>
        <w:tc>
          <w:tcPr>
            <w:tcW w:w="346" w:type="dxa"/>
            <w:tcBorders/>
            <w:vAlign w:val="center"/>
          </w:tcPr>
          <w:p>
            <w:pPr>
              <w:pStyle w:val="TableContents"/>
              <w:bidi w:val="0"/>
              <w:spacing w:before="0" w:after="0"/>
              <w:ind w:left="0" w:right="0" w:hanging="0"/>
              <w:jc w:val="left"/>
              <w:rPr/>
            </w:pPr>
            <w:r>
              <w:rPr/>
              <w:t>​</w:t>
            </w:r>
          </w:p>
        </w:tc>
        <w:tc>
          <w:tcPr>
            <w:tcW w:w="112" w:type="dxa"/>
            <w:tcBorders/>
            <w:vAlign w:val="center"/>
          </w:tcPr>
          <w:p>
            <w:pPr>
              <w:pStyle w:val="TableContents"/>
              <w:bidi w:val="0"/>
              <w:spacing w:before="0" w:after="0"/>
              <w:ind w:left="0" w:right="0" w:hanging="0"/>
              <w:jc w:val="left"/>
              <w:rPr/>
            </w:pPr>
            <w:r>
              <w:rPr/>
              <w:t>​</w:t>
            </w:r>
          </w:p>
        </w:tc>
        <w:tc>
          <w:tcPr>
            <w:tcW w:w="10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44,403</w:t>
            </w:r>
          </w:p>
        </w:tc>
      </w:tr>
      <w:tr>
        <w:trPr/>
        <w:tc>
          <w:tcPr>
            <w:tcW w:w="71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31,608</w:t>
            </w:r>
          </w:p>
        </w:tc>
        <w:tc>
          <w:tcPr>
            <w:tcW w:w="346" w:type="dxa"/>
            <w:tcBorders/>
            <w:shd w:fill="CCEEFF" w:val="clear"/>
            <w:vAlign w:val="center"/>
          </w:tcPr>
          <w:p>
            <w:pPr>
              <w:pStyle w:val="TableContents"/>
              <w:bidi w:val="0"/>
              <w:spacing w:before="0" w:after="0"/>
              <w:ind w:left="0" w:right="0" w:hanging="0"/>
              <w:jc w:val="left"/>
              <w:rPr/>
            </w:pPr>
            <w:r>
              <w:rPr/>
              <w:t>​</w:t>
            </w:r>
          </w:p>
        </w:tc>
        <w:tc>
          <w:tcPr>
            <w:tcW w:w="112" w:type="dxa"/>
            <w:tcBorders/>
            <w:shd w:fill="CCEEFF" w:val="clear"/>
            <w:vAlign w:val="center"/>
          </w:tcPr>
          <w:p>
            <w:pPr>
              <w:pStyle w:val="TableContents"/>
              <w:bidi w:val="0"/>
              <w:spacing w:before="0" w:after="0"/>
              <w:ind w:left="0" w:right="0" w:hanging="0"/>
              <w:jc w:val="left"/>
              <w:rPr/>
            </w:pPr>
            <w:r>
              <w:rPr/>
              <w:t>​</w:t>
            </w:r>
          </w:p>
        </w:tc>
        <w:tc>
          <w:tcPr>
            <w:tcW w:w="10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38,576</w:t>
            </w:r>
          </w:p>
        </w:tc>
      </w:tr>
      <w:tr>
        <w:trPr/>
        <w:tc>
          <w:tcPr>
            <w:tcW w:w="71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65,000</w:t>
            </w:r>
          </w:p>
        </w:tc>
        <w:tc>
          <w:tcPr>
            <w:tcW w:w="346" w:type="dxa"/>
            <w:tcBorders/>
            <w:vAlign w:val="center"/>
          </w:tcPr>
          <w:p>
            <w:pPr>
              <w:pStyle w:val="TableContents"/>
              <w:bidi w:val="0"/>
              <w:spacing w:before="0" w:after="0"/>
              <w:ind w:left="0" w:right="0" w:hanging="0"/>
              <w:jc w:val="left"/>
              <w:rPr/>
            </w:pPr>
            <w:r>
              <w:rPr/>
              <w:t>​</w:t>
            </w:r>
          </w:p>
        </w:tc>
        <w:tc>
          <w:tcPr>
            <w:tcW w:w="1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166,000</w:t>
            </w:r>
          </w:p>
        </w:tc>
      </w:tr>
      <w:tr>
        <w:trPr/>
        <w:tc>
          <w:tcPr>
            <w:tcW w:w="71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802,741</w:t>
            </w:r>
          </w:p>
        </w:tc>
        <w:tc>
          <w:tcPr>
            <w:tcW w:w="346" w:type="dxa"/>
            <w:tcBorders/>
            <w:shd w:fill="CCEEFF" w:val="clear"/>
            <w:vAlign w:val="center"/>
          </w:tcPr>
          <w:p>
            <w:pPr>
              <w:pStyle w:val="TableContents"/>
              <w:bidi w:val="0"/>
              <w:spacing w:before="0" w:after="0"/>
              <w:ind w:left="0" w:right="0" w:hanging="0"/>
              <w:jc w:val="left"/>
              <w:rPr/>
            </w:pPr>
            <w:r>
              <w:rPr/>
              <w:t>​</w:t>
            </w:r>
          </w:p>
        </w:tc>
        <w:tc>
          <w:tcPr>
            <w:tcW w:w="112" w:type="dxa"/>
            <w:tcBorders/>
            <w:shd w:fill="CCEEFF" w:val="clear"/>
            <w:vAlign w:val="center"/>
          </w:tcPr>
          <w:p>
            <w:pPr>
              <w:pStyle w:val="TableContents"/>
              <w:bidi w:val="0"/>
              <w:spacing w:before="0" w:after="0"/>
              <w:ind w:left="0" w:right="0" w:hanging="0"/>
              <w:jc w:val="left"/>
              <w:rPr/>
            </w:pPr>
            <w:r>
              <w:rPr/>
              <w:t>​</w:t>
            </w:r>
          </w:p>
        </w:tc>
        <w:tc>
          <w:tcPr>
            <w:tcW w:w="10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869,517</w:t>
            </w:r>
          </w:p>
        </w:tc>
      </w:tr>
      <w:tr>
        <w:trPr/>
        <w:tc>
          <w:tcPr>
            <w:tcW w:w="71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2" w:type="dxa"/>
            <w:tcBorders/>
            <w:vAlign w:val="center"/>
          </w:tcPr>
          <w:p>
            <w:pPr>
              <w:pStyle w:val="TableContents"/>
              <w:bidi w:val="0"/>
              <w:spacing w:before="0" w:after="0"/>
              <w:ind w:left="0" w:right="0" w:hanging="0"/>
              <w:jc w:val="left"/>
              <w:rPr/>
            </w:pPr>
            <w:r>
              <w:rPr/>
              <w:t>​</w:t>
            </w:r>
          </w:p>
        </w:tc>
        <w:tc>
          <w:tcPr>
            <w:tcW w:w="1092" w:type="dxa"/>
            <w:tcBorders/>
            <w:vAlign w:val="center"/>
          </w:tcPr>
          <w:p>
            <w:pPr>
              <w:pStyle w:val="TableContents"/>
              <w:bidi w:val="0"/>
              <w:spacing w:before="0" w:after="0"/>
              <w:ind w:left="0" w:right="0" w:hanging="0"/>
              <w:jc w:val="right"/>
              <w:rPr/>
            </w:pPr>
            <w:r>
              <w:rPr/>
              <w:t>​</w:t>
            </w:r>
          </w:p>
        </w:tc>
      </w:tr>
      <w:tr>
        <w:trPr/>
        <w:tc>
          <w:tcPr>
            <w:tcW w:w="71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par value $.01 per share, authorized 10,000,000 shares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2" w:type="dxa"/>
            <w:tcBorders/>
            <w:shd w:fill="CCEEFF" w:val="clear"/>
            <w:vAlign w:val="center"/>
          </w:tcPr>
          <w:p>
            <w:pPr>
              <w:pStyle w:val="TableContents"/>
              <w:bidi w:val="0"/>
              <w:spacing w:before="0" w:after="0"/>
              <w:ind w:left="0" w:right="0" w:hanging="0"/>
              <w:jc w:val="left"/>
              <w:rPr/>
            </w:pPr>
            <w:r>
              <w:rPr/>
              <w:t>​</w:t>
            </w:r>
          </w:p>
        </w:tc>
        <w:tc>
          <w:tcPr>
            <w:tcW w:w="1092"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1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par value $.01 per share, authorized 50,000,000 shares, issued 30,964,140 and 30,886,024 shares, respectively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c>
          <w:tcPr>
            <w:tcW w:w="346" w:type="dxa"/>
            <w:tcBorders/>
            <w:vAlign w:val="center"/>
          </w:tcPr>
          <w:p>
            <w:pPr>
              <w:pStyle w:val="TableContents"/>
              <w:bidi w:val="0"/>
              <w:spacing w:before="0" w:after="0"/>
              <w:ind w:left="0" w:right="0" w:hanging="0"/>
              <w:jc w:val="left"/>
              <w:rPr/>
            </w:pPr>
            <w:r>
              <w:rPr/>
              <w:t>​</w:t>
            </w:r>
          </w:p>
        </w:tc>
        <w:tc>
          <w:tcPr>
            <w:tcW w:w="112" w:type="dxa"/>
            <w:tcBorders/>
            <w:vAlign w:val="center"/>
          </w:tcPr>
          <w:p>
            <w:pPr>
              <w:pStyle w:val="TableContents"/>
              <w:bidi w:val="0"/>
              <w:spacing w:before="0" w:after="0"/>
              <w:ind w:left="0" w:right="0" w:hanging="0"/>
              <w:jc w:val="left"/>
              <w:rPr/>
            </w:pPr>
            <w:r>
              <w:rPr/>
              <w:t>​</w:t>
            </w:r>
          </w:p>
        </w:tc>
        <w:tc>
          <w:tcPr>
            <w:tcW w:w="10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w:t>
            </w:r>
          </w:p>
        </w:tc>
      </w:tr>
      <w:tr>
        <w:trPr/>
        <w:tc>
          <w:tcPr>
            <w:tcW w:w="71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315,600</w:t>
            </w:r>
          </w:p>
        </w:tc>
        <w:tc>
          <w:tcPr>
            <w:tcW w:w="346" w:type="dxa"/>
            <w:tcBorders/>
            <w:shd w:fill="CCEEFF" w:val="clear"/>
            <w:vAlign w:val="center"/>
          </w:tcPr>
          <w:p>
            <w:pPr>
              <w:pStyle w:val="TableContents"/>
              <w:bidi w:val="0"/>
              <w:spacing w:before="0" w:after="0"/>
              <w:ind w:left="0" w:right="0" w:hanging="0"/>
              <w:jc w:val="left"/>
              <w:rPr/>
            </w:pPr>
            <w:r>
              <w:rPr/>
              <w:t>​</w:t>
            </w:r>
          </w:p>
        </w:tc>
        <w:tc>
          <w:tcPr>
            <w:tcW w:w="112" w:type="dxa"/>
            <w:tcBorders/>
            <w:shd w:fill="CCEEFF" w:val="clear"/>
            <w:vAlign w:val="center"/>
          </w:tcPr>
          <w:p>
            <w:pPr>
              <w:pStyle w:val="TableContents"/>
              <w:bidi w:val="0"/>
              <w:spacing w:before="0" w:after="0"/>
              <w:ind w:left="0" w:right="0" w:hanging="0"/>
              <w:jc w:val="left"/>
              <w:rPr/>
            </w:pPr>
            <w:r>
              <w:rPr/>
              <w:t>​</w:t>
            </w:r>
          </w:p>
        </w:tc>
        <w:tc>
          <w:tcPr>
            <w:tcW w:w="10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316,194</w:t>
            </w:r>
          </w:p>
        </w:tc>
      </w:tr>
      <w:tr>
        <w:trPr/>
        <w:tc>
          <w:tcPr>
            <w:tcW w:w="71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1,463,854</w:t>
            </w:r>
          </w:p>
        </w:tc>
        <w:tc>
          <w:tcPr>
            <w:tcW w:w="346" w:type="dxa"/>
            <w:tcBorders/>
            <w:vAlign w:val="center"/>
          </w:tcPr>
          <w:p>
            <w:pPr>
              <w:pStyle w:val="TableContents"/>
              <w:bidi w:val="0"/>
              <w:spacing w:before="0" w:after="0"/>
              <w:ind w:left="0" w:right="0" w:hanging="0"/>
              <w:jc w:val="left"/>
              <w:rPr/>
            </w:pPr>
            <w:r>
              <w:rPr/>
              <w:t>​</w:t>
            </w:r>
          </w:p>
        </w:tc>
        <w:tc>
          <w:tcPr>
            <w:tcW w:w="112" w:type="dxa"/>
            <w:tcBorders/>
            <w:vAlign w:val="center"/>
          </w:tcPr>
          <w:p>
            <w:pPr>
              <w:pStyle w:val="TableContents"/>
              <w:bidi w:val="0"/>
              <w:spacing w:before="0" w:after="0"/>
              <w:ind w:left="0" w:right="0" w:hanging="0"/>
              <w:jc w:val="left"/>
              <w:rPr/>
            </w:pPr>
            <w:r>
              <w:rPr/>
              <w:t>​</w:t>
            </w:r>
          </w:p>
        </w:tc>
        <w:tc>
          <w:tcPr>
            <w:tcW w:w="10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1,373,911</w:t>
            </w:r>
          </w:p>
        </w:tc>
      </w:tr>
      <w:tr>
        <w:trPr/>
        <w:tc>
          <w:tcPr>
            <w:tcW w:w="71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 (loss),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(15,427)</w:t>
            </w:r>
          </w:p>
        </w:tc>
        <w:tc>
          <w:tcPr>
            <w:tcW w:w="346" w:type="dxa"/>
            <w:tcBorders/>
            <w:shd w:fill="CCEEFF" w:val="clear"/>
            <w:vAlign w:val="center"/>
          </w:tcPr>
          <w:p>
            <w:pPr>
              <w:pStyle w:val="TableContents"/>
              <w:bidi w:val="0"/>
              <w:spacing w:before="0" w:after="0"/>
              <w:ind w:left="0" w:right="0" w:hanging="0"/>
              <w:jc w:val="left"/>
              <w:rPr/>
            </w:pPr>
            <w:r>
              <w:rPr/>
              <w:t>​</w:t>
            </w:r>
          </w:p>
        </w:tc>
        <w:tc>
          <w:tcPr>
            <w:tcW w:w="1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(2,468)</w:t>
            </w:r>
          </w:p>
        </w:tc>
      </w:tr>
      <w:tr>
        <w:trPr/>
        <w:tc>
          <w:tcPr>
            <w:tcW w:w="7167"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1,764,337</w:t>
            </w:r>
          </w:p>
        </w:tc>
        <w:tc>
          <w:tcPr>
            <w:tcW w:w="346" w:type="dxa"/>
            <w:tcBorders/>
            <w:vAlign w:val="center"/>
          </w:tcPr>
          <w:p>
            <w:pPr>
              <w:pStyle w:val="TableContents"/>
              <w:bidi w:val="0"/>
              <w:spacing w:before="0" w:after="0"/>
              <w:ind w:left="0" w:right="0" w:hanging="0"/>
              <w:jc w:val="left"/>
              <w:rPr/>
            </w:pPr>
            <w:r>
              <w:rPr/>
              <w:t>​</w:t>
            </w:r>
          </w:p>
        </w:tc>
        <w:tc>
          <w:tcPr>
            <w:tcW w:w="112" w:type="dxa"/>
            <w:tcBorders/>
            <w:vAlign w:val="center"/>
          </w:tcPr>
          <w:p>
            <w:pPr>
              <w:pStyle w:val="TableContents"/>
              <w:bidi w:val="0"/>
              <w:spacing w:before="0" w:after="0"/>
              <w:ind w:left="0" w:right="0" w:hanging="0"/>
              <w:jc w:val="left"/>
              <w:rPr/>
            </w:pPr>
            <w:r>
              <w:rPr/>
              <w:t>​</w:t>
            </w:r>
          </w:p>
        </w:tc>
        <w:tc>
          <w:tcPr>
            <w:tcW w:w="10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1,687,946</w:t>
            </w:r>
          </w:p>
        </w:tc>
      </w:tr>
      <w:tr>
        <w:trPr/>
        <w:tc>
          <w:tcPr>
            <w:tcW w:w="71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treasury stock, at cost: 5,056,771 and 5,056,771 common shares,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(147,075)</w:t>
            </w:r>
          </w:p>
        </w:tc>
        <w:tc>
          <w:tcPr>
            <w:tcW w:w="346" w:type="dxa"/>
            <w:tcBorders/>
            <w:shd w:fill="CCEEFF" w:val="clear"/>
            <w:vAlign w:val="center"/>
          </w:tcPr>
          <w:p>
            <w:pPr>
              <w:pStyle w:val="TableContents"/>
              <w:bidi w:val="0"/>
              <w:spacing w:before="0" w:after="0"/>
              <w:ind w:left="0" w:right="0" w:hanging="0"/>
              <w:jc w:val="left"/>
              <w:rPr/>
            </w:pPr>
            <w:r>
              <w:rPr/>
              <w:t>​</w:t>
            </w:r>
          </w:p>
        </w:tc>
        <w:tc>
          <w:tcPr>
            <w:tcW w:w="1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(147,075)</w:t>
            </w:r>
          </w:p>
        </w:tc>
      </w:tr>
      <w:tr>
        <w:trPr/>
        <w:tc>
          <w:tcPr>
            <w:tcW w:w="716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shareholders’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1,617,262</w:t>
            </w:r>
          </w:p>
        </w:tc>
        <w:tc>
          <w:tcPr>
            <w:tcW w:w="346" w:type="dxa"/>
            <w:tcBorders/>
            <w:vAlign w:val="center"/>
          </w:tcPr>
          <w:p>
            <w:pPr>
              <w:pStyle w:val="TableContents"/>
              <w:bidi w:val="0"/>
              <w:spacing w:before="0" w:after="0"/>
              <w:ind w:left="0" w:right="0" w:hanging="0"/>
              <w:jc w:val="left"/>
              <w:rPr/>
            </w:pPr>
            <w:r>
              <w:rPr/>
              <w:t>​</w:t>
            </w:r>
          </w:p>
        </w:tc>
        <w:tc>
          <w:tcPr>
            <w:tcW w:w="1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1,540,871</w:t>
            </w:r>
          </w:p>
        </w:tc>
      </w:tr>
      <w:tr>
        <w:trPr/>
        <w:tc>
          <w:tcPr>
            <w:tcW w:w="7167"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2,420,003</w:t>
            </w:r>
          </w:p>
        </w:tc>
        <w:tc>
          <w:tcPr>
            <w:tcW w:w="346" w:type="dxa"/>
            <w:tcBorders/>
            <w:shd w:fill="CCEEFF" w:val="clear"/>
            <w:vAlign w:val="center"/>
          </w:tcPr>
          <w:p>
            <w:pPr>
              <w:pStyle w:val="TableContents"/>
              <w:bidi w:val="0"/>
              <w:spacing w:before="0" w:after="0"/>
              <w:ind w:left="0" w:right="0" w:hanging="0"/>
              <w:jc w:val="left"/>
              <w:rPr/>
            </w:pPr>
            <w:r>
              <w:rPr/>
              <w:t>​</w:t>
            </w:r>
          </w:p>
        </w:tc>
        <w:tc>
          <w:tcPr>
            <w:tcW w:w="1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92"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2,410,388</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0"/>
        <w:ind w:left="0" w:right="0" w:hanging="0"/>
        <w:jc w:val="center"/>
        <w:rPr>
          <w:rFonts w:ascii="Times New Roman;Times;serif" w:hAnsi="Times New Roman;Times;serif"/>
          <w:sz w:val="20"/>
        </w:rPr>
      </w:pPr>
      <w:bookmarkStart w:id="316" w:name="_b0ca5c30_8441_439d_b77d_c202cbecca51"/>
      <w:bookmarkEnd w:id="316"/>
      <w:r>
        <w:rPr>
          <w:rFonts w:ascii="Times New Roman;Times;serif" w:hAnsi="Times New Roman;Times;serif"/>
          <w:sz w:val="20"/>
        </w:rPr>
        <w:t>ESCO TECHNOLOGIES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CONDENSED CONSOLIDATED STATEMENTS OF CASH FLOWS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(Dollars in thousands)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17" w:name="Tc_fTCX5X_yh0O5axztuaZXcg_38_2"/>
      <w:bookmarkStart w:id="318" w:name="Tc_u3Cuv6qqL0iqdXC7xPvrsw_38_0"/>
      <w:bookmarkStart w:id="319" w:name="Tc_aySnLx68PkGGGDIjcRrWHA_37_2"/>
      <w:bookmarkStart w:id="320" w:name="Tc_mIY39yOANEWu7AMn06ZB8g_37_0"/>
      <w:bookmarkStart w:id="321" w:name="Tc_8VNV-oJXgEOtb1h5VkJTcQ_36_0"/>
      <w:bookmarkStart w:id="322" w:name="Tc_FNFutti0p06DP9dwcCJ9vg_34_2"/>
      <w:bookmarkStart w:id="323" w:name="Tc_VSen9yGofUa6x08t2Rd-fw_34_0"/>
      <w:bookmarkStart w:id="324" w:name="Tc_SA1MACm640ugHL8FnUAHjQ_33_0"/>
      <w:bookmarkStart w:id="325" w:name="Tc_fxNdNYN7n0itrnVuGRHVcg_32_0"/>
      <w:bookmarkStart w:id="326" w:name="Tc_5s3h5cUjzUSDONJ362NIlg_31_0"/>
      <w:bookmarkStart w:id="327" w:name="Tc_hiXA4wjlzEqPft5YhXg-mg_30_0"/>
      <w:bookmarkStart w:id="328" w:name="Tc_Ehjt6CuoXkmKkuP9eymQKA_29_5"/>
      <w:bookmarkStart w:id="329" w:name="Tc_ZfFiLk-Mx0iZChq3mYtsbA_29_3"/>
      <w:bookmarkStart w:id="330" w:name="Tc_ZmIBFTYHmUOOxYEhNL2NtQ_29_0"/>
      <w:bookmarkStart w:id="331" w:name="Tc_UWBxyN9_oUq16WfLe1Y29A_28_0"/>
      <w:bookmarkStart w:id="332" w:name="Tc_33a99Co7pEaj4lQlADwfUg_27_0"/>
      <w:bookmarkStart w:id="333" w:name="Tc_yMu5GkwleUqwzpApL7QD4w_26_0"/>
      <w:bookmarkStart w:id="334" w:name="Tc_FMuBuwgPeUm2QEhehPmYQg_25_5"/>
      <w:bookmarkStart w:id="335" w:name="Tc_aO84GlBMVUavEG9G1IxB7w_25_0"/>
      <w:bookmarkStart w:id="336" w:name="Tc_PhubW5p7PkSJGOdq9LEcRw_24_0"/>
      <w:bookmarkStart w:id="337" w:name="Tc_MogTG-NHpk-Clk9VwKMTiQ_23_0"/>
      <w:bookmarkStart w:id="338" w:name="Tc_0p6BYo_vE0eTWc88OeF_-A_22_0"/>
      <w:bookmarkStart w:id="339" w:name="Tc_7Cf3dTDGHU-SsZY0eOckew_21_0"/>
      <w:bookmarkStart w:id="340" w:name="Tc_07ZpQR-7N0yqHY3K1kqtuQ_20_0"/>
      <w:bookmarkStart w:id="341" w:name="Tc_WwsoeqgeQUi4Qas2VwRUhQ_19_0"/>
      <w:bookmarkStart w:id="342" w:name="Tc_t6pdbklu-Uiv9klLXutLVw_18_0"/>
      <w:bookmarkStart w:id="343" w:name="Tc_2072Ddxmq02Kav5WS803aw_17_0"/>
      <w:bookmarkStart w:id="344" w:name="Tc_ZqIxHyGdnkeWZCyRYIw6dA_16_0"/>
      <w:bookmarkStart w:id="345" w:name="Tc_4KX96lcZ_0yZcikGPTz6rg_15_0"/>
      <w:bookmarkStart w:id="346" w:name="Tc_LIhJ0jbeDEuVuHn9-8nf9A_14_0"/>
      <w:bookmarkStart w:id="347" w:name="Tc_w2CFkR2vUU-z_TF9C0dNtQ_13_0"/>
      <w:bookmarkStart w:id="348" w:name="Tc_lCTHN7gQpEey1at0UBENLg_12_0"/>
      <w:bookmarkStart w:id="349" w:name="Tc_g0V1xyUYFE-Yel05mHNuNQ_11_0"/>
      <w:bookmarkStart w:id="350" w:name="Tc_GrJInD4ixUmo2yjwZLtVDg_10_0"/>
      <w:bookmarkStart w:id="351" w:name="Tc_ZsY13r55x0ezesx4SkGFjA_9_0"/>
      <w:bookmarkStart w:id="352" w:name="Tc_siiYybXTRUizO4t23ADQ1A_8_0"/>
      <w:bookmarkStart w:id="353" w:name="Tc_Lj3llWOBL0KqNQL4sf4CAg_7_0"/>
      <w:bookmarkStart w:id="354" w:name="Tc_JVD5L58Cs06aNQmBPp2Twg_6_0"/>
      <w:bookmarkStart w:id="355" w:name="Tc_erFDFuraHEa8z-x4z9032Q_5_2"/>
      <w:bookmarkStart w:id="356" w:name="Tc_w3E1DB79bEeJyRKs6Y5O6w_5_0"/>
      <w:bookmarkStart w:id="357" w:name="Tc_YAWow8l0dkatgYFtbgWz0Q_4_0"/>
      <w:bookmarkStart w:id="358" w:name="Tc_UO1EDmHo50-kWaJbpBBfPw_3_5"/>
      <w:bookmarkStart w:id="359" w:name="Tc_4mAWkVKM10KFRw9rjd6h6g_3_2"/>
      <w:bookmarkStart w:id="360" w:name="Tc_0BAsXWhY8UakfNSsNeyBBA_2_2"/>
      <w:bookmarkStart w:id="361" w:name="Tc_XAixD9NgKku9XJ4NNdHetw_1_2"/>
      <w:bookmarkStart w:id="362" w:name="_636bfbf4_d7be_4fab_b6df_91efab06943b"/>
      <w:bookmarkStart w:id="363" w:name="Tc_fTCX5X_yh0O5axztuaZXcg_38_2"/>
      <w:bookmarkStart w:id="364" w:name="Tc_u3Cuv6qqL0iqdXC7xPvrsw_38_0"/>
      <w:bookmarkStart w:id="365" w:name="Tc_aySnLx68PkGGGDIjcRrWHA_37_2"/>
      <w:bookmarkStart w:id="366" w:name="Tc_mIY39yOANEWu7AMn06ZB8g_37_0"/>
      <w:bookmarkStart w:id="367" w:name="Tc_8VNV-oJXgEOtb1h5VkJTcQ_36_0"/>
      <w:bookmarkStart w:id="368" w:name="Tc_FNFutti0p06DP9dwcCJ9vg_34_2"/>
      <w:bookmarkStart w:id="369" w:name="Tc_VSen9yGofUa6x08t2Rd-fw_34_0"/>
      <w:bookmarkStart w:id="370" w:name="Tc_SA1MACm640ugHL8FnUAHjQ_33_0"/>
      <w:bookmarkStart w:id="371" w:name="Tc_fxNdNYN7n0itrnVuGRHVcg_32_0"/>
      <w:bookmarkStart w:id="372" w:name="Tc_5s3h5cUjzUSDONJ362NIlg_31_0"/>
      <w:bookmarkStart w:id="373" w:name="Tc_hiXA4wjlzEqPft5YhXg-mg_30_0"/>
      <w:bookmarkStart w:id="374" w:name="Tc_Ehjt6CuoXkmKkuP9eymQKA_29_5"/>
      <w:bookmarkStart w:id="375" w:name="Tc_ZfFiLk-Mx0iZChq3mYtsbA_29_3"/>
      <w:bookmarkStart w:id="376" w:name="Tc_ZmIBFTYHmUOOxYEhNL2NtQ_29_0"/>
      <w:bookmarkStart w:id="377" w:name="Tc_UWBxyN9_oUq16WfLe1Y29A_28_0"/>
      <w:bookmarkStart w:id="378" w:name="Tc_33a99Co7pEaj4lQlADwfUg_27_0"/>
      <w:bookmarkStart w:id="379" w:name="Tc_yMu5GkwleUqwzpApL7QD4w_26_0"/>
      <w:bookmarkStart w:id="380" w:name="Tc_FMuBuwgPeUm2QEhehPmYQg_25_5"/>
      <w:bookmarkStart w:id="381" w:name="Tc_aO84GlBMVUavEG9G1IxB7w_25_0"/>
      <w:bookmarkStart w:id="382" w:name="Tc_PhubW5p7PkSJGOdq9LEcRw_24_0"/>
      <w:bookmarkStart w:id="383" w:name="Tc_MogTG-NHpk-Clk9VwKMTiQ_23_0"/>
      <w:bookmarkStart w:id="384" w:name="Tc_0p6BYo_vE0eTWc88OeF_-A_22_0"/>
      <w:bookmarkStart w:id="385" w:name="Tc_7Cf3dTDGHU-SsZY0eOckew_21_0"/>
      <w:bookmarkStart w:id="386" w:name="Tc_07ZpQR-7N0yqHY3K1kqtuQ_20_0"/>
      <w:bookmarkStart w:id="387" w:name="Tc_WwsoeqgeQUi4Qas2VwRUhQ_19_0"/>
      <w:bookmarkStart w:id="388" w:name="Tc_t6pdbklu-Uiv9klLXutLVw_18_0"/>
      <w:bookmarkStart w:id="389" w:name="Tc_2072Ddxmq02Kav5WS803aw_17_0"/>
      <w:bookmarkStart w:id="390" w:name="Tc_ZqIxHyGdnkeWZCyRYIw6dA_16_0"/>
      <w:bookmarkStart w:id="391" w:name="Tc_4KX96lcZ_0yZcikGPTz6rg_15_0"/>
      <w:bookmarkStart w:id="392" w:name="Tc_LIhJ0jbeDEuVuHn9-8nf9A_14_0"/>
      <w:bookmarkStart w:id="393" w:name="Tc_w2CFkR2vUU-z_TF9C0dNtQ_13_0"/>
      <w:bookmarkStart w:id="394" w:name="Tc_lCTHN7gQpEey1at0UBENLg_12_0"/>
      <w:bookmarkStart w:id="395" w:name="Tc_g0V1xyUYFE-Yel05mHNuNQ_11_0"/>
      <w:bookmarkStart w:id="396" w:name="Tc_GrJInD4ixUmo2yjwZLtVDg_10_0"/>
      <w:bookmarkStart w:id="397" w:name="Tc_ZsY13r55x0ezesx4SkGFjA_9_0"/>
      <w:bookmarkStart w:id="398" w:name="Tc_siiYybXTRUizO4t23ADQ1A_8_0"/>
      <w:bookmarkStart w:id="399" w:name="Tc_Lj3llWOBL0KqNQL4sf4CAg_7_0"/>
      <w:bookmarkStart w:id="400" w:name="Tc_JVD5L58Cs06aNQmBPp2Twg_6_0"/>
      <w:bookmarkStart w:id="401" w:name="Tc_erFDFuraHEa8z-x4z9032Q_5_2"/>
      <w:bookmarkStart w:id="402" w:name="Tc_w3E1DB79bEeJyRKs6Y5O6w_5_0"/>
      <w:bookmarkStart w:id="403" w:name="Tc_YAWow8l0dkatgYFtbgWz0Q_4_0"/>
      <w:bookmarkStart w:id="404" w:name="Tc_UO1EDmHo50-kWaJbpBBfPw_3_5"/>
      <w:bookmarkStart w:id="405" w:name="Tc_4mAWkVKM10KFRw9rjd6h6g_3_2"/>
      <w:bookmarkStart w:id="406" w:name="Tc_0BAsXWhY8UakfNSsNeyBBA_2_2"/>
      <w:bookmarkStart w:id="407" w:name="Tc_XAixD9NgKku9XJ4NNdHetw_1_2"/>
      <w:bookmarkStart w:id="408" w:name="_636bfbf4_d7be_4fab_b6df_91efab06943b"/>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p>
    <w:tbl>
      <w:tblPr>
        <w:tblW w:w="9561" w:type="dxa"/>
        <w:jc w:val="left"/>
        <w:tblInd w:w="0" w:type="dxa"/>
        <w:tblLayout w:type="fixed"/>
        <w:tblCellMar>
          <w:top w:w="0" w:type="dxa"/>
          <w:left w:w="0" w:type="dxa"/>
          <w:bottom w:w="0" w:type="dxa"/>
          <w:right w:w="0" w:type="dxa"/>
        </w:tblCellMar>
      </w:tblPr>
      <w:tblGrid>
        <w:gridCol w:w="6811"/>
        <w:gridCol w:w="346"/>
        <w:gridCol w:w="211"/>
        <w:gridCol w:w="901"/>
        <w:gridCol w:w="346"/>
        <w:gridCol w:w="946"/>
      </w:tblGrid>
      <w:tr>
        <w:trPr/>
        <w:tc>
          <w:tcPr>
            <w:tcW w:w="6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4324985" cy="175260"/>
                      <wp:effectExtent l="0" t="0" r="0" b="0"/>
                      <wp:wrapNone/>
                      <wp:docPr id="34" name="Frame34"/>
                      <a:graphic xmlns:a="http://schemas.openxmlformats.org/drawingml/2006/main">
                        <a:graphicData uri="http://schemas.microsoft.com/office/word/2010/wordprocessingShape">
                          <wps:wsp>
                            <wps:cNvSpPr txBox="1"/>
                            <wps:spPr>
                              <a:xfrm>
                                <a:off x="0" y="0"/>
                                <a:ext cx="432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3985" cy="175260"/>
                      <wp:effectExtent l="0" t="0" r="0" b="0"/>
                      <wp:wrapNone/>
                      <wp:docPr id="36" name="Frame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72135" cy="175260"/>
                      <wp:effectExtent l="0" t="0" r="0" b="0"/>
                      <wp:wrapNone/>
                      <wp:docPr id="37" name="Frame3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00710" cy="175260"/>
                      <wp:effectExtent l="0" t="0" r="0" b="0"/>
                      <wp:wrapNone/>
                      <wp:docPr id="39" name="Frame39"/>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0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6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0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6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8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  ​</w:t>
            </w:r>
          </w:p>
        </w:tc>
      </w:tr>
      <w:tr>
        <w:trPr/>
        <w:tc>
          <w:tcPr>
            <w:tcW w:w="68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earnings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96,159</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80,571</w:t>
            </w:r>
          </w:p>
        </w:tc>
      </w:tr>
      <w:tr>
        <w:trPr/>
        <w:tc>
          <w:tcPr>
            <w:tcW w:w="68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earnings to 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68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from discontinued operations, net of tax</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(1,177)</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(9,126)</w:t>
            </w:r>
          </w:p>
        </w:tc>
      </w:tr>
      <w:tr>
        <w:trPr/>
        <w:tc>
          <w:tcPr>
            <w:tcW w:w="68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80,073</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48,401</w:t>
            </w:r>
          </w:p>
        </w:tc>
      </w:tr>
      <w:tr>
        <w:trPr/>
        <w:tc>
          <w:tcPr>
            <w:tcW w:w="68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compensation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10,182</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7,934</w:t>
            </w:r>
          </w:p>
        </w:tc>
      </w:tr>
      <w:tr>
        <w:trPr/>
        <w:tc>
          <w:tcPr>
            <w:tcW w:w="68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2,983</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(33,473)</w:t>
            </w:r>
          </w:p>
        </w:tc>
      </w:tr>
      <w:tr>
        <w:trPr/>
        <w:tc>
          <w:tcPr>
            <w:tcW w:w="68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Effect of deferred taxes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5,157</w:t>
            </w:r>
          </w:p>
        </w:tc>
        <w:tc>
          <w:tcPr>
            <w:tcW w:w="346" w:type="dxa"/>
            <w:tcBorders/>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(6,008)</w:t>
            </w:r>
          </w:p>
        </w:tc>
      </w:tr>
      <w:tr>
        <w:trPr/>
        <w:tc>
          <w:tcPr>
            <w:tcW w:w="68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 – continuing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193,377</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88,299</w:t>
            </w:r>
          </w:p>
        </w:tc>
      </w:tr>
      <w:tr>
        <w:trPr/>
        <w:tc>
          <w:tcPr>
            <w:tcW w:w="68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provided by operating activities – discontinued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(59,340)</w:t>
            </w:r>
          </w:p>
        </w:tc>
        <w:tc>
          <w:tcPr>
            <w:tcW w:w="346" w:type="dxa"/>
            <w:tcBorders/>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43,703</w:t>
            </w:r>
          </w:p>
        </w:tc>
      </w:tr>
      <w:tr>
        <w:trPr/>
        <w:tc>
          <w:tcPr>
            <w:tcW w:w="68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134,037</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132,002</w:t>
            </w:r>
          </w:p>
        </w:tc>
      </w:tr>
      <w:tr>
        <w:trPr/>
        <w:tc>
          <w:tcPr>
            <w:tcW w:w="68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r>
      <w:tr>
        <w:trPr/>
        <w:tc>
          <w:tcPr>
            <w:tcW w:w="68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 of business, net of cash acquired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(10,232)</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(472,006)</w:t>
            </w:r>
          </w:p>
        </w:tc>
      </w:tr>
      <w:tr>
        <w:trPr/>
        <w:tc>
          <w:tcPr>
            <w:tcW w:w="68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(24,560)</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(24,210)</w:t>
            </w:r>
          </w:p>
        </w:tc>
      </w:tr>
      <w:tr>
        <w:trPr/>
        <w:tc>
          <w:tcPr>
            <w:tcW w:w="68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to capitalized software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(7,874)</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(13,018)</w:t>
            </w:r>
          </w:p>
        </w:tc>
      </w:tr>
      <w:tr>
        <w:trPr/>
        <w:tc>
          <w:tcPr>
            <w:tcW w:w="68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by investing activities – continuing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(42,666)</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(509,234)</w:t>
            </w:r>
          </w:p>
        </w:tc>
      </w:tr>
      <w:tr>
        <w:trPr/>
        <w:tc>
          <w:tcPr>
            <w:tcW w:w="68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(used) by investing activities – discontinued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1,540</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w:t>
            </w:r>
          </w:p>
        </w:tc>
      </w:tr>
      <w:tr>
        <w:trPr/>
        <w:tc>
          <w:tcPr>
            <w:tcW w:w="68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by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(41,126)</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(510,200)</w:t>
            </w:r>
          </w:p>
        </w:tc>
      </w:tr>
      <w:tr>
        <w:trPr/>
        <w:tc>
          <w:tcPr>
            <w:tcW w:w="68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68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Proceeds from long-term debt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130,000</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645,000</w:t>
            </w:r>
          </w:p>
        </w:tc>
      </w:tr>
      <w:tr>
        <w:trPr/>
        <w:tc>
          <w:tcPr>
            <w:tcW w:w="68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payments on long-term debt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(231,000)</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(242,000)</w:t>
            </w:r>
          </w:p>
        </w:tc>
      </w:tr>
      <w:tr>
        <w:trPr/>
        <w:tc>
          <w:tcPr>
            <w:tcW w:w="68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issuance costs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r>
      <w:tr>
        <w:trPr/>
        <w:tc>
          <w:tcPr>
            <w:tcW w:w="68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paid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(6,216)</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(6,196)</w:t>
            </w:r>
          </w:p>
        </w:tc>
      </w:tr>
      <w:tr>
        <w:trPr/>
        <w:tc>
          <w:tcPr>
            <w:tcW w:w="68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(10,646)</w:t>
            </w:r>
          </w:p>
        </w:tc>
        <w:tc>
          <w:tcPr>
            <w:tcW w:w="346" w:type="dxa"/>
            <w:tcBorders/>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(6,205)</w:t>
            </w:r>
          </w:p>
        </w:tc>
      </w:tr>
      <w:tr>
        <w:trPr/>
        <w:tc>
          <w:tcPr>
            <w:tcW w:w="68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by financing activities – continuing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(119,155)</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390,599</w:t>
            </w:r>
          </w:p>
        </w:tc>
      </w:tr>
      <w:tr>
        <w:trPr/>
        <w:tc>
          <w:tcPr>
            <w:tcW w:w="68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by financing activities – discontinued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8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by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(119,155)</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390,599</w:t>
            </w:r>
          </w:p>
        </w:tc>
      </w:tr>
      <w:tr>
        <w:trPr/>
        <w:tc>
          <w:tcPr>
            <w:tcW w:w="68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changes on cash and cash equivalents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(1,870)</w:t>
            </w:r>
          </w:p>
        </w:tc>
        <w:tc>
          <w:tcPr>
            <w:tcW w:w="346" w:type="dxa"/>
            <w:tcBorders/>
            <w:vAlign w:val="center"/>
          </w:tcPr>
          <w:p>
            <w:pPr>
              <w:pStyle w:val="TableContents"/>
              <w:bidi w:val="0"/>
              <w:spacing w:before="0" w:after="0"/>
              <w:ind w:left="0" w:right="0" w:hanging="0"/>
              <w:jc w:val="righ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w:t>
            </w:r>
          </w:p>
        </w:tc>
      </w:tr>
      <w:tr>
        <w:trPr/>
        <w:tc>
          <w:tcPr>
            <w:tcW w:w="68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increase in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(28,114)</w:t>
            </w:r>
          </w:p>
        </w:tc>
        <w:tc>
          <w:tcPr>
            <w:tcW w:w="346" w:type="dxa"/>
            <w:tcBorders/>
            <w:shd w:fill="CCEEFF" w:val="clear"/>
            <w:vAlign w:val="center"/>
          </w:tcPr>
          <w:p>
            <w:pPr>
              <w:pStyle w:val="TableContents"/>
              <w:bidi w:val="0"/>
              <w:spacing w:before="0" w:after="0"/>
              <w:ind w:left="0" w:right="0" w:hanging="0"/>
              <w:jc w:val="righ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12,853</w:t>
            </w:r>
          </w:p>
        </w:tc>
      </w:tr>
      <w:tr>
        <w:trPr/>
        <w:tc>
          <w:tcPr>
            <w:tcW w:w="68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beginning of period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101,350</w:t>
            </w:r>
          </w:p>
        </w:tc>
        <w:tc>
          <w:tcPr>
            <w:tcW w:w="346" w:type="dxa"/>
            <w:tcBorders/>
            <w:vAlign w:val="center"/>
          </w:tcPr>
          <w:p>
            <w:pPr>
              <w:pStyle w:val="TableContents"/>
              <w:bidi w:val="0"/>
              <w:spacing w:before="0" w:after="0"/>
              <w:ind w:left="0" w:right="0" w:hanging="0"/>
              <w:jc w:val="righ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65,963</w:t>
            </w:r>
          </w:p>
        </w:tc>
      </w:tr>
      <w:tr>
        <w:trPr/>
        <w:tc>
          <w:tcPr>
            <w:tcW w:w="68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73,236</w:t>
            </w:r>
          </w:p>
        </w:tc>
        <w:tc>
          <w:tcPr>
            <w:tcW w:w="346" w:type="dxa"/>
            <w:tcBorders/>
            <w:shd w:fill="CCEEFF" w:val="clear"/>
            <w:vAlign w:val="center"/>
          </w:tcPr>
          <w:p>
            <w:pPr>
              <w:pStyle w:val="TableContents"/>
              <w:bidi w:val="0"/>
              <w:spacing w:before="0" w:after="0"/>
              <w:ind w:left="0" w:right="0" w:hanging="0"/>
              <w:jc w:val="righ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78,816</w:t>
            </w:r>
          </w:p>
        </w:tc>
      </w:tr>
      <w:tr>
        <w:trPr/>
        <w:tc>
          <w:tcPr>
            <w:tcW w:w="68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r>
      <w:tr>
        <w:trPr/>
        <w:tc>
          <w:tcPr>
            <w:tcW w:w="68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Supplemental cash flow information: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r>
      <w:tr>
        <w:trPr/>
        <w:tc>
          <w:tcPr>
            <w:tcW w:w="681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paid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13,587</w:t>
            </w:r>
          </w:p>
        </w:tc>
        <w:tc>
          <w:tcPr>
            <w:tcW w:w="34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16,038</w:t>
            </w:r>
          </w:p>
        </w:tc>
      </w:tr>
      <w:tr>
        <w:trPr/>
        <w:tc>
          <w:tcPr>
            <w:tcW w:w="681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paid (including state and foreign)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71,905</w:t>
            </w:r>
          </w:p>
        </w:tc>
        <w:tc>
          <w:tcPr>
            <w:tcW w:w="346" w:type="dxa"/>
            <w:tcBorders/>
            <w:shd w:fill="CCEEFF" w:val="clear"/>
            <w:vAlign w:val="center"/>
          </w:tcPr>
          <w:p>
            <w:pPr>
              <w:pStyle w:val="TableContents"/>
              <w:bidi w:val="0"/>
              <w:spacing w:before="0" w:after="0"/>
              <w:ind w:left="0" w:right="0" w:hanging="0"/>
              <w:jc w:val="lef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29,059</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0"/>
        <w:ind w:left="0" w:right="0" w:hanging="0"/>
        <w:jc w:val="center"/>
        <w:rPr>
          <w:rFonts w:ascii="Times New Roman;Times;serif" w:hAnsi="Times New Roman;Times;serif"/>
          <w:sz w:val="20"/>
        </w:rPr>
      </w:pPr>
      <w:bookmarkStart w:id="409" w:name="_32f836c6_fbf7_4a91_865f_6d49f16407dd"/>
      <w:bookmarkEnd w:id="409"/>
      <w:r>
        <w:rPr>
          <w:rFonts w:ascii="Times New Roman;Times;serif" w:hAnsi="Times New Roman;Times;serif"/>
          <w:sz w:val="20"/>
        </w:rPr>
        <w:t>ESCO TECHNOLOGIES INC. AND SUBSIDIARIES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NOTES TO CONDENSED CONSOLIDATED FINANCIAL STATEMENTS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1.    BASIS OF PRESENTATION</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The accompanying condensed consolidated financial statements, in the opinion of management, include all adjustments, consisting of normal recurring accruals, necessary for a fair presentation of the results for the interim periods presented. The condensed consolidated financial statements are presented in accordance with the requirements of Form 10-Q and consequently do not include all the disclosures required for annual financial statements by accounting principles generally accepted in the United States of America (GAAP). For further information refer to the consolidated financial statements and related notes included in the Company’s Annual Report on Form 10-K for the fiscal year ended September 30, 2025.</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The Company’s results for the three and nine-month periods ended June 30, 2026 are not necessarily indicative of the results for the entire 2026 fiscal year. References to the third quarters of 2026 and 2025 represent the fiscal quarters ended June 30, 2026 and 2025, respectively. The preparation of financial statements in conformity with GAAP requires management to make estimates and assumptions that affect the reported amounts of assets and liabilities. Actual results could differ from those estimates.</w:t>
      </w:r>
    </w:p>
    <w:p>
      <w:pPr>
        <w:pStyle w:val="TextBody"/>
        <w:bidi w:val="0"/>
        <w:spacing w:before="0" w:after="240"/>
        <w:ind w:left="0" w:right="0" w:hanging="0"/>
        <w:jc w:val="left"/>
        <w:rPr/>
      </w:pPr>
      <w:r>
        <w:rPr/>
        <w:t>​</w:t>
      </w:r>
    </w:p>
    <w:p>
      <w:pPr>
        <w:pStyle w:val="TextBody"/>
        <w:pBdr/>
        <w:bidi w:val="0"/>
        <w:spacing w:before="0" w:after="240"/>
        <w:ind w:left="0" w:right="0" w:hanging="360"/>
        <w:jc w:val="left"/>
        <w:rPr>
          <w:rFonts w:ascii="Times New Roman;Times;serif" w:hAnsi="Times New Roman;Times;serif"/>
          <w:sz w:val="20"/>
        </w:rPr>
      </w:pPr>
      <w:bookmarkStart w:id="410" w:name="Tc_VFltE5QDlUKRmgzZhqqw8A_6_0"/>
      <w:bookmarkStart w:id="411" w:name="Tc_k_3pLDYzkUG9FYAjtzdDEA_5_0"/>
      <w:bookmarkStart w:id="412" w:name="Tc_KVM-BmPSS0aBxc-QlIQLwg_4_0"/>
      <w:bookmarkStart w:id="413" w:name="Tc_EbMkgtBoNU639eUNVeKq3Q_3_8"/>
      <w:bookmarkStart w:id="414" w:name="Tc_k0CGXJc4FUeW0WOUrwqYKQ_3_6"/>
      <w:bookmarkStart w:id="415" w:name="Tc_4hPxgbVn4UKJA4gMLQ5r6Q_3_4"/>
      <w:bookmarkStart w:id="416" w:name="Tc_DJRVxR-2IEq-NLtvxMKnFg_3_2"/>
      <w:bookmarkStart w:id="417" w:name="Tc_yLKI-SLqf06xDjmn9EsHkg_2_6"/>
      <w:bookmarkStart w:id="418" w:name="Tc_1Ss36LSH2kCqPLBvWUN7Lg_2_2"/>
      <w:bookmarkStart w:id="419" w:name="Tc_TG-64OIy-EyEZe1HQMe0FQ_1_6"/>
      <w:bookmarkStart w:id="420" w:name="Tc_w8pHwrHggEih_t35IUgoXg_1_2"/>
      <w:bookmarkEnd w:id="410"/>
      <w:bookmarkEnd w:id="411"/>
      <w:bookmarkEnd w:id="412"/>
      <w:bookmarkEnd w:id="413"/>
      <w:bookmarkEnd w:id="414"/>
      <w:bookmarkEnd w:id="415"/>
      <w:bookmarkEnd w:id="416"/>
      <w:bookmarkEnd w:id="417"/>
      <w:bookmarkEnd w:id="418"/>
      <w:bookmarkEnd w:id="419"/>
      <w:bookmarkEnd w:id="420"/>
      <w:r>
        <w:rPr>
          <w:rFonts w:ascii="Times New Roman;Times;serif" w:hAnsi="Times New Roman;Times;serif"/>
          <w:sz w:val="20"/>
        </w:rPr>
        <w:t>2.    EARNINGS PER SHARE (EPS)</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Basic EPS is calculated using the weighted average number of common shares outstanding during the period. Diluted EPS is calculated using the weighted average number of common shares outstanding during the period plus shares issuable upon the assumed exercise of unvested performance-based share awards and time-vested restricted shares by using the treasury stock method. The number of shares used in the calculation of earnings per share for each period presented is as follows (in thousands):</w:t>
      </w:r>
    </w:p>
    <w:p>
      <w:pPr>
        <w:pStyle w:val="TextBody"/>
        <w:bidi w:val="0"/>
        <w:spacing w:before="0" w:after="240"/>
        <w:ind w:left="360" w:right="0" w:hanging="0"/>
        <w:jc w:val="left"/>
        <w:rPr/>
      </w:pPr>
      <w:r>
        <w:rPr/>
        <w:t>​</w:t>
      </w:r>
    </w:p>
    <w:tbl>
      <w:tblPr>
        <w:tblW w:w="8196" w:type="dxa"/>
        <w:jc w:val="left"/>
        <w:tblInd w:w="0" w:type="dxa"/>
        <w:tblLayout w:type="fixed"/>
        <w:tblCellMar>
          <w:top w:w="0" w:type="dxa"/>
          <w:left w:w="0" w:type="dxa"/>
          <w:bottom w:w="0" w:type="dxa"/>
          <w:right w:w="0" w:type="dxa"/>
        </w:tblCellMar>
      </w:tblPr>
      <w:tblGrid>
        <w:gridCol w:w="3991"/>
        <w:gridCol w:w="346"/>
        <w:gridCol w:w="676"/>
        <w:gridCol w:w="346"/>
        <w:gridCol w:w="676"/>
        <w:gridCol w:w="346"/>
        <w:gridCol w:w="676"/>
        <w:gridCol w:w="346"/>
        <w:gridCol w:w="793"/>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534285" cy="175260"/>
                      <wp:effectExtent l="0" t="0" r="0" b="0"/>
                      <wp:wrapNone/>
                      <wp:docPr id="40" name="Frame40"/>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429260" cy="175260"/>
                      <wp:effectExtent l="0" t="0" r="0" b="0"/>
                      <wp:wrapNone/>
                      <wp:docPr id="42" name="Frame4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43"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29260" cy="175260"/>
                      <wp:effectExtent l="0" t="0" r="0" b="0"/>
                      <wp:wrapNone/>
                      <wp:docPr id="44" name="Frame4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5"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29260" cy="175260"/>
                      <wp:effectExtent l="0" t="0" r="0" b="0"/>
                      <wp:wrapNone/>
                      <wp:docPr id="46" name="Frame4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03555" cy="175260"/>
                      <wp:effectExtent l="0" t="0" r="0" b="0"/>
                      <wp:wrapNone/>
                      <wp:docPr id="48" name="Frame48"/>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698"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w:t>
            </w:r>
          </w:p>
        </w:tc>
        <w:tc>
          <w:tcPr>
            <w:tcW w:w="346" w:type="dxa"/>
            <w:tcBorders/>
            <w:vAlign w:val="center"/>
          </w:tcPr>
          <w:p>
            <w:pPr>
              <w:pStyle w:val="TableContents"/>
              <w:bidi w:val="0"/>
              <w:spacing w:before="0" w:after="1"/>
              <w:ind w:left="0" w:right="0" w:hanging="0"/>
              <w:jc w:val="center"/>
              <w:rPr/>
            </w:pPr>
            <w:r>
              <w:rPr/>
              <w:t>​</w:t>
            </w:r>
          </w:p>
        </w:tc>
        <w:tc>
          <w:tcPr>
            <w:tcW w:w="1815"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w:t>
            </w:r>
          </w:p>
        </w:tc>
      </w:tr>
      <w:tr>
        <w:trPr/>
        <w:tc>
          <w:tcPr>
            <w:tcW w:w="3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9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Ended June 30, </w:t>
            </w:r>
          </w:p>
        </w:tc>
        <w:tc>
          <w:tcPr>
            <w:tcW w:w="346" w:type="dxa"/>
            <w:tcBorders/>
            <w:vAlign w:val="center"/>
          </w:tcPr>
          <w:p>
            <w:pPr>
              <w:pStyle w:val="TableContents"/>
              <w:bidi w:val="0"/>
              <w:spacing w:before="0" w:after="1"/>
              <w:ind w:left="0" w:right="0" w:hanging="0"/>
              <w:jc w:val="center"/>
              <w:rPr/>
            </w:pPr>
            <w:r>
              <w:rPr/>
              <w:t>​</w:t>
            </w:r>
          </w:p>
        </w:tc>
        <w:tc>
          <w:tcPr>
            <w:tcW w:w="1815"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Ended June 30, </w:t>
            </w:r>
          </w:p>
        </w:tc>
      </w:tr>
      <w:tr>
        <w:trPr/>
        <w:tc>
          <w:tcPr>
            <w:tcW w:w="39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Shares Outstanding — Basic</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25,907</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25,825</w:t>
            </w:r>
          </w:p>
        </w:tc>
        <w:tc>
          <w:tcPr>
            <w:tcW w:w="346" w:type="dxa"/>
            <w:tcBorders/>
            <w:shd w:fill="CCEEFF" w:val="clear"/>
            <w:vAlign w:val="center"/>
          </w:tcPr>
          <w:p>
            <w:pPr>
              <w:pStyle w:val="TableContents"/>
              <w:bidi w:val="0"/>
              <w:spacing w:before="0" w:after="1"/>
              <w:ind w:left="0" w:right="0" w:hanging="0"/>
              <w:jc w:val="righ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25,887</w:t>
            </w:r>
          </w:p>
        </w:tc>
        <w:tc>
          <w:tcPr>
            <w:tcW w:w="346"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25,806</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Dilutive Shares</w:t>
            </w:r>
          </w:p>
        </w:tc>
        <w:tc>
          <w:tcPr>
            <w:tcW w:w="346"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c>
          <w:tcPr>
            <w:tcW w:w="346"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346" w:type="dxa"/>
            <w:tcBorders/>
            <w:vAlign w:val="center"/>
          </w:tcPr>
          <w:p>
            <w:pPr>
              <w:pStyle w:val="TableContents"/>
              <w:bidi w:val="0"/>
              <w:spacing w:before="0" w:after="1"/>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46" w:type="dxa"/>
            <w:tcBorders/>
            <w:vAlign w:val="center"/>
          </w:tcPr>
          <w:p>
            <w:pPr>
              <w:pStyle w:val="TableContents"/>
              <w:bidi w:val="0"/>
              <w:spacing w:before="0" w:after="1"/>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Adjusted Shares — Diluted</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25,980</w:t>
            </w:r>
          </w:p>
        </w:tc>
        <w:tc>
          <w:tcPr>
            <w:tcW w:w="346" w:type="dxa"/>
            <w:tcBorders/>
            <w:shd w:fill="CCEEFF" w:val="clear"/>
            <w:vAlign w:val="center"/>
          </w:tcPr>
          <w:p>
            <w:pPr>
              <w:pStyle w:val="TableContents"/>
              <w:bidi w:val="0"/>
              <w:spacing w:before="0" w:after="1"/>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25,918</w:t>
            </w:r>
          </w:p>
        </w:tc>
        <w:tc>
          <w:tcPr>
            <w:tcW w:w="346" w:type="dxa"/>
            <w:tcBorders/>
            <w:shd w:fill="CCEEFF" w:val="clear"/>
            <w:vAlign w:val="center"/>
          </w:tcPr>
          <w:p>
            <w:pPr>
              <w:pStyle w:val="TableContents"/>
              <w:bidi w:val="0"/>
              <w:spacing w:before="0" w:after="1"/>
              <w:ind w:left="0" w:right="0" w:hanging="0"/>
              <w:jc w:val="righ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25,932</w:t>
            </w:r>
          </w:p>
        </w:tc>
        <w:tc>
          <w:tcPr>
            <w:tcW w:w="346" w:type="dxa"/>
            <w:tcBorders/>
            <w:shd w:fill="CCEEFF" w:val="clear"/>
            <w:vAlign w:val="center"/>
          </w:tcPr>
          <w:p>
            <w:pPr>
              <w:pStyle w:val="TableContents"/>
              <w:bidi w:val="0"/>
              <w:spacing w:before="0" w:after="1"/>
              <w:ind w:left="0" w:right="0" w:hanging="0"/>
              <w:jc w:val="left"/>
              <w:rPr/>
            </w:pPr>
            <w:r>
              <w:rPr/>
              <w:t>​</w:t>
            </w:r>
          </w:p>
        </w:tc>
        <w:tc>
          <w:tcPr>
            <w:tcW w:w="793" w:type="dxa"/>
            <w:tcBorders>
              <w:bottom w:val="double" w:sz="6" w:space="0" w:color="000000"/>
            </w:tcBorders>
            <w:shd w:fill="CCEEFF" w:val="clear"/>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25,876</w:t>
            </w:r>
          </w:p>
        </w:tc>
      </w:tr>
    </w:tbl>
    <w:p>
      <w:pPr>
        <w:pStyle w:val="TextBody"/>
        <w:bidi w:val="0"/>
        <w:spacing w:before="0" w:after="240"/>
        <w:ind w:left="360" w:right="0" w:hanging="0"/>
        <w:jc w:val="left"/>
        <w:rPr/>
      </w:pPr>
      <w:r>
        <w:rPr/>
        <w:t>​</w:t>
      </w:r>
    </w:p>
    <w:p>
      <w:pPr>
        <w:pStyle w:val="TextBody"/>
        <w:bidi w:val="0"/>
        <w:spacing w:before="0" w:after="240"/>
        <w:ind w:left="0" w:right="0" w:hanging="0"/>
        <w:jc w:val="left"/>
        <w:rPr/>
      </w:pPr>
      <w:r>
        <w:rPr/>
        <w:t>​</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3.    SHARE-BASED COMPENSATION</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The Company provides compensation benefits to certain key employees under several share-based plans providing for a combination of performance-based share unit (PSU) awards and time-vested restricted share unit (RSU) awards and to non-employee directors under a separate compensation plan.</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Performance Share Unit (PSU) Awards and Time-Vested Restricted Stock Unit (RSU) Awards</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Compensation expense related to these awards was $3.3 million and $9.2 million for the three and nine-month periods ended June 30, 2026, respectively, and $2.3 million and $6.9 million for the corresponding periods in 2025. As of June 30, 2026, there were 167,759 unvested stock units outstanding.</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Non-Employee Directors Plan</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Compensation expense related to the non-employee director grants was $0.3 million and $1.0 million for the three and nine-month periods ended June 30, 2026, respectively, and $0.4 million and $1.0 million for the corresponding periods in 2025.</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The total share-based compensation cost that has been recognized in the results of operations and included within selling, general and administrative expenses (SG&amp;A) was $3.6 million and $10.2 million for the three and nine-month periods ended June 30, 2026, respectively, and $2.6 million and $7.9 million for the corresponding periods in 2025. The total income tax benefit recognized in results of operations for share-based compensation arrangements was $0.7 million and $2.0 million for the three- and nine-month periods ended June 30, 2026, respectively, and $0.5 million and $1.6 million for the corresponding periods in 2025. As of June 30, 2026, there was $15.6 million of total unrecognized compensation cost related to share-based compensation arrangements. That cost is expected to be recognized over a remaining weighted-average period of 1.8 years.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pBdr/>
        <w:bidi w:val="0"/>
        <w:spacing w:before="0" w:after="240"/>
        <w:ind w:left="0" w:right="0" w:hanging="360"/>
        <w:jc w:val="left"/>
        <w:rPr>
          <w:rFonts w:ascii="Times New Roman;Times;serif" w:hAnsi="Times New Roman;Times;serif"/>
          <w:sz w:val="20"/>
        </w:rPr>
      </w:pPr>
      <w:bookmarkStart w:id="421" w:name="Tc_tDGqjqhiM0mAHIHy9yAbkg_6_2"/>
      <w:bookmarkStart w:id="422" w:name="Tc_QJaTB8Q_Vkye2_HXKsqaBQ_6_0"/>
      <w:bookmarkStart w:id="423" w:name="Tc_j-47wjJyDECuBF-NV_m9zw_5_0"/>
      <w:bookmarkStart w:id="424" w:name="Tc_b9kFIxQILkiWWiMdfvxPlg_4_0"/>
      <w:bookmarkStart w:id="425" w:name="Tc_E_Qzfv41mk6RsNHLXcgj5Q_3_2"/>
      <w:bookmarkStart w:id="426" w:name="Tc_8Y4bYiqd30Ss8ReOVrx-oA_3_0"/>
      <w:bookmarkStart w:id="427" w:name="Tc_X3GAJWvO00-vBv1iLaOVeQ_2_5"/>
      <w:bookmarkStart w:id="428" w:name="Tc_aObAVUzfW0y4d-PDQY8DNg_2_2"/>
      <w:bookmarkStart w:id="429" w:name="Tc_NPLwAFWn8kyGaAYkReC4Ug_2_0"/>
      <w:bookmarkStart w:id="430" w:name="Tc__9vKs1tCakeMvM1wNlC8ng_1_5"/>
      <w:bookmarkStart w:id="431" w:name="Tc_iw9g3vtT6E25DPW_jQo-Ow_1_2"/>
      <w:bookmarkEnd w:id="421"/>
      <w:bookmarkEnd w:id="422"/>
      <w:bookmarkEnd w:id="423"/>
      <w:bookmarkEnd w:id="424"/>
      <w:bookmarkEnd w:id="425"/>
      <w:bookmarkEnd w:id="426"/>
      <w:bookmarkEnd w:id="427"/>
      <w:bookmarkEnd w:id="428"/>
      <w:bookmarkEnd w:id="429"/>
      <w:bookmarkEnd w:id="430"/>
      <w:bookmarkEnd w:id="431"/>
      <w:r>
        <w:rPr>
          <w:rFonts w:ascii="Times New Roman;Times;serif" w:hAnsi="Times New Roman;Times;serif"/>
          <w:sz w:val="20"/>
        </w:rPr>
        <w:t>4.    INVENTORIES</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Inventories from continuing operations consist of the following:</w:t>
      </w:r>
    </w:p>
    <w:p>
      <w:pPr>
        <w:pStyle w:val="TextBody"/>
        <w:bidi w:val="0"/>
        <w:spacing w:before="0" w:after="0"/>
        <w:ind w:left="0" w:right="0" w:hanging="0"/>
        <w:jc w:val="left"/>
        <w:rPr/>
      </w:pPr>
      <w:r>
        <w:rPr/>
        <w:t>​</w:t>
      </w:r>
    </w:p>
    <w:tbl>
      <w:tblPr>
        <w:tblW w:w="4431" w:type="dxa"/>
        <w:jc w:val="left"/>
        <w:tblInd w:w="0" w:type="dxa"/>
        <w:tblLayout w:type="fixed"/>
        <w:tblCellMar>
          <w:top w:w="0" w:type="dxa"/>
          <w:left w:w="0" w:type="dxa"/>
          <w:bottom w:w="0" w:type="dxa"/>
          <w:right w:w="0" w:type="dxa"/>
        </w:tblCellMar>
      </w:tblPr>
      <w:tblGrid>
        <w:gridCol w:w="1516"/>
        <w:gridCol w:w="346"/>
        <w:gridCol w:w="211"/>
        <w:gridCol w:w="781"/>
        <w:gridCol w:w="346"/>
        <w:gridCol w:w="1231"/>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962660" cy="175260"/>
                      <wp:effectExtent l="0" t="0" r="0" b="0"/>
                      <wp:wrapNone/>
                      <wp:docPr id="49" name="Frame49"/>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33985" cy="175260"/>
                      <wp:effectExtent l="0" t="0" r="0" b="0"/>
                      <wp:wrapNone/>
                      <wp:docPr id="51" name="Frame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95935" cy="175260"/>
                      <wp:effectExtent l="0" t="0" r="0" b="0"/>
                      <wp:wrapNone/>
                      <wp:docPr id="52" name="Frame5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781685" cy="175260"/>
                      <wp:effectExtent l="0" t="0" r="0" b="0"/>
                      <wp:wrapNone/>
                      <wp:docPr id="54" name="Frame54"/>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1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15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2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55,739</w:t>
            </w:r>
          </w:p>
        </w:tc>
        <w:tc>
          <w:tcPr>
            <w:tcW w:w="346" w:type="dxa"/>
            <w:tcBorders/>
            <w:shd w:fill="CCEEFF" w:val="clear"/>
            <w:vAlign w:val="center"/>
          </w:tcPr>
          <w:p>
            <w:pPr>
              <w:pStyle w:val="TableContents"/>
              <w:bidi w:val="0"/>
              <w:spacing w:before="0" w:after="1"/>
              <w:ind w:left="0" w:right="0" w:hanging="0"/>
              <w:jc w:val="left"/>
              <w:rPr/>
            </w:pPr>
            <w:r>
              <w:rPr/>
              <w:t>​</w:t>
            </w:r>
          </w:p>
        </w:tc>
        <w:tc>
          <w:tcPr>
            <w:tcW w:w="12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52,644</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59,650</w:t>
            </w:r>
          </w:p>
        </w:tc>
        <w:tc>
          <w:tcPr>
            <w:tcW w:w="346" w:type="dxa"/>
            <w:tcBorders/>
            <w:vAlign w:val="center"/>
          </w:tcPr>
          <w:p>
            <w:pPr>
              <w:pStyle w:val="TableContents"/>
              <w:bidi w:val="0"/>
              <w:spacing w:before="0" w:after="1"/>
              <w:ind w:left="0" w:right="0" w:hanging="0"/>
              <w:jc w:val="left"/>
              <w:rPr/>
            </w:pPr>
            <w:r>
              <w:rPr/>
              <w:t>​</w:t>
            </w:r>
          </w:p>
        </w:tc>
        <w:tc>
          <w:tcPr>
            <w:tcW w:w="12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46,825</w:t>
            </w:r>
          </w:p>
        </w:tc>
      </w:tr>
      <w:tr>
        <w:trPr/>
        <w:tc>
          <w:tcPr>
            <w:tcW w:w="15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125,153</w:t>
            </w:r>
          </w:p>
        </w:tc>
        <w:tc>
          <w:tcPr>
            <w:tcW w:w="346" w:type="dxa"/>
            <w:tcBorders/>
            <w:shd w:fill="CCEEFF" w:val="clear"/>
            <w:vAlign w:val="center"/>
          </w:tcPr>
          <w:p>
            <w:pPr>
              <w:pStyle w:val="TableContents"/>
              <w:bidi w:val="0"/>
              <w:spacing w:before="0" w:after="1"/>
              <w:ind w:left="0" w:right="0" w:hanging="0"/>
              <w:jc w:val="left"/>
              <w:rPr/>
            </w:pPr>
            <w:r>
              <w:rPr/>
              <w:t>​</w:t>
            </w:r>
          </w:p>
        </w:tc>
        <w:tc>
          <w:tcPr>
            <w:tcW w:w="12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118,338</w:t>
            </w:r>
          </w:p>
        </w:tc>
      </w:tr>
      <w:tr>
        <w:trPr/>
        <w:tc>
          <w:tcPr>
            <w:tcW w:w="15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inventories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240,542</w:t>
            </w:r>
          </w:p>
        </w:tc>
        <w:tc>
          <w:tcPr>
            <w:tcW w:w="346" w:type="dxa"/>
            <w:tcBorders/>
            <w:vAlign w:val="center"/>
          </w:tcPr>
          <w:p>
            <w:pPr>
              <w:pStyle w:val="TableContents"/>
              <w:bidi w:val="0"/>
              <w:spacing w:before="0" w:after="1"/>
              <w:ind w:left="0" w:right="0" w:hanging="0"/>
              <w:jc w:val="left"/>
              <w:rPr/>
            </w:pPr>
            <w:r>
              <w:rPr/>
              <w:t>​</w:t>
            </w:r>
          </w:p>
        </w:tc>
        <w:tc>
          <w:tcPr>
            <w:tcW w:w="1231"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217,807</w:t>
            </w:r>
          </w:p>
        </w:tc>
      </w:tr>
    </w:tbl>
    <w:p>
      <w:pPr>
        <w:pStyle w:val="TextBody"/>
        <w:bidi w:val="0"/>
        <w:spacing w:before="0" w:after="240"/>
        <w:ind w:left="360" w:right="0" w:hanging="0"/>
        <w:jc w:val="left"/>
        <w:rPr/>
      </w:pPr>
      <w:r>
        <w:rPr/>
        <w: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432" w:name="Tc_jLhEh8igpkW8uF9NOQwzng_5_2"/>
      <w:bookmarkStart w:id="433" w:name="Tc_qPjdnhCB20CYFdM9cg6Lmg_5_0"/>
      <w:bookmarkStart w:id="434" w:name="Tc_GJPSbDFA2UGKcEenxWJzCw_4_0"/>
      <w:bookmarkStart w:id="435" w:name="Tc_MS1IEmXRd0GIbjHwIgGIKA_3_7"/>
      <w:bookmarkStart w:id="436" w:name="Tc_2ax4-d_Os0CQ7CH1-1DnrQ_3_5"/>
      <w:bookmarkStart w:id="437" w:name="Tc_42Gekus9y0-YUKroVk_Kmg_3_0"/>
      <w:bookmarkStart w:id="438" w:name="Tc_rwjA4aB3-kaaPNEUNjQ7cw_2_2"/>
      <w:bookmarkStart w:id="439" w:name="Tc_urSRIZdhnEqhsXY6qaSUag_2_0"/>
      <w:bookmarkStart w:id="440" w:name="Tc_BRMWwc88dUGomw0g5JpsXA_1_9"/>
      <w:bookmarkStart w:id="441" w:name="Tc_xrZQfMxSKkaG6ws1HIKQrQ_1_7"/>
      <w:bookmarkStart w:id="442" w:name="Tc_Q9WmUG8U7Ei2cnPzrtpAVw_1_5"/>
      <w:bookmarkStart w:id="443" w:name="Tc_uDJWMe6_VkO0y_Ws3oUvYg_1_2"/>
      <w:bookmarkStart w:id="444" w:name="Tc_fM2xebNgskmc4R68tJa_Iw_1_0"/>
      <w:bookmarkStart w:id="445" w:name="Tc_mRxJZs2mZ0ij11bD55fLew_26_2"/>
      <w:bookmarkStart w:id="446" w:name="Tc_PyAJ3E_YyEW2pZaG5M5PqA_26_0"/>
      <w:bookmarkStart w:id="447" w:name="Tc_8WMAxAFD7UKRJ7AVD22nkw_25_0"/>
      <w:bookmarkStart w:id="448" w:name="Tc_F5aRCq7jikqPLbGPcqbf0Q_24_2"/>
      <w:bookmarkStart w:id="449" w:name="Tc_3aNJWa20iE-Kq6TUlzU7sw_24_0"/>
      <w:bookmarkStart w:id="450" w:name="Tc_bNAKvSnVKkuJlR4xBqdmXg_23_0"/>
      <w:bookmarkStart w:id="451" w:name="Tc_08Qt2fshqEulyDYAeXPEYA_22_2"/>
      <w:bookmarkStart w:id="452" w:name="Tc_HCmGuwvPXkmdEdmH7qHPMQ_22_0"/>
      <w:bookmarkStart w:id="453" w:name="Tc_BTw-qHTWY0-93REQHUyEhQ_21_0"/>
      <w:bookmarkStart w:id="454" w:name="Tc_NfJiTwrzhUyN8OPGbEilsA_19_2"/>
      <w:bookmarkStart w:id="455" w:name="Tc_RGrwWpdHx0iT1pJOewMm0g_19_0"/>
      <w:bookmarkStart w:id="456" w:name="Tc_M15zUhumxEGa4lupvKGCUQ_18_0"/>
      <w:bookmarkStart w:id="457" w:name="Tc_1P8jbf4QGUKt4Ukc79rR2g_17_2"/>
      <w:bookmarkStart w:id="458" w:name="Tc_7n1qWPI2DUK-4BVL9Q1L3Q_17_0"/>
      <w:bookmarkStart w:id="459" w:name="Tc_2A2HcgD140ucOUFdK-snOQ_16_0"/>
      <w:bookmarkStart w:id="460" w:name="Tc_o1tM2II3c0Coe3WsY0m93g_14_2"/>
      <w:bookmarkStart w:id="461" w:name="Tc_MKrOrBuU9ESENLwUYkKa5A_14_0"/>
      <w:bookmarkStart w:id="462" w:name="Tc_7J8-z4MlaUS-_jIHrVbaEg_13_0"/>
      <w:bookmarkStart w:id="463" w:name="Tc_oj9i3umt_kaa7tXBcsn79A_12_2"/>
      <w:bookmarkStart w:id="464" w:name="Tc_zxBW1JuWV0CYMJYY_raEvQ_12_0"/>
      <w:bookmarkStart w:id="465" w:name="Tc_Qj_khKb4ikyDTO0wmLAm7Q_11_0"/>
      <w:bookmarkStart w:id="466" w:name="Tc_IOTIWNrkAUOFjTi8yZUl8A_9_2"/>
      <w:bookmarkStart w:id="467" w:name="Tc_HySoR65yBkeZZNZcEC_Q9g_9_0"/>
      <w:bookmarkStart w:id="468" w:name="Tc_slSv7_38L0KfhVJhmsyBZg_8_0"/>
      <w:bookmarkStart w:id="469" w:name="Tc_DAWhuTxECUG5eDTbAj-4ig_7_2"/>
      <w:bookmarkStart w:id="470" w:name="Tc_HSr6-tfQQEmeHFb7YexEaw_7_0"/>
      <w:bookmarkStart w:id="471" w:name="Tc_LIS1y5UzjUiZuaRTS_lmBw_6_0"/>
      <w:bookmarkStart w:id="472" w:name="Tc_GvJW9Ac71UWbBYqiOfUR3Q_5_0"/>
      <w:bookmarkStart w:id="473" w:name="Tc_Md19ev1VCUmyfhnSYKMcdQ_3_2"/>
      <w:bookmarkStart w:id="474" w:name="Tc_OMwj1ySo0EyqyvqkIB_s-w_3_0"/>
      <w:bookmarkStart w:id="475" w:name="Tc_nxPG6kVht0mcKBkfGvG1OQ_2_5"/>
      <w:bookmarkStart w:id="476" w:name="Tc_OjrQQJ7LyES03sr0aQVmDA_2_2"/>
      <w:bookmarkStart w:id="477" w:name="Tc_pqOS0i4whkmbibWfb-uKjA_2_0"/>
      <w:bookmarkStart w:id="478" w:name="Tc_lCDuL-uzpUanBiTYb2Vd_g_1_5"/>
      <w:bookmarkStart w:id="479" w:name="Tc_7LV3izeeeEWAs7zwATiiFg_1_2"/>
      <w:bookmarkStart w:id="480" w:name="Tc_jLhEh8igpkW8uF9NOQwzng_5_2"/>
      <w:bookmarkStart w:id="481" w:name="Tc_qPjdnhCB20CYFdM9cg6Lmg_5_0"/>
      <w:bookmarkStart w:id="482" w:name="Tc_GJPSbDFA2UGKcEenxWJzCw_4_0"/>
      <w:bookmarkStart w:id="483" w:name="Tc_MS1IEmXRd0GIbjHwIgGIKA_3_7"/>
      <w:bookmarkStart w:id="484" w:name="Tc_2ax4-d_Os0CQ7CH1-1DnrQ_3_5"/>
      <w:bookmarkStart w:id="485" w:name="Tc_42Gekus9y0-YUKroVk_Kmg_3_0"/>
      <w:bookmarkStart w:id="486" w:name="Tc_rwjA4aB3-kaaPNEUNjQ7cw_2_2"/>
      <w:bookmarkStart w:id="487" w:name="Tc_urSRIZdhnEqhsXY6qaSUag_2_0"/>
      <w:bookmarkStart w:id="488" w:name="Tc_BRMWwc88dUGomw0g5JpsXA_1_9"/>
      <w:bookmarkStart w:id="489" w:name="Tc_xrZQfMxSKkaG6ws1HIKQrQ_1_7"/>
      <w:bookmarkStart w:id="490" w:name="Tc_Q9WmUG8U7Ei2cnPzrtpAVw_1_5"/>
      <w:bookmarkStart w:id="491" w:name="Tc_uDJWMe6_VkO0y_Ws3oUvYg_1_2"/>
      <w:bookmarkStart w:id="492" w:name="Tc_fM2xebNgskmc4R68tJa_Iw_1_0"/>
      <w:bookmarkStart w:id="493" w:name="Tc_mRxJZs2mZ0ij11bD55fLew_26_2"/>
      <w:bookmarkStart w:id="494" w:name="Tc_PyAJ3E_YyEW2pZaG5M5PqA_26_0"/>
      <w:bookmarkStart w:id="495" w:name="Tc_8WMAxAFD7UKRJ7AVD22nkw_25_0"/>
      <w:bookmarkStart w:id="496" w:name="Tc_F5aRCq7jikqPLbGPcqbf0Q_24_2"/>
      <w:bookmarkStart w:id="497" w:name="Tc_3aNJWa20iE-Kq6TUlzU7sw_24_0"/>
      <w:bookmarkStart w:id="498" w:name="Tc_bNAKvSnVKkuJlR4xBqdmXg_23_0"/>
      <w:bookmarkStart w:id="499" w:name="Tc_08Qt2fshqEulyDYAeXPEYA_22_2"/>
      <w:bookmarkStart w:id="500" w:name="Tc_HCmGuwvPXkmdEdmH7qHPMQ_22_0"/>
      <w:bookmarkStart w:id="501" w:name="Tc_BTw-qHTWY0-93REQHUyEhQ_21_0"/>
      <w:bookmarkStart w:id="502" w:name="Tc_NfJiTwrzhUyN8OPGbEilsA_19_2"/>
      <w:bookmarkStart w:id="503" w:name="Tc_RGrwWpdHx0iT1pJOewMm0g_19_0"/>
      <w:bookmarkStart w:id="504" w:name="Tc_M15zUhumxEGa4lupvKGCUQ_18_0"/>
      <w:bookmarkStart w:id="505" w:name="Tc_1P8jbf4QGUKt4Ukc79rR2g_17_2"/>
      <w:bookmarkStart w:id="506" w:name="Tc_7n1qWPI2DUK-4BVL9Q1L3Q_17_0"/>
      <w:bookmarkStart w:id="507" w:name="Tc_2A2HcgD140ucOUFdK-snOQ_16_0"/>
      <w:bookmarkStart w:id="508" w:name="Tc_o1tM2II3c0Coe3WsY0m93g_14_2"/>
      <w:bookmarkStart w:id="509" w:name="Tc_MKrOrBuU9ESENLwUYkKa5A_14_0"/>
      <w:bookmarkStart w:id="510" w:name="Tc_7J8-z4MlaUS-_jIHrVbaEg_13_0"/>
      <w:bookmarkStart w:id="511" w:name="Tc_oj9i3umt_kaa7tXBcsn79A_12_2"/>
      <w:bookmarkStart w:id="512" w:name="Tc_zxBW1JuWV0CYMJYY_raEvQ_12_0"/>
      <w:bookmarkStart w:id="513" w:name="Tc_Qj_khKb4ikyDTO0wmLAm7Q_11_0"/>
      <w:bookmarkStart w:id="514" w:name="Tc_IOTIWNrkAUOFjTi8yZUl8A_9_2"/>
      <w:bookmarkStart w:id="515" w:name="Tc_HySoR65yBkeZZNZcEC_Q9g_9_0"/>
      <w:bookmarkStart w:id="516" w:name="Tc_slSv7_38L0KfhVJhmsyBZg_8_0"/>
      <w:bookmarkStart w:id="517" w:name="Tc_DAWhuTxECUG5eDTbAj-4ig_7_2"/>
      <w:bookmarkStart w:id="518" w:name="Tc_HSr6-tfQQEmeHFb7YexEaw_7_0"/>
      <w:bookmarkStart w:id="519" w:name="Tc_LIS1y5UzjUiZuaRTS_lmBw_6_0"/>
      <w:bookmarkStart w:id="520" w:name="Tc_GvJW9Ac71UWbBYqiOfUR3Q_5_0"/>
      <w:bookmarkStart w:id="521" w:name="Tc_Md19ev1VCUmyfhnSYKMcdQ_3_2"/>
      <w:bookmarkStart w:id="522" w:name="Tc_OMwj1ySo0EyqyvqkIB_s-w_3_0"/>
      <w:bookmarkStart w:id="523" w:name="Tc_nxPG6kVht0mcKBkfGvG1OQ_2_5"/>
      <w:bookmarkStart w:id="524" w:name="Tc_OjrQQJ7LyES03sr0aQVmDA_2_2"/>
      <w:bookmarkStart w:id="525" w:name="Tc_pqOS0i4whkmbibWfb-uKjA_2_0"/>
      <w:bookmarkStart w:id="526" w:name="Tc_lCDuL-uzpUanBiTYb2Vd_g_1_5"/>
      <w:bookmarkStart w:id="527" w:name="Tc_7LV3izeeeEWAs7zwATiiFg_1_2"/>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tbl>
      <w:tblPr>
        <w:tblW w:w="4517" w:type="dxa"/>
        <w:jc w:val="left"/>
        <w:tblInd w:w="0" w:type="dxa"/>
        <w:tblLayout w:type="fixed"/>
        <w:tblCellMar>
          <w:top w:w="0" w:type="dxa"/>
          <w:left w:w="0" w:type="dxa"/>
          <w:bottom w:w="0" w:type="dxa"/>
          <w:right w:w="0" w:type="dxa"/>
        </w:tblCellMar>
      </w:tblPr>
      <w:tblGrid>
        <w:gridCol w:w="271"/>
        <w:gridCol w:w="4246"/>
      </w:tblGrid>
      <w:tr>
        <w:trPr/>
        <w:tc>
          <w:tcPr>
            <w:tcW w:w="27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424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GOODWILL AND OTHER INTANGIBLE ASSETS</w:t>
            </w:r>
          </w:p>
        </w:tc>
      </w:tr>
    </w:tbl>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Included on the Company’s condensed Consolidated Balance Sheets at June 30, 2026 and September 30, 2025 are the following intangible assets gross carrying amounts and accumulated amortization from continuing operations:</w:t>
      </w:r>
    </w:p>
    <w:p>
      <w:pPr>
        <w:pStyle w:val="TextBody"/>
        <w:bidi w:val="0"/>
        <w:spacing w:before="0" w:after="240"/>
        <w:ind w:left="360" w:right="0" w:hanging="0"/>
        <w:jc w:val="left"/>
        <w:rPr/>
      </w:pPr>
      <w:r>
        <w:rPr/>
        <w:t>​</w:t>
      </w:r>
    </w:p>
    <w:tbl>
      <w:tblPr>
        <w:tblW w:w="6396" w:type="dxa"/>
        <w:jc w:val="left"/>
        <w:tblInd w:w="0" w:type="dxa"/>
        <w:tblLayout w:type="fixed"/>
        <w:tblCellMar>
          <w:top w:w="0" w:type="dxa"/>
          <w:left w:w="0" w:type="dxa"/>
          <w:bottom w:w="0" w:type="dxa"/>
          <w:right w:w="0" w:type="dxa"/>
        </w:tblCellMar>
      </w:tblPr>
      <w:tblGrid>
        <w:gridCol w:w="3481"/>
        <w:gridCol w:w="346"/>
        <w:gridCol w:w="211"/>
        <w:gridCol w:w="781"/>
        <w:gridCol w:w="346"/>
        <w:gridCol w:w="1231"/>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210435" cy="175260"/>
                      <wp:effectExtent l="0" t="0" r="0" b="0"/>
                      <wp:wrapNone/>
                      <wp:docPr id="55" name="Frame55"/>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3985" cy="175260"/>
                      <wp:effectExtent l="0" t="0" r="0" b="0"/>
                      <wp:wrapNone/>
                      <wp:docPr id="57" name="Frame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95935" cy="175260"/>
                      <wp:effectExtent l="0" t="0" r="0" b="0"/>
                      <wp:wrapNone/>
                      <wp:docPr id="58" name="Frame5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781685" cy="175260"/>
                      <wp:effectExtent l="0" t="0" r="0" b="0"/>
                      <wp:wrapNone/>
                      <wp:docPr id="60" name="Frame60"/>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  ​ ​ ​</w:t>
            </w:r>
          </w:p>
        </w:tc>
        <w:tc>
          <w:tcPr>
            <w:tcW w:w="12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34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760,275</w:t>
            </w:r>
          </w:p>
        </w:tc>
        <w:tc>
          <w:tcPr>
            <w:tcW w:w="346" w:type="dxa"/>
            <w:tcBorders/>
            <w:shd w:fill="CCEEFF" w:val="clear"/>
            <w:vAlign w:val="center"/>
          </w:tcPr>
          <w:p>
            <w:pPr>
              <w:pStyle w:val="TableContents"/>
              <w:bidi w:val="0"/>
              <w:spacing w:before="0" w:after="0"/>
              <w:ind w:left="0" w:right="0" w:hanging="0"/>
              <w:jc w:val="left"/>
              <w:rPr/>
            </w:pPr>
            <w:r>
              <w:rPr/>
              <w:t>​</w:t>
            </w:r>
          </w:p>
        </w:tc>
        <w:tc>
          <w:tcPr>
            <w:tcW w:w="12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761,931</w:t>
            </w:r>
          </w:p>
        </w:tc>
      </w:tr>
      <w:tr>
        <w:trPr/>
        <w:tc>
          <w:tcPr>
            <w:tcW w:w="3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right"/>
              <w:rPr/>
            </w:pPr>
            <w:r>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with determinable lives: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right"/>
              <w:rPr/>
            </w:pPr>
            <w:r>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Patents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right"/>
              <w:rPr/>
            </w:pPr>
            <w:r>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carrying amount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7,918</w:t>
            </w:r>
          </w:p>
        </w:tc>
        <w:tc>
          <w:tcPr>
            <w:tcW w:w="346"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7,607</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2,161</w:t>
            </w:r>
          </w:p>
        </w:tc>
        <w:tc>
          <w:tcPr>
            <w:tcW w:w="346" w:type="dxa"/>
            <w:tcBorders/>
            <w:vAlign w:val="center"/>
          </w:tcPr>
          <w:p>
            <w:pPr>
              <w:pStyle w:val="TableContents"/>
              <w:bidi w:val="0"/>
              <w:spacing w:before="0" w:after="0"/>
              <w:ind w:left="0" w:right="0" w:hanging="0"/>
              <w:jc w:val="left"/>
              <w:rPr/>
            </w:pPr>
            <w:r>
              <w:rPr/>
              <w:t>​</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1,775</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5,757</w:t>
            </w:r>
          </w:p>
        </w:tc>
        <w:tc>
          <w:tcPr>
            <w:tcW w:w="346" w:type="dxa"/>
            <w:tcBorders/>
            <w:shd w:fill="CCEEFF" w:val="clear"/>
            <w:vAlign w:val="center"/>
          </w:tcPr>
          <w:p>
            <w:pPr>
              <w:pStyle w:val="TableContents"/>
              <w:bidi w:val="0"/>
              <w:spacing w:before="0" w:after="0"/>
              <w:ind w:left="0" w:right="0" w:hanging="0"/>
              <w:jc w:val="left"/>
              <w:rPr/>
            </w:pPr>
            <w:r>
              <w:rPr/>
              <w:t>​</w:t>
            </w:r>
          </w:p>
        </w:tc>
        <w:tc>
          <w:tcPr>
            <w:tcW w:w="12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5,832</w:t>
            </w:r>
          </w:p>
        </w:tc>
      </w:tr>
      <w:tr>
        <w:trPr/>
        <w:tc>
          <w:tcPr>
            <w:tcW w:w="3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right"/>
              <w:rPr/>
            </w:pPr>
            <w:r>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software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right"/>
              <w:rPr/>
            </w:pPr>
            <w:r>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carrying amount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146,078</w:t>
            </w:r>
          </w:p>
        </w:tc>
        <w:tc>
          <w:tcPr>
            <w:tcW w:w="34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138,144</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108,658</w:t>
            </w:r>
          </w:p>
        </w:tc>
        <w:tc>
          <w:tcPr>
            <w:tcW w:w="346" w:type="dxa"/>
            <w:tcBorders/>
            <w:shd w:fill="CCEEFF" w:val="clear"/>
            <w:vAlign w:val="center"/>
          </w:tcPr>
          <w:p>
            <w:pPr>
              <w:pStyle w:val="TableContents"/>
              <w:bidi w:val="0"/>
              <w:spacing w:before="0" w:after="0"/>
              <w:ind w:left="0" w:right="0" w:hanging="0"/>
              <w:jc w:val="left"/>
              <w:rPr/>
            </w:pPr>
            <w:r>
              <w:rPr/>
              <w:t>​</w:t>
            </w:r>
          </w:p>
        </w:tc>
        <w:tc>
          <w:tcPr>
            <w:tcW w:w="12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100,818</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37,420</w:t>
            </w:r>
          </w:p>
        </w:tc>
        <w:tc>
          <w:tcPr>
            <w:tcW w:w="346" w:type="dxa"/>
            <w:tcBorders/>
            <w:vAlign w:val="center"/>
          </w:tcPr>
          <w:p>
            <w:pPr>
              <w:pStyle w:val="TableContents"/>
              <w:bidi w:val="0"/>
              <w:spacing w:before="0" w:after="0"/>
              <w:ind w:left="0" w:right="0" w:hanging="0"/>
              <w:jc w:val="left"/>
              <w:rPr/>
            </w:pPr>
            <w:r>
              <w:rPr/>
              <w:t>​</w:t>
            </w:r>
          </w:p>
        </w:tc>
        <w:tc>
          <w:tcPr>
            <w:tcW w:w="12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37,326</w:t>
            </w:r>
          </w:p>
        </w:tc>
      </w:tr>
      <w:tr>
        <w:trPr/>
        <w:tc>
          <w:tcPr>
            <w:tcW w:w="34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right"/>
              <w:rPr/>
            </w:pPr>
            <w:r>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right"/>
              <w:rPr/>
            </w:pPr>
            <w:r>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carrying amount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619,890</w:t>
            </w:r>
          </w:p>
        </w:tc>
        <w:tc>
          <w:tcPr>
            <w:tcW w:w="346"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625,535</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188,725</w:t>
            </w:r>
          </w:p>
        </w:tc>
        <w:tc>
          <w:tcPr>
            <w:tcW w:w="346" w:type="dxa"/>
            <w:tcBorders/>
            <w:vAlign w:val="center"/>
          </w:tcPr>
          <w:p>
            <w:pPr>
              <w:pStyle w:val="TableContents"/>
              <w:bidi w:val="0"/>
              <w:spacing w:before="0" w:after="0"/>
              <w:ind w:left="0" w:right="0" w:hanging="0"/>
              <w:jc w:val="left"/>
              <w:rPr/>
            </w:pPr>
            <w:r>
              <w:rPr/>
              <w:t>​</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159,543</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431,165</w:t>
            </w:r>
          </w:p>
        </w:tc>
        <w:tc>
          <w:tcPr>
            <w:tcW w:w="346" w:type="dxa"/>
            <w:tcBorders/>
            <w:shd w:fill="CCEEFF" w:val="clear"/>
            <w:vAlign w:val="center"/>
          </w:tcPr>
          <w:p>
            <w:pPr>
              <w:pStyle w:val="TableContents"/>
              <w:bidi w:val="0"/>
              <w:spacing w:before="0" w:after="0"/>
              <w:ind w:left="0" w:right="0" w:hanging="0"/>
              <w:jc w:val="left"/>
              <w:rPr/>
            </w:pPr>
            <w:r>
              <w:rPr/>
              <w:t>​</w:t>
            </w:r>
          </w:p>
        </w:tc>
        <w:tc>
          <w:tcPr>
            <w:tcW w:w="12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465,992</w:t>
            </w:r>
          </w:p>
        </w:tc>
      </w:tr>
      <w:tr>
        <w:trPr/>
        <w:tc>
          <w:tcPr>
            <w:tcW w:w="3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right"/>
              <w:rPr/>
            </w:pPr>
            <w:r>
              <w:rPr/>
              <w:t>​</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right"/>
              <w:rPr/>
            </w:pPr>
            <w:r>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carrying amount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76,401</w:t>
            </w:r>
          </w:p>
        </w:tc>
        <w:tc>
          <w:tcPr>
            <w:tcW w:w="34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76,991</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48,506</w:t>
            </w:r>
          </w:p>
        </w:tc>
        <w:tc>
          <w:tcPr>
            <w:tcW w:w="346" w:type="dxa"/>
            <w:tcBorders/>
            <w:shd w:fill="CCEEFF" w:val="clear"/>
            <w:vAlign w:val="center"/>
          </w:tcPr>
          <w:p>
            <w:pPr>
              <w:pStyle w:val="TableContents"/>
              <w:bidi w:val="0"/>
              <w:spacing w:before="0" w:after="0"/>
              <w:ind w:left="0" w:right="0" w:hanging="0"/>
              <w:jc w:val="left"/>
              <w:rPr/>
            </w:pPr>
            <w:r>
              <w:rPr/>
              <w:t>​</w:t>
            </w:r>
          </w:p>
        </w:tc>
        <w:tc>
          <w:tcPr>
            <w:tcW w:w="12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24,829</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27,895</w:t>
            </w:r>
          </w:p>
        </w:tc>
        <w:tc>
          <w:tcPr>
            <w:tcW w:w="346" w:type="dxa"/>
            <w:tcBorders/>
            <w:vAlign w:val="center"/>
          </w:tcPr>
          <w:p>
            <w:pPr>
              <w:pStyle w:val="TableContents"/>
              <w:bidi w:val="0"/>
              <w:spacing w:before="0" w:after="0"/>
              <w:ind w:left="0" w:right="0" w:hanging="0"/>
              <w:jc w:val="left"/>
              <w:rPr/>
            </w:pPr>
            <w:r>
              <w:rPr/>
              <w:t>​</w:t>
            </w:r>
          </w:p>
        </w:tc>
        <w:tc>
          <w:tcPr>
            <w:tcW w:w="12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52,162</w:t>
            </w:r>
          </w:p>
        </w:tc>
      </w:tr>
      <w:tr>
        <w:trPr/>
        <w:tc>
          <w:tcPr>
            <w:tcW w:w="3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with indefinite lives: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right"/>
              <w:rPr/>
            </w:pPr>
            <w:r>
              <w:rPr/>
              <w:t>​</w:t>
            </w:r>
          </w:p>
        </w:tc>
      </w:tr>
      <w:tr>
        <w:trPr/>
        <w:tc>
          <w:tcPr>
            <w:tcW w:w="3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names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162,213</w:t>
            </w:r>
          </w:p>
        </w:tc>
        <w:tc>
          <w:tcPr>
            <w:tcW w:w="346" w:type="dxa"/>
            <w:tcBorders/>
            <w:vAlign w:val="center"/>
          </w:tcPr>
          <w:p>
            <w:pPr>
              <w:pStyle w:val="TableContents"/>
              <w:bidi w:val="0"/>
              <w:spacing w:before="0" w:after="0"/>
              <w:ind w:left="0" w:right="0" w:hanging="0"/>
              <w:jc w:val="left"/>
              <w:rPr/>
            </w:pPr>
            <w:r>
              <w:rPr/>
              <w:t>​</w:t>
            </w:r>
          </w:p>
        </w:tc>
        <w:tc>
          <w:tcPr>
            <w:tcW w:w="1231"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162,661</w:t>
            </w:r>
          </w:p>
        </w:tc>
      </w:tr>
    </w:tbl>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The changes in the carrying amount of goodwill attributable to each business segment from continuing operations for the nine months ended June 30, 2026 is as follows:</w:t>
      </w:r>
    </w:p>
    <w:p>
      <w:pPr>
        <w:pStyle w:val="TextBody"/>
        <w:bidi w:val="0"/>
        <w:spacing w:before="0" w:after="240"/>
        <w:ind w:left="360" w:right="0" w:hanging="0"/>
        <w:jc w:val="left"/>
        <w:rPr/>
      </w:pPr>
      <w:r>
        <w:rPr/>
        <w:t>​</w:t>
      </w:r>
    </w:p>
    <w:tbl>
      <w:tblPr>
        <w:tblW w:w="6772" w:type="dxa"/>
        <w:jc w:val="left"/>
        <w:tblInd w:w="0" w:type="dxa"/>
        <w:tblLayout w:type="fixed"/>
        <w:tblCellMar>
          <w:top w:w="0" w:type="dxa"/>
          <w:left w:w="0" w:type="dxa"/>
          <w:bottom w:w="0" w:type="dxa"/>
          <w:right w:w="0" w:type="dxa"/>
        </w:tblCellMar>
      </w:tblPr>
      <w:tblGrid>
        <w:gridCol w:w="2866"/>
        <w:gridCol w:w="346"/>
        <w:gridCol w:w="211"/>
        <w:gridCol w:w="571"/>
        <w:gridCol w:w="346"/>
        <w:gridCol w:w="481"/>
        <w:gridCol w:w="346"/>
        <w:gridCol w:w="571"/>
        <w:gridCol w:w="346"/>
        <w:gridCol w:w="688"/>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819910" cy="175260"/>
                      <wp:effectExtent l="0" t="0" r="0" b="0"/>
                      <wp:wrapNone/>
                      <wp:docPr id="61" name="Frame61"/>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3" name="Frame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362585" cy="175260"/>
                      <wp:effectExtent l="0" t="0" r="0" b="0"/>
                      <wp:wrapNone/>
                      <wp:docPr id="64" name="Frame6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5"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305435" cy="175260"/>
                      <wp:effectExtent l="0" t="0" r="0" b="0"/>
                      <wp:wrapNone/>
                      <wp:docPr id="66" name="Frame66"/>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7"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362585" cy="175260"/>
                      <wp:effectExtent l="0" t="0" r="0" b="0"/>
                      <wp:wrapNone/>
                      <wp:docPr id="68" name="Frame6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9"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36880" cy="175260"/>
                      <wp:effectExtent l="0" t="0" r="0" b="0"/>
                      <wp:wrapNone/>
                      <wp:docPr id="70" name="Frame70"/>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millions)</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A&amp;D</w:t>
            </w:r>
          </w:p>
        </w:tc>
        <w:tc>
          <w:tcPr>
            <w:tcW w:w="346" w:type="dxa"/>
            <w:tcBorders/>
            <w:vAlign w:val="center"/>
          </w:tcPr>
          <w:p>
            <w:pPr>
              <w:pStyle w:val="TableContents"/>
              <w:bidi w:val="0"/>
              <w:spacing w:before="0" w:after="1"/>
              <w:ind w:left="0" w:right="0" w:hanging="0"/>
              <w:jc w:val="left"/>
              <w:rPr/>
            </w:pPr>
            <w:r>
              <w:rPr/>
              <w:t>  ​ ​ ​</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Test</w:t>
            </w:r>
          </w:p>
        </w:tc>
        <w:tc>
          <w:tcPr>
            <w:tcW w:w="346" w:type="dxa"/>
            <w:tcBorders/>
            <w:vAlign w:val="center"/>
          </w:tcPr>
          <w:p>
            <w:pPr>
              <w:pStyle w:val="TableContents"/>
              <w:bidi w:val="0"/>
              <w:spacing w:before="0" w:after="1"/>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USG</w:t>
            </w:r>
          </w:p>
        </w:tc>
        <w:tc>
          <w:tcPr>
            <w:tcW w:w="346" w:type="dxa"/>
            <w:tcBorders/>
            <w:vAlign w:val="center"/>
          </w:tcPr>
          <w:p>
            <w:pPr>
              <w:pStyle w:val="TableContents"/>
              <w:bidi w:val="0"/>
              <w:spacing w:before="0" w:after="1"/>
              <w:ind w:left="0" w:right="0" w:hanging="0"/>
              <w:jc w:val="left"/>
              <w:rPr/>
            </w:pPr>
            <w:r>
              <w:rPr/>
              <w:t>  ​ ​ ​</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September 30, 2025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334.0</w:t>
            </w:r>
          </w:p>
        </w:tc>
        <w:tc>
          <w:tcPr>
            <w:tcW w:w="346" w:type="dxa"/>
            <w:tcBorders/>
            <w:shd w:fill="CCEEFF" w:val="clear"/>
            <w:vAlign w:val="center"/>
          </w:tcPr>
          <w:p>
            <w:pPr>
              <w:pStyle w:val="TableContents"/>
              <w:bidi w:val="0"/>
              <w:spacing w:before="0" w:after="1"/>
              <w:ind w:left="0" w:right="0" w:hanging="0"/>
              <w:jc w:val="left"/>
              <w:rPr/>
            </w:pPr>
            <w:r>
              <w:rPr/>
              <w:t> </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67.8</w:t>
            </w:r>
          </w:p>
        </w:tc>
        <w:tc>
          <w:tcPr>
            <w:tcW w:w="34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360.1</w:t>
            </w:r>
          </w:p>
        </w:tc>
        <w:tc>
          <w:tcPr>
            <w:tcW w:w="346" w:type="dxa"/>
            <w:tcBorders/>
            <w:shd w:fill="CCEEFF" w:val="clear"/>
            <w:vAlign w:val="center"/>
          </w:tcPr>
          <w:p>
            <w:pPr>
              <w:pStyle w:val="TableContents"/>
              <w:bidi w:val="0"/>
              <w:spacing w:before="0" w:after="1"/>
              <w:ind w:left="0" w:right="0" w:hanging="0"/>
              <w:jc w:val="left"/>
              <w:rPr/>
            </w:pPr>
            <w:r>
              <w:rPr/>
              <w:t> </w:t>
            </w:r>
          </w:p>
        </w:tc>
        <w:tc>
          <w:tcPr>
            <w:tcW w:w="6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761.9</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 activity and other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vAlign w:val="center"/>
          </w:tcPr>
          <w:p>
            <w:pPr>
              <w:pStyle w:val="TableContents"/>
              <w:bidi w:val="0"/>
              <w:spacing w:before="0" w:after="1"/>
              <w:ind w:left="0" w:right="0" w:hanging="0"/>
              <w:jc w:val="left"/>
              <w:rPr/>
            </w:pPr>
            <w:r>
              <w:rPr/>
              <w:t>​</w:t>
            </w:r>
          </w:p>
        </w:tc>
        <w:tc>
          <w:tcPr>
            <w:tcW w:w="4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shd w:fill="CCEEFF" w:val="clear"/>
            <w:vAlign w:val="center"/>
          </w:tcPr>
          <w:p>
            <w:pPr>
              <w:pStyle w:val="TableContents"/>
              <w:bidi w:val="0"/>
              <w:spacing w:before="0" w:after="1"/>
              <w:ind w:left="0" w:right="0" w:hanging="0"/>
              <w:jc w:val="left"/>
              <w:rPr/>
            </w:pPr>
            <w:r>
              <w:rPr/>
              <w:t>​</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w:t>
            </w:r>
          </w:p>
        </w:tc>
        <w:tc>
          <w:tcPr>
            <w:tcW w:w="346" w:type="dxa"/>
            <w:tcBorders/>
            <w:shd w:fill="CCEEFF" w:val="cle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shd w:fill="CCEEFF" w:val="cle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June 30, 2026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336.1</w:t>
            </w:r>
          </w:p>
        </w:tc>
        <w:tc>
          <w:tcPr>
            <w:tcW w:w="346" w:type="dxa"/>
            <w:tcBorders/>
            <w:vAlign w:val="center"/>
          </w:tcPr>
          <w:p>
            <w:pPr>
              <w:pStyle w:val="TableContents"/>
              <w:bidi w:val="0"/>
              <w:spacing w:before="0" w:after="1"/>
              <w:ind w:left="0" w:right="0" w:hanging="0"/>
              <w:jc w:val="left"/>
              <w:rPr/>
            </w:pPr>
            <w:r>
              <w:rPr/>
              <w:t> </w:t>
            </w:r>
          </w:p>
        </w:tc>
        <w:tc>
          <w:tcPr>
            <w:tcW w:w="4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66.9</w:t>
            </w:r>
          </w:p>
        </w:tc>
        <w:tc>
          <w:tcPr>
            <w:tcW w:w="346" w:type="dxa"/>
            <w:tcBorders/>
            <w:vAlign w:val="center"/>
          </w:tcPr>
          <w:p>
            <w:pPr>
              <w:pStyle w:val="TableContents"/>
              <w:bidi w:val="0"/>
              <w:spacing w:before="0" w:after="1"/>
              <w:ind w:left="0" w:right="0" w:hanging="0"/>
              <w:jc w:val="left"/>
              <w:rPr/>
            </w:pPr>
            <w:r>
              <w:rPr/>
              <w:t> </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357.3</w:t>
            </w:r>
          </w:p>
        </w:tc>
        <w:tc>
          <w:tcPr>
            <w:tcW w:w="346" w:type="dxa"/>
            <w:tcBorders/>
            <w:vAlign w:val="center"/>
          </w:tcPr>
          <w:p>
            <w:pPr>
              <w:pStyle w:val="TableContents"/>
              <w:bidi w:val="0"/>
              <w:spacing w:before="0" w:after="1"/>
              <w:ind w:left="0" w:right="0" w:hanging="0"/>
              <w:jc w:val="left"/>
              <w:rPr/>
            </w:pPr>
            <w:r>
              <w:rPr/>
              <w:t> </w:t>
            </w:r>
          </w:p>
        </w:tc>
        <w:tc>
          <w:tcPr>
            <w:tcW w:w="688"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760.3</w:t>
            </w:r>
          </w:p>
        </w:tc>
      </w:tr>
    </w:tbl>
    <w:p>
      <w:pPr>
        <w:pStyle w:val="TextBody"/>
        <w:bidi w:val="0"/>
        <w:spacing w:before="0" w:after="240"/>
        <w:ind w:left="360" w:right="0" w:hanging="0"/>
        <w:jc w:val="left"/>
        <w:rPr/>
      </w:pPr>
      <w:r>
        <w:rPr/>
        <w:t>​</w:t>
      </w:r>
    </w:p>
    <w:p>
      <w:pPr>
        <w:pStyle w:val="TextBody"/>
        <w:bidi w:val="0"/>
        <w:spacing w:before="0" w:after="240"/>
        <w:ind w:left="36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6.    BUSINESS SEGMENT INFORMATION</w:t>
      </w:r>
    </w:p>
    <w:p>
      <w:pPr>
        <w:pStyle w:val="TextBody"/>
        <w:bidi w:val="0"/>
        <w:spacing w:before="0" w:after="240"/>
        <w:ind w:left="357" w:right="0" w:hanging="0"/>
        <w:jc w:val="left"/>
        <w:rPr>
          <w:rFonts w:ascii="Times New Roman;Times;serif" w:hAnsi="Times New Roman;Times;serif"/>
          <w:sz w:val="20"/>
        </w:rPr>
      </w:pPr>
      <w:r>
        <w:rPr>
          <w:rFonts w:ascii="Times New Roman;Times;serif" w:hAnsi="Times New Roman;Times;serif"/>
          <w:sz w:val="20"/>
        </w:rPr>
        <w:t>We adopted the provisions of ASU 2023-07 Segment Reporting for the year ended September 30, 2025. We are organized based on the products and services we offer, and we classify our business operations in three reportable segments for financial reporting purposes: Aerospace &amp; Defense (A&amp;D), Utility Solutions Group (USG) and RF Test &amp; Measurement (Test). Corporate is not a reportable segment, but it is included for reconciliation purposes.</w:t>
      </w:r>
    </w:p>
    <w:p>
      <w:pPr>
        <w:pStyle w:val="TextBody"/>
        <w:bidi w:val="0"/>
        <w:spacing w:before="0" w:after="240"/>
        <w:ind w:left="357" w:right="0" w:hanging="0"/>
        <w:jc w:val="left"/>
        <w:rPr>
          <w:rFonts w:ascii="Times New Roman;Times;serif" w:hAnsi="Times New Roman;Times;serif"/>
          <w:sz w:val="20"/>
        </w:rPr>
      </w:pPr>
      <w:r>
        <w:rPr>
          <w:rFonts w:ascii="Times New Roman;Times;serif" w:hAnsi="Times New Roman;Times;serif"/>
          <w:sz w:val="20"/>
        </w:rPr>
        <w:t>The A&amp;D segment’s operations consist of PTI, Crissair, Globe, Mayday, and Maritime. Previously, A&amp;D also included VACCO Industries which was sold in July 2025 and is reported in discontinued operations. The companies within this segment primarily design and manufacture specialty filtration, fluid control and naval products, including hydraulic filter elements and fluid control devices used in aerospace and defense applications; custom designed filters for manned aircraft and submarines; products and systems to reduce vibration and/or acoustic signatures and otherwise reduce or obscure a vessel’s signature, power management and control equipment; sealing, surface control and hydrodynamic related applications to enhance U.S. and UK Navy maritime survivability; precision-tolerance machined components for the aerospace and defense industry; metal processing services; and miniature electro-explosive devices utilized in mission-critical defense and aerospace applications.</w:t>
      </w:r>
    </w:p>
    <w:p>
      <w:pPr>
        <w:pStyle w:val="TextBody"/>
        <w:bidi w:val="0"/>
        <w:spacing w:before="0" w:after="240"/>
        <w:ind w:left="357" w:right="0" w:hanging="0"/>
        <w:jc w:val="left"/>
        <w:rPr>
          <w:rFonts w:ascii="Times New Roman;Times;serif" w:hAnsi="Times New Roman;Times;serif"/>
          <w:sz w:val="20"/>
        </w:rPr>
      </w:pPr>
      <w:r>
        <w:rPr>
          <w:rFonts w:ascii="Times New Roman;Times;serif" w:hAnsi="Times New Roman;Times;serif"/>
          <w:sz w:val="20"/>
        </w:rPr>
        <w:t>The USG segment’s operations consist of Doble Engineering Company and related subsidiaries including Morgan Schaffer and Altanova/ISA (collectively, Doble), and NRG. Doble is an industry leader in the development, manufacture and delivery of diagnostic testing and data management solutions that enable electric power grid operators to assess the integrity of high-voltage power delivery equipment, and Altanova/ISA’s strong market presence in Europe and Asia provides Doble with a significant international platform. Doble combines three core elements for customers – diagnostic test and condition monitoring instruments, expert consulting, and testing services – and provides access to its large reserve of related empirical knowledge. NRG is a global market leader in the design and manufacture of decision support tools for the renewable energy industry, primarily wind and solar.</w:t>
      </w:r>
    </w:p>
    <w:p>
      <w:pPr>
        <w:pStyle w:val="TextBody"/>
        <w:bidi w:val="0"/>
        <w:spacing w:before="0" w:after="240"/>
        <w:ind w:left="357" w:right="0" w:hanging="0"/>
        <w:jc w:val="left"/>
        <w:rPr>
          <w:rFonts w:ascii="Times New Roman;Times;serif" w:hAnsi="Times New Roman;Times;serif"/>
          <w:sz w:val="20"/>
        </w:rPr>
      </w:pPr>
      <w:r>
        <w:rPr>
          <w:rFonts w:ascii="Times New Roman;Times;serif" w:hAnsi="Times New Roman;Times;serif"/>
          <w:sz w:val="20"/>
        </w:rPr>
        <w:t>The Test segment’s operations consist of ETS-Lindgren Inc., including its related subsidiaries, and MPE Limited (collectively, ETS-Lindgren). ETS-Lindgren is an industry leader in designing and manufacturing products and systems to measure and control RF energy. It serves the medical, health and safety, electronics, wireless communications, automotive and defense markets, supplying a broad range of turnkey systems, including RF test facilities and measurement systems, RF and magnetically shielded rooms and secure communication facilities, and providing the design, program management, installation and integration services required to successfully complete these types of facilities. It also supplies a broad range of components including RF absorptive materials, filters, antennas, field probes, test cells, proprietary measurement software and other test accessories required to perform a variety of tests and measurements, and offers a variety of services including calibration and product tests.</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 xml:space="preserve">Accounting policies of the segments are the same as those described in the summary of significant accounting policies in Note 1 to the Consolidated Financial Statements in the Company’s Form 10-K for the year ended September 30, 2025. The operating units within each reporting segment have been aggregated because of similar economic characteristics and meet the other aggregation criteria of FASB ASC 280, </w:t>
      </w:r>
      <w:r>
        <w:rPr>
          <w:rFonts w:ascii="Times New Roman;Times;serif" w:hAnsi="Times New Roman;Times;serif"/>
          <w:i/>
          <w:sz w:val="20"/>
        </w:rPr>
        <w:t>Segment Reporting</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240"/>
        <w:ind w:left="360" w:right="0" w:hanging="0"/>
        <w:jc w:val="left"/>
        <w:rPr>
          <w:rFonts w:ascii="Times New Roman;Times;serif" w:hAnsi="Times New Roman;Times;serif"/>
          <w:i/>
          <w:sz w:val="20"/>
        </w:rPr>
      </w:pPr>
      <w:bookmarkStart w:id="528" w:name="Tc_Q5d_p3FC2UWb_hKuniOhog_5_2"/>
      <w:bookmarkStart w:id="529" w:name="Tc_9Af_oXHdEEussvJqPjWX_g_5_0"/>
      <w:bookmarkStart w:id="530" w:name="Tc_wBx3FtcSJkeWgqpqfxQczQ_4_0"/>
      <w:bookmarkStart w:id="531" w:name="Tc_NFbHXZrhtUyCzakuJqvkaA_3_2"/>
      <w:bookmarkStart w:id="532" w:name="Tc_5mzCkx9PzEiOCAzlYA5k1A_3_0"/>
      <w:bookmarkStart w:id="533" w:name="Tc_iw03fTFgtkaRP4_C3L2hYg_1_0"/>
      <w:bookmarkStart w:id="534" w:name="_2e5d3129_fa31_434d_a8e6_7ed4e7807a82"/>
      <w:bookmarkStart w:id="535" w:name="Tc_Ldcq-s5-LEylv_Kaqcyh1g_37_9"/>
      <w:bookmarkStart w:id="536" w:name="Tc_nI8y6kjl2UCBi68osBjI4g_37_0"/>
      <w:bookmarkStart w:id="537" w:name="Tc_OAptVvBoREW-FFuNT7GX_g_36_0"/>
      <w:bookmarkStart w:id="538" w:name="Tc_I94LYR9NsUGDzFd0iIHTOw_35_11"/>
      <w:bookmarkStart w:id="539" w:name="Tc_ScHOxU-JFEaFK08YOnk0Fw_35_0"/>
      <w:bookmarkStart w:id="540" w:name="Tc_mpoXnorutUS1m6snvt0Tug_34_0"/>
      <w:bookmarkStart w:id="541" w:name="Tc_7wTTj9eE_k--nDYZWm3Csw_33_0"/>
      <w:bookmarkStart w:id="542" w:name="Tc_OFi1qollaES5rTpEekxXvg_32_9"/>
      <w:bookmarkStart w:id="543" w:name="Tc_3VARDAfkY0Oa-1GeNxE1uA_32_0"/>
      <w:bookmarkStart w:id="544" w:name="Tc_ielfGgqTSEuPJxtAFeFPcw_30_0"/>
      <w:bookmarkStart w:id="545" w:name="Tc_VGKnQZUyZEqKV8LelCKjmg_28_9"/>
      <w:bookmarkStart w:id="546" w:name="Tc_-fLjgMbovEqhvCTiT8Y1pQ_28_0"/>
      <w:bookmarkStart w:id="547" w:name="Tc_J4YBCAWPtkuvJRAkkcM81A_27_0"/>
      <w:bookmarkStart w:id="548" w:name="Tc_vJQgC8oXWUKLmsD-WpY07A_26_9"/>
      <w:bookmarkStart w:id="549" w:name="Tc_CxG-STSHAk2mZzHhgNdYqA_26_0"/>
      <w:bookmarkStart w:id="550" w:name="Tc_rKTQukUFekmFKrUWl1Vi9g_24_0"/>
      <w:bookmarkStart w:id="551" w:name="Tc_Tsoijs2bUEW5INIL533DTw_22_9"/>
      <w:bookmarkStart w:id="552" w:name="Tc_p22hp22M_0Kqrojz7fw_Hw_22_0"/>
      <w:bookmarkStart w:id="553" w:name="Tc_eBu1VW1Ih0ijANuu7UXjzA_21_0"/>
      <w:bookmarkStart w:id="554" w:name="Tc_1x2XKYiPZUm2v9yXe_XtOQ_20_0"/>
      <w:bookmarkStart w:id="555" w:name="Tc_qYgZk5Hw0UGUHueC66tBXw_19_0"/>
      <w:bookmarkStart w:id="556" w:name="Tc_c7WFezIieUiJcCXnkD2MDw_18_0"/>
      <w:bookmarkStart w:id="557" w:name="Tc_ZRtdlAfnYEuhka_gN4jnag_17_9"/>
      <w:bookmarkStart w:id="558" w:name="Tc_CHcudOHKJ0-4YWRb-e2-og_17_0"/>
      <w:bookmarkStart w:id="559" w:name="Tc_la3pAa16FUuT3TugmIcgIA_15_0"/>
      <w:bookmarkStart w:id="560" w:name="Tc_f3G3PdPS5E-gM98hPg51Jg_13_2"/>
      <w:bookmarkStart w:id="561" w:name="Tc_L8TFv74JlEOKK9Y3E6JP4A_13_0"/>
      <w:bookmarkStart w:id="562" w:name="Tc_A-XMLtIIE0uHdh7isXcbTg_12_2"/>
      <w:bookmarkStart w:id="563" w:name="Tc_rsZwK6u2U02J8tt-i5GF5Q_12_0"/>
      <w:bookmarkStart w:id="564" w:name="Tc_Qx06Gs9L3E6yPXot7NbuAQ_11_2"/>
      <w:bookmarkStart w:id="565" w:name="Tc_ph4RWff4pkCSznpGubI_bA_11_0"/>
      <w:bookmarkStart w:id="566" w:name="Tc_9ArjbA5sakyrUp85XlMRHg_9_2"/>
      <w:bookmarkStart w:id="567" w:name="Tc_7bYpluYwzESG0obLqe6SKQ_9_0"/>
      <w:bookmarkStart w:id="568" w:name="Tc_jvsAa8CFOEiK7fbOOpPLwQ_8_0"/>
      <w:bookmarkStart w:id="569" w:name="Tc_kFkEOZZY9U-ruUgOoOHT_A_7_0"/>
      <w:bookmarkStart w:id="570" w:name="Tc_5N1KjpgCjEG5AZ2ydlpPzQ_6_0"/>
      <w:bookmarkStart w:id="571" w:name="Tc_2CJUmpiQnU2SZ6wxi4CAsw_5_0"/>
      <w:bookmarkStart w:id="572" w:name="Tc_etmuOdL6rUK11ALEQj09jg_3_2"/>
      <w:bookmarkStart w:id="573" w:name="Tc_kReOB89v2k-WtdjP4FRmow_3_0"/>
      <w:bookmarkStart w:id="574" w:name="Tc_YkysfSdHzUq38drwEx5sQw_2_9"/>
      <w:bookmarkStart w:id="575" w:name="Tc_RNBrvTJ6qUW5DlvuVUgEEA_2_7"/>
      <w:bookmarkStart w:id="576" w:name="Tc_R_Ri2OPm-EalN-e7m-s9Ug_2_5"/>
      <w:bookmarkStart w:id="577" w:name="Tc_rx7knzJCxEW1O9PnHdcI1Q_2_2"/>
      <w:bookmarkStart w:id="578" w:name="Tc_YE83Uu924UOTEPVDyt35vQ_2_0"/>
      <w:bookmarkStart w:id="579" w:name="Tc_yT75xgY7rEuN8RKvqutniA_1_9"/>
      <w:bookmarkStart w:id="580" w:name="Tc_wQje_2AJmEaJmeGINvls6w_1_0"/>
      <w:bookmarkStart w:id="581" w:name="_3b158986_fb88_4315_b556_d79744c04962"/>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r>
        <w:rPr>
          <w:rFonts w:ascii="Times New Roman;Times;serif" w:hAnsi="Times New Roman;Times;serif"/>
          <w:i/>
          <w:sz w:val="20"/>
        </w:rPr>
        <w:t>Measurement of Segment Results</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Our CODM, who is our Chief Executive Officer, evaluates each segment’s performance and allocates resources based on segment EBIT, which is defined as earnings before interest and taxes. EBIT is a non-GAAP financial measure and is reconciled to consolidated earnings before income taxes below for continuing operations. Intersegment sales and transfers are not significant. Segment assets consist primarily of customer receivables, inventories, capitalized software and fixed assets directly associated with the production processes of the segment. Segment depreciation and amortization is based upon the direct assets listed above. Corporate assets consist primarily of acquired intangible assets including goodwill, deferred taxes and cash balances. The tables below are presented on the basis of continuing operations and exclude discontinued operations.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769"/>
        <w:gridCol w:w="346"/>
        <w:gridCol w:w="211"/>
        <w:gridCol w:w="781"/>
        <w:gridCol w:w="346"/>
        <w:gridCol w:w="781"/>
        <w:gridCol w:w="346"/>
        <w:gridCol w:w="781"/>
        <w:gridCol w:w="346"/>
        <w:gridCol w:w="211"/>
        <w:gridCol w:w="931"/>
        <w:gridCol w:w="356"/>
      </w:tblGrid>
      <w:tr>
        <w:trPr/>
        <w:tc>
          <w:tcPr>
            <w:tcW w:w="47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3028315" cy="175260"/>
                      <wp:effectExtent l="0" t="0" r="0" b="0"/>
                      <wp:wrapNone/>
                      <wp:docPr id="71" name="Frame71"/>
                      <a:graphic xmlns:a="http://schemas.openxmlformats.org/drawingml/2006/main">
                        <a:graphicData uri="http://schemas.microsoft.com/office/word/2010/wordprocessingShape">
                          <wps:wsp>
                            <wps:cNvSpPr txBox="1"/>
                            <wps:spPr>
                              <a:xfrm>
                                <a:off x="0" y="0"/>
                                <a:ext cx="3028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2"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73"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95935" cy="175260"/>
                      <wp:effectExtent l="0" t="0" r="0" b="0"/>
                      <wp:wrapNone/>
                      <wp:docPr id="74" name="Frame7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75"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95935" cy="175260"/>
                      <wp:effectExtent l="0" t="0" r="0" b="0"/>
                      <wp:wrapNone/>
                      <wp:docPr id="76" name="Frame7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7"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95935" cy="175260"/>
                      <wp:effectExtent l="0" t="0" r="0" b="0"/>
                      <wp:wrapNone/>
                      <wp:docPr id="78" name="Frame7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9710" cy="175260"/>
                      <wp:effectExtent l="0" t="0" r="0" b="0"/>
                      <wp:wrapNone/>
                      <wp:docPr id="79" name="Frame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3985" cy="175260"/>
                      <wp:effectExtent l="0" t="0" r="0" b="0"/>
                      <wp:wrapNone/>
                      <wp:docPr id="80" name="Frame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591185" cy="175260"/>
                      <wp:effectExtent l="0" t="0" r="0" b="0"/>
                      <wp:wrapNone/>
                      <wp:docPr id="81" name="Frame8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26060" cy="175260"/>
                      <wp:effectExtent l="0" t="0" r="0" b="0"/>
                      <wp:wrapNone/>
                      <wp:docPr id="82" name="Frame82"/>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b/>
                <w:i/>
                <w:sz w:val="16"/>
              </w:rPr>
            </w:pPr>
            <w:r>
              <w:rPr>
                <w:rFonts w:ascii="Times New Roman;Times;serif" w:hAnsi="Times New Roman;Times;serif"/>
                <w:b/>
                <w:i/>
                <w:sz w:val="16"/>
              </w:rPr>
              <w:t>Three Months Ended June 30, 2026</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w:t>
            </w:r>
          </w:p>
        </w:tc>
        <w:tc>
          <w:tcPr>
            <w:tcW w:w="356" w:type="dxa"/>
            <w:tcBorders/>
            <w:vAlign w:val="center"/>
          </w:tcPr>
          <w:p>
            <w:pPr>
              <w:pStyle w:val="TableContents"/>
              <w:bidi w:val="0"/>
              <w:spacing w:before="0" w:after="0"/>
              <w:ind w:left="0" w:right="0" w:hanging="0"/>
              <w:jc w:val="center"/>
              <w:rPr/>
            </w:pPr>
            <w:r>
              <w:rPr/>
              <w:t> </w:t>
            </w:r>
          </w:p>
        </w:tc>
      </w:tr>
      <w:tr>
        <w:trPr/>
        <w:tc>
          <w:tcPr>
            <w:tcW w:w="476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i/>
                <w:sz w:val="16"/>
              </w:rPr>
            </w:pPr>
            <w:r>
              <w:rPr>
                <w:rFonts w:ascii="Times New Roman;Times;serif" w:hAnsi="Times New Roman;Times;serif"/>
                <w:b/>
                <w:i/>
                <w:sz w:val="16"/>
              </w:rPr>
              <w:t>(In thousands)</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A&amp;D</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USG</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Test</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56" w:type="dxa"/>
            <w:tcBorders/>
            <w:vAlign w:val="center"/>
          </w:tcPr>
          <w:p>
            <w:pPr>
              <w:pStyle w:val="TableContents"/>
              <w:bidi w:val="0"/>
              <w:spacing w:before="0" w:after="0"/>
              <w:ind w:left="0" w:right="0" w:hanging="0"/>
              <w:jc w:val="center"/>
              <w:rPr/>
            </w:pPr>
            <w:r>
              <w:rPr/>
              <w:t> </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168,202</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99,963</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70,862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339,027</w:t>
            </w:r>
          </w:p>
        </w:tc>
        <w:tc>
          <w:tcPr>
            <w:tcW w:w="356" w:type="dxa"/>
            <w:tcBorders/>
            <w:shd w:fill="CCEEFF" w:val="clear"/>
            <w:vAlign w:val="center"/>
          </w:tcPr>
          <w:p>
            <w:pPr>
              <w:pStyle w:val="TableContents"/>
              <w:bidi w:val="0"/>
              <w:spacing w:before="0" w:after="0"/>
              <w:ind w:left="0" w:right="0" w:hanging="0"/>
              <w:jc w:val="left"/>
              <w:rPr/>
            </w:pPr>
            <w:r>
              <w:rPr/>
              <w:t>​</w:t>
            </w:r>
          </w:p>
        </w:tc>
      </w:tr>
      <w:tr>
        <w:trPr/>
        <w:tc>
          <w:tcPr>
            <w:tcW w:w="47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left"/>
              <w:rPr/>
            </w:pPr>
            <w:r>
              <w:rPr/>
              <w:t>​</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100,724</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48,267</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48,518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56" w:type="dxa"/>
            <w:tcBorders/>
            <w:shd w:fill="CCEEFF" w:val="clear"/>
            <w:vAlign w:val="center"/>
          </w:tcPr>
          <w:p>
            <w:pPr>
              <w:pStyle w:val="TableContents"/>
              <w:bidi w:val="0"/>
              <w:spacing w:before="0" w:after="0"/>
              <w:ind w:left="0" w:right="0" w:hanging="0"/>
              <w:jc w:val="left"/>
              <w:rPr/>
            </w:pPr>
            <w:r>
              <w:rPr/>
              <w:t>​</w: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SG&amp;A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16,694</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27,668</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10,116</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left"/>
              <w:rPr/>
            </w:pPr>
            <w:r>
              <w:rPr/>
              <w:t>​</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1,983</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56" w:type="dxa"/>
            <w:tcBorders/>
            <w:shd w:fill="CCEEFF" w:val="clear"/>
            <w:vAlign w:val="center"/>
          </w:tcPr>
          <w:p>
            <w:pPr>
              <w:pStyle w:val="TableContents"/>
              <w:bidi w:val="0"/>
              <w:spacing w:before="0" w:after="0"/>
              <w:ind w:left="0" w:right="0" w:hanging="0"/>
              <w:jc w:val="left"/>
              <w:rPr/>
            </w:pPr>
            <w:r>
              <w:rPr/>
              <w:t>​</w: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expenses,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843</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left"/>
              <w:rPr/>
            </w:pPr>
            <w:r>
              <w:rPr/>
              <w:t>​</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50,418</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21,983</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10,882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83,283</w:t>
            </w:r>
          </w:p>
        </w:tc>
        <w:tc>
          <w:tcPr>
            <w:tcW w:w="356" w:type="dxa"/>
            <w:tcBorders/>
            <w:shd w:fill="CCEEFF" w:val="clear"/>
            <w:vAlign w:val="center"/>
          </w:tcPr>
          <w:p>
            <w:pPr>
              <w:pStyle w:val="TableContents"/>
              <w:bidi w:val="0"/>
              <w:spacing w:before="0" w:after="0"/>
              <w:ind w:left="0" w:right="0" w:hanging="0"/>
              <w:jc w:val="left"/>
              <w:rPr/>
            </w:pPr>
            <w:r>
              <w:rPr/>
              <w:t>​</w:t>
            </w:r>
          </w:p>
        </w:tc>
      </w:tr>
      <w:tr>
        <w:trPr/>
        <w:tc>
          <w:tcPr>
            <w:tcW w:w="47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56" w:type="dxa"/>
            <w:tcBorders/>
            <w:vAlign w:val="center"/>
          </w:tcPr>
          <w:p>
            <w:pPr>
              <w:pStyle w:val="TableContents"/>
              <w:bidi w:val="0"/>
              <w:spacing w:before="0" w:after="0"/>
              <w:ind w:left="0" w:right="0" w:hanging="0"/>
              <w:jc w:val="left"/>
              <w:rPr/>
            </w:pPr>
            <w:r>
              <w:rPr/>
              <w:t>​</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3,456</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4,082</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8,971</w:t>
            </w:r>
          </w:p>
        </w:tc>
        <w:tc>
          <w:tcPr>
            <w:tcW w:w="356" w:type="dxa"/>
            <w:tcBorders/>
            <w:shd w:fill="CCEEFF" w:val="clear"/>
            <w:vAlign w:val="center"/>
          </w:tcPr>
          <w:p>
            <w:pPr>
              <w:pStyle w:val="TableContents"/>
              <w:bidi w:val="0"/>
              <w:spacing w:before="0" w:after="0"/>
              <w:ind w:left="0" w:right="0" w:hanging="0"/>
              <w:jc w:val="left"/>
              <w:rPr/>
            </w:pPr>
            <w:r>
              <w:rPr/>
              <w:t>​</w: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445,178</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285,583</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200,907</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931,668</w:t>
            </w:r>
          </w:p>
        </w:tc>
        <w:tc>
          <w:tcPr>
            <w:tcW w:w="356" w:type="dxa"/>
            <w:tcBorders/>
            <w:vAlign w:val="center"/>
          </w:tcPr>
          <w:p>
            <w:pPr>
              <w:pStyle w:val="TableContents"/>
              <w:bidi w:val="0"/>
              <w:spacing w:before="0" w:after="0"/>
              <w:ind w:left="0" w:right="0" w:hanging="0"/>
              <w:jc w:val="left"/>
              <w:rPr/>
            </w:pPr>
            <w:r>
              <w:rPr/>
              <w:t>​</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8,943</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1,767</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11,372</w:t>
            </w:r>
          </w:p>
        </w:tc>
        <w:tc>
          <w:tcPr>
            <w:tcW w:w="356" w:type="dxa"/>
            <w:tcBorders/>
            <w:shd w:fill="CCEEFF" w:val="clear"/>
            <w:vAlign w:val="center"/>
          </w:tcPr>
          <w:p>
            <w:pPr>
              <w:pStyle w:val="TableContents"/>
              <w:bidi w:val="0"/>
              <w:spacing w:before="0" w:after="0"/>
              <w:ind w:left="0" w:right="0" w:hanging="0"/>
              <w:jc w:val="left"/>
              <w:rPr/>
            </w:pPr>
            <w:r>
              <w:rPr/>
              <w:t>​</w:t>
            </w:r>
          </w:p>
        </w:tc>
      </w:tr>
      <w:tr>
        <w:trPr/>
        <w:tc>
          <w:tcPr>
            <w:tcW w:w="47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left"/>
              <w:rPr/>
            </w:pPr>
            <w:r>
              <w:rPr/>
              <w:t>​</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of segment profit to Earnings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56" w:type="dxa"/>
            <w:tcBorders/>
            <w:shd w:fill="CCEEFF" w:val="clear"/>
            <w:vAlign w:val="center"/>
          </w:tcPr>
          <w:p>
            <w:pPr>
              <w:pStyle w:val="TableContents"/>
              <w:bidi w:val="0"/>
              <w:spacing w:before="0" w:after="0"/>
              <w:ind w:left="0" w:right="0" w:hanging="0"/>
              <w:jc w:val="left"/>
              <w:rPr/>
            </w:pPr>
            <w:r>
              <w:rPr/>
              <w:t>​</w:t>
            </w:r>
          </w:p>
        </w:tc>
      </w:tr>
      <w:tr>
        <w:trPr/>
        <w:tc>
          <w:tcPr>
            <w:tcW w:w="47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left"/>
              <w:rPr/>
            </w:pPr>
            <w:r>
              <w:rPr/>
              <w:t>​</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profit total from above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83,283</w:t>
            </w:r>
          </w:p>
        </w:tc>
        <w:tc>
          <w:tcPr>
            <w:tcW w:w="356" w:type="dxa"/>
            <w:tcBorders/>
            <w:shd w:fill="CCEEFF" w:val="clear"/>
            <w:vAlign w:val="center"/>
          </w:tcPr>
          <w:p>
            <w:pPr>
              <w:pStyle w:val="TableContents"/>
              <w:bidi w:val="0"/>
              <w:spacing w:before="0" w:after="0"/>
              <w:ind w:left="0" w:right="0" w:hanging="0"/>
              <w:jc w:val="left"/>
              <w:rPr/>
            </w:pPr>
            <w:r>
              <w:rPr/>
              <w:t>​</w: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left"/>
              <w:rPr/>
            </w:pPr>
            <w:r>
              <w:rPr/>
              <w:t>​</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Unallocated Corporate SG&amp;A and Other expenses,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(15,907)</w:t>
            </w:r>
          </w:p>
        </w:tc>
        <w:tc>
          <w:tcPr>
            <w:tcW w:w="356" w:type="dxa"/>
            <w:tcBorders/>
            <w:shd w:fill="CCEEFF" w:val="clear"/>
            <w:vAlign w:val="center"/>
          </w:tcPr>
          <w:p>
            <w:pPr>
              <w:pStyle w:val="TableContents"/>
              <w:bidi w:val="0"/>
              <w:spacing w:before="0" w:after="0"/>
              <w:ind w:left="0" w:right="0" w:hanging="0"/>
              <w:jc w:val="left"/>
              <w:rPr/>
            </w:pPr>
            <w:r>
              <w:rPr/>
              <w:t>​</w: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Unallocated amortization of intangible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(17,709)</w:t>
            </w:r>
          </w:p>
        </w:tc>
        <w:tc>
          <w:tcPr>
            <w:tcW w:w="356" w:type="dxa"/>
            <w:tcBorders/>
            <w:vAlign w:val="center"/>
          </w:tcPr>
          <w:p>
            <w:pPr>
              <w:pStyle w:val="TableContents"/>
              <w:bidi w:val="0"/>
              <w:spacing w:before="0" w:after="0"/>
              <w:ind w:left="0" w:right="0" w:hanging="0"/>
              <w:jc w:val="left"/>
              <w:rPr/>
            </w:pPr>
            <w:r>
              <w:rPr/>
              <w:t>​</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(8,713)</w:t>
            </w:r>
          </w:p>
        </w:tc>
        <w:tc>
          <w:tcPr>
            <w:tcW w:w="356" w:type="dxa"/>
            <w:tcBorders/>
            <w:shd w:fill="CCEEFF" w:val="clear"/>
            <w:vAlign w:val="center"/>
          </w:tcPr>
          <w:p>
            <w:pPr>
              <w:pStyle w:val="TableContents"/>
              <w:bidi w:val="0"/>
              <w:spacing w:before="0" w:after="0"/>
              <w:ind w:left="0" w:right="0" w:hanging="0"/>
              <w:jc w:val="left"/>
              <w:rPr/>
            </w:pPr>
            <w:r>
              <w:rPr/>
              <w:t>​</w: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before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40,954</w:t>
            </w:r>
          </w:p>
        </w:tc>
        <w:tc>
          <w:tcPr>
            <w:tcW w:w="356" w:type="dxa"/>
            <w:tcBorders/>
            <w:vAlign w:val="center"/>
          </w:tcPr>
          <w:p>
            <w:pPr>
              <w:pStyle w:val="TableContents"/>
              <w:bidi w:val="0"/>
              <w:spacing w:before="0" w:after="0"/>
              <w:ind w:left="0" w:right="0" w:hanging="0"/>
              <w:jc w:val="left"/>
              <w:rPr/>
            </w:pPr>
            <w:r>
              <w:rPr/>
              <w:t>​</w:t>
            </w:r>
          </w:p>
        </w:tc>
      </w:tr>
      <w:tr>
        <w:trPr/>
        <w:tc>
          <w:tcPr>
            <w:tcW w:w="476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56" w:type="dxa"/>
            <w:tcBorders/>
            <w:shd w:fill="CCEEFF" w:val="clear"/>
            <w:vAlign w:val="center"/>
          </w:tcPr>
          <w:p>
            <w:pPr>
              <w:pStyle w:val="TableContents"/>
              <w:bidi w:val="0"/>
              <w:spacing w:before="0" w:after="0"/>
              <w:ind w:left="0" w:right="0" w:hanging="0"/>
              <w:jc w:val="left"/>
              <w:rPr/>
            </w:pPr>
            <w:r>
              <w:rPr/>
              <w:t>​</w: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of segment depreciation and amortization to consolidated totals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left"/>
              <w:rPr/>
            </w:pPr>
            <w:r>
              <w:rPr/>
              <w:t>​</w:t>
            </w:r>
          </w:p>
        </w:tc>
      </w:tr>
      <w:tr>
        <w:trPr/>
        <w:tc>
          <w:tcPr>
            <w:tcW w:w="476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56" w:type="dxa"/>
            <w:tcBorders/>
            <w:shd w:fill="CCEEFF" w:val="clear"/>
            <w:vAlign w:val="center"/>
          </w:tcPr>
          <w:p>
            <w:pPr>
              <w:pStyle w:val="TableContents"/>
              <w:bidi w:val="0"/>
              <w:spacing w:before="0" w:after="0"/>
              <w:ind w:left="0" w:right="0" w:hanging="0"/>
              <w:jc w:val="left"/>
              <w:rPr/>
            </w:pPr>
            <w:r>
              <w:rPr/>
              <w:t>​</w: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8,971</w:t>
            </w:r>
          </w:p>
        </w:tc>
        <w:tc>
          <w:tcPr>
            <w:tcW w:w="356" w:type="dxa"/>
            <w:tcBorders/>
            <w:vAlign w:val="center"/>
          </w:tcPr>
          <w:p>
            <w:pPr>
              <w:pStyle w:val="TableContents"/>
              <w:bidi w:val="0"/>
              <w:spacing w:before="0" w:after="0"/>
              <w:ind w:left="0" w:right="0" w:hanging="0"/>
              <w:jc w:val="left"/>
              <w:rPr/>
            </w:pPr>
            <w:r>
              <w:rPr/>
              <w:t>​</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Corporate 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17,772</w:t>
            </w:r>
          </w:p>
        </w:tc>
        <w:tc>
          <w:tcPr>
            <w:tcW w:w="356" w:type="dxa"/>
            <w:tcBorders/>
            <w:shd w:fill="CCEEFF" w:val="clear"/>
            <w:vAlign w:val="center"/>
          </w:tcPr>
          <w:p>
            <w:pPr>
              <w:pStyle w:val="TableContents"/>
              <w:bidi w:val="0"/>
              <w:spacing w:before="0" w:after="0"/>
              <w:ind w:left="0" w:right="0" w:hanging="0"/>
              <w:jc w:val="left"/>
              <w:rPr/>
            </w:pPr>
            <w:r>
              <w:rPr/>
              <w:t>​</w: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 totals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26,743</w:t>
            </w:r>
          </w:p>
        </w:tc>
        <w:tc>
          <w:tcPr>
            <w:tcW w:w="356" w:type="dxa"/>
            <w:tcBorders/>
            <w:vAlign w:val="center"/>
          </w:tcPr>
          <w:p>
            <w:pPr>
              <w:pStyle w:val="TableContents"/>
              <w:bidi w:val="0"/>
              <w:spacing w:before="0" w:after="0"/>
              <w:ind w:left="0" w:right="0" w:hanging="0"/>
              <w:jc w:val="left"/>
              <w:rPr/>
            </w:pPr>
            <w:r>
              <w:rPr/>
              <w:t>​</w:t>
            </w:r>
          </w:p>
        </w:tc>
      </w:tr>
      <w:tr>
        <w:trPr/>
        <w:tc>
          <w:tcPr>
            <w:tcW w:w="476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56" w:type="dxa"/>
            <w:tcBorders/>
            <w:shd w:fill="CCEEFF" w:val="clear"/>
            <w:vAlign w:val="center"/>
          </w:tcPr>
          <w:p>
            <w:pPr>
              <w:pStyle w:val="TableContents"/>
              <w:bidi w:val="0"/>
              <w:spacing w:before="0" w:after="0"/>
              <w:ind w:left="0" w:right="0" w:hanging="0"/>
              <w:jc w:val="left"/>
              <w:rPr/>
            </w:pPr>
            <w:r>
              <w:rPr/>
              <w:t>​</w: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of segment assets to consolidated totals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left"/>
              <w:rPr/>
            </w:pPr>
            <w:r>
              <w:rPr/>
              <w:t>​</w:t>
            </w:r>
          </w:p>
        </w:tc>
      </w:tr>
      <w:tr>
        <w:trPr/>
        <w:tc>
          <w:tcPr>
            <w:tcW w:w="476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56" w:type="dxa"/>
            <w:tcBorders/>
            <w:shd w:fill="CCEEFF" w:val="clear"/>
            <w:vAlign w:val="center"/>
          </w:tcPr>
          <w:p>
            <w:pPr>
              <w:pStyle w:val="TableContents"/>
              <w:bidi w:val="0"/>
              <w:spacing w:before="0" w:after="0"/>
              <w:ind w:left="0" w:right="0" w:hanging="0"/>
              <w:jc w:val="left"/>
              <w:rPr/>
            </w:pPr>
            <w:r>
              <w:rPr/>
              <w:t>​</w: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Assets total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931,668</w:t>
            </w:r>
          </w:p>
        </w:tc>
        <w:tc>
          <w:tcPr>
            <w:tcW w:w="356" w:type="dxa"/>
            <w:tcBorders/>
            <w:vAlign w:val="center"/>
          </w:tcPr>
          <w:p>
            <w:pPr>
              <w:pStyle w:val="TableContents"/>
              <w:bidi w:val="0"/>
              <w:spacing w:before="0" w:after="0"/>
              <w:ind w:left="0" w:right="0" w:hanging="0"/>
              <w:jc w:val="left"/>
              <w:rPr/>
            </w:pPr>
            <w:r>
              <w:rPr/>
              <w:t>​</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56" w:type="dxa"/>
            <w:tcBorders/>
            <w:shd w:fill="CCEEFF" w:val="clear"/>
            <w:vAlign w:val="center"/>
          </w:tcPr>
          <w:p>
            <w:pPr>
              <w:pStyle w:val="TableContents"/>
              <w:bidi w:val="0"/>
              <w:spacing w:before="0" w:after="0"/>
              <w:ind w:left="0" w:right="0" w:hanging="0"/>
              <w:jc w:val="left"/>
              <w:rPr/>
            </w:pPr>
            <w:r>
              <w:rPr/>
              <w:t>​</w: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not allocated to segments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760,275</w:t>
            </w:r>
          </w:p>
        </w:tc>
        <w:tc>
          <w:tcPr>
            <w:tcW w:w="356" w:type="dxa"/>
            <w:tcBorders/>
            <w:vAlign w:val="center"/>
          </w:tcPr>
          <w:p>
            <w:pPr>
              <w:pStyle w:val="TableContents"/>
              <w:bidi w:val="0"/>
              <w:spacing w:before="0" w:after="0"/>
              <w:ind w:left="0" w:right="0" w:hanging="0"/>
              <w:jc w:val="left"/>
              <w:rPr/>
            </w:pPr>
            <w:r>
              <w:rPr/>
              <w:t>​</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Acquired intangible assets not allocated to segments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621,272</w:t>
            </w:r>
          </w:p>
        </w:tc>
        <w:tc>
          <w:tcPr>
            <w:tcW w:w="3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unallocated amounts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106,788</w:t>
            </w:r>
          </w:p>
        </w:tc>
        <w:tc>
          <w:tcPr>
            <w:tcW w:w="356" w:type="dxa"/>
            <w:tcBorders/>
            <w:vAlign w:val="center"/>
          </w:tcPr>
          <w:p>
            <w:pPr>
              <w:pStyle w:val="TableContents"/>
              <w:bidi w:val="0"/>
              <w:spacing w:before="0" w:after="0"/>
              <w:ind w:left="0" w:right="0" w:hanging="0"/>
              <w:jc w:val="left"/>
              <w:rPr/>
            </w:pPr>
            <w:r>
              <w:rPr/>
              <w:t>​</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 totals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2,420,003</w:t>
            </w:r>
          </w:p>
        </w:tc>
        <w:tc>
          <w:tcPr>
            <w:tcW w:w="356" w:type="dxa"/>
            <w:tcBorders/>
            <w:shd w:fill="CCEEFF" w:val="clear"/>
            <w:vAlign w:val="center"/>
          </w:tcPr>
          <w:p>
            <w:pPr>
              <w:pStyle w:val="TableContents"/>
              <w:bidi w:val="0"/>
              <w:spacing w:before="0" w:after="0"/>
              <w:ind w:left="0" w:right="0" w:hanging="0"/>
              <w:jc w:val="left"/>
              <w:rPr/>
            </w:pPr>
            <w:r>
              <w:rPr/>
              <w:t>​</w:t>
            </w:r>
          </w:p>
        </w:tc>
      </w:tr>
    </w:tbl>
    <w:tbl>
      <w:tblPr>
        <w:tblW w:w="8387" w:type="dxa"/>
        <w:jc w:val="left"/>
        <w:tblInd w:w="0" w:type="dxa"/>
        <w:tblLayout w:type="fixed"/>
        <w:tblCellMar>
          <w:top w:w="0" w:type="dxa"/>
          <w:left w:w="0" w:type="dxa"/>
          <w:bottom w:w="0" w:type="dxa"/>
          <w:right w:w="0" w:type="dxa"/>
        </w:tblCellMar>
      </w:tblPr>
      <w:tblGrid>
        <w:gridCol w:w="346"/>
        <w:gridCol w:w="804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customer relationships, trade names and other intangible assets. See Note 5 for details.</w:t>
            </w:r>
          </w:p>
        </w:tc>
      </w:tr>
    </w:tbl>
    <w:p>
      <w:pPr>
        <w:pStyle w:val="TextBody"/>
        <w:bidi w:val="0"/>
        <w:spacing w:before="0" w:after="0"/>
        <w:ind w:left="0" w:right="0" w:hanging="0"/>
        <w:jc w:val="left"/>
        <w:rPr/>
      </w:pPr>
      <w:r>
        <w:rPr/>
        <w:t>​</w:t>
      </w:r>
    </w:p>
    <w:tbl>
      <w:tblPr>
        <w:tblW w:w="7111" w:type="dxa"/>
        <w:jc w:val="left"/>
        <w:tblInd w:w="0" w:type="dxa"/>
        <w:tblLayout w:type="fixed"/>
        <w:tblCellMar>
          <w:top w:w="0" w:type="dxa"/>
          <w:left w:w="0" w:type="dxa"/>
          <w:bottom w:w="0" w:type="dxa"/>
          <w:right w:w="0" w:type="dxa"/>
        </w:tblCellMar>
      </w:tblPr>
      <w:tblGrid>
        <w:gridCol w:w="5761"/>
        <w:gridCol w:w="346"/>
        <w:gridCol w:w="211"/>
        <w:gridCol w:w="793"/>
      </w:tblGrid>
      <w:tr>
        <w:trPr/>
        <w:tc>
          <w:tcPr>
            <w:tcW w:w="5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3658235" cy="175260"/>
                      <wp:effectExtent l="0" t="0" r="0" b="0"/>
                      <wp:wrapNone/>
                      <wp:docPr id="83" name="Frame83"/>
                      <a:graphic xmlns:a="http://schemas.openxmlformats.org/drawingml/2006/main">
                        <a:graphicData uri="http://schemas.microsoft.com/office/word/2010/wordprocessingShape">
                          <wps:wsp>
                            <wps:cNvSpPr txBox="1"/>
                            <wps:spPr>
                              <a:xfrm>
                                <a:off x="0" y="0"/>
                                <a:ext cx="3658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84"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33985" cy="175260"/>
                      <wp:effectExtent l="0" t="0" r="0" b="0"/>
                      <wp:wrapNone/>
                      <wp:docPr id="85" name="Frame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03555" cy="175260"/>
                      <wp:effectExtent l="0" t="0" r="0" b="0"/>
                      <wp:wrapNone/>
                      <wp:docPr id="86" name="Frame86"/>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of segment capital expenditures to consolidated totals</w:t>
            </w:r>
          </w:p>
        </w:tc>
        <w:tc>
          <w:tcPr>
            <w:tcW w:w="346" w:type="dxa"/>
            <w:tcBorders/>
            <w:shd w:fill="CCEEFF" w:val="clear"/>
            <w:vAlign w:val="center"/>
          </w:tcPr>
          <w:p>
            <w:pPr>
              <w:pStyle w:val="TableContents"/>
              <w:bidi w:val="0"/>
              <w:spacing w:before="0" w:after="0"/>
              <w:ind w:left="0" w:right="0" w:hanging="0"/>
              <w:jc w:val="center"/>
              <w:rPr/>
            </w:pPr>
            <w:r>
              <w:rPr/>
              <w:t>  ​ ​ ​</w:t>
            </w:r>
          </w:p>
        </w:tc>
        <w:tc>
          <w:tcPr>
            <w:tcW w:w="211" w:type="dxa"/>
            <w:tcBorders/>
            <w:shd w:fill="CCEEFF" w:val="clear"/>
            <w:vAlign w:val="center"/>
          </w:tcPr>
          <w:p>
            <w:pPr>
              <w:pStyle w:val="TableContents"/>
              <w:bidi w:val="0"/>
              <w:spacing w:before="0" w:after="0"/>
              <w:ind w:left="0" w:right="0" w:hanging="0"/>
              <w:jc w:val="center"/>
              <w:rPr/>
            </w:pPr>
            <w:r>
              <w:rPr/>
              <w:t>​</w:t>
            </w:r>
          </w:p>
        </w:tc>
        <w:tc>
          <w:tcPr>
            <w:tcW w:w="793" w:type="dxa"/>
            <w:tcBorders/>
            <w:shd w:fill="CCEEFF" w:val="clear"/>
            <w:vAlign w:val="center"/>
          </w:tcPr>
          <w:p>
            <w:pPr>
              <w:pStyle w:val="TableContents"/>
              <w:bidi w:val="0"/>
              <w:spacing w:before="0" w:after="0"/>
              <w:ind w:left="0" w:right="0" w:hanging="0"/>
              <w:jc w:val="center"/>
              <w:rPr/>
            </w:pPr>
            <w:r>
              <w:rPr/>
              <w:t>​</w:t>
            </w:r>
          </w:p>
        </w:tc>
      </w:tr>
      <w:tr>
        <w:trPr/>
        <w:tc>
          <w:tcPr>
            <w:tcW w:w="57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r>
      <w:tr>
        <w:trPr/>
        <w:tc>
          <w:tcPr>
            <w:tcW w:w="5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11,372</w:t>
            </w:r>
          </w:p>
        </w:tc>
      </w:tr>
      <w:tr>
        <w:trPr/>
        <w:tc>
          <w:tcPr>
            <w:tcW w:w="5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Corporate Capital Expenditures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5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 totals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11,427</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Normal"/>
        <w:bidi w:val="0"/>
        <w:spacing w:before="0" w:after="0"/>
        <w:ind w:left="600" w:right="600" w:hanging="0"/>
        <w:jc w:val="left"/>
        <w:rPr>
          <w:sz w:val="4"/>
          <w:szCs w:val="4"/>
        </w:rPr>
      </w:pPr>
      <w:r>
        <w:rPr>
          <w:sz w:val="4"/>
          <w:szCs w:val="4"/>
        </w:rPr>
      </w:r>
      <w:bookmarkStart w:id="582" w:name="Tc_MFk55HQ_fEmjl2bwOa6RGQ_5_2"/>
      <w:bookmarkStart w:id="583" w:name="Tc_JU-j2faSAkmuX6dqxI9Qbw_5_0"/>
      <w:bookmarkStart w:id="584" w:name="Tc_KH51tuckCkqrxJcLrNaKow_4_0"/>
      <w:bookmarkStart w:id="585" w:name="Tc_AW6fRWmpzkSWGw4niD3zRA_3_2"/>
      <w:bookmarkStart w:id="586" w:name="Tc_nW_MkJw880m957Q128LNJA_3_0"/>
      <w:bookmarkStart w:id="587" w:name="Tc_7jEGFfK87km8bBjCWkMQlg_1_0"/>
      <w:bookmarkStart w:id="588" w:name="_282b82d2_f376_4955_ba85_f42938a219ee"/>
      <w:bookmarkStart w:id="589" w:name="Tc_0UiTdPJHHUScT0bRYQLeLg_36_9"/>
      <w:bookmarkStart w:id="590" w:name="Tc_Cax3hEH850i6_JONQSZ5Jg_36_0"/>
      <w:bookmarkStart w:id="591" w:name="Tc_mNgLxzv2ikecZB3vwXtdMA_35_0"/>
      <w:bookmarkStart w:id="592" w:name="Tc_aVoSpG7OZUO8rLkL-YFM-w_34_11"/>
      <w:bookmarkStart w:id="593" w:name="Tc_HOYdu0_JdUGBpgZRKjRFPA_34_0"/>
      <w:bookmarkStart w:id="594" w:name="Tc_46LfRA3rTE-3zeNbueSMrQ_33_0"/>
      <w:bookmarkStart w:id="595" w:name="Tc_9kZwLBBeV0uv70agO_a5dQ_32_0"/>
      <w:bookmarkStart w:id="596" w:name="Tc_UyhW3cXom0GFWUv89830EA_31_9"/>
      <w:bookmarkStart w:id="597" w:name="Tc_i5ZlE84K1UKnyFz5yvJOhA_31_0"/>
      <w:bookmarkStart w:id="598" w:name="Tc_y0ffrqRl9UazOSJKOqPgPA_29_0"/>
      <w:bookmarkStart w:id="599" w:name="Tc_y751F9CVyU-IYK_0QHhxyg_27_9"/>
      <w:bookmarkStart w:id="600" w:name="Tc_rJ9CClj7vEuoJ7SHRyKWew_27_0"/>
      <w:bookmarkStart w:id="601" w:name="Tc_i2Y3xuszz0OiPA-LsXZUxA_26_0"/>
      <w:bookmarkStart w:id="602" w:name="Tc_mi3SKxthT0urbDiG2ugGlA_25_9"/>
      <w:bookmarkStart w:id="603" w:name="Tc_28aQJKlOREueU6bW-C7wOA_25_0"/>
      <w:bookmarkStart w:id="604" w:name="Tc_w2CV2_MPXUeFlMPdE-wHUQ_23_0"/>
      <w:bookmarkStart w:id="605" w:name="Tc_YsF4_GoPYEWkXR3w31G-rA_21_9"/>
      <w:bookmarkStart w:id="606" w:name="Tc_i1z5QN7vFU2lX0B09DMaWQ_21_0"/>
      <w:bookmarkStart w:id="607" w:name="Tc_gQv8ILgvFEa0XI4MDjzQsQ_20_0"/>
      <w:bookmarkStart w:id="608" w:name="Tc_wMemdADmPESK4cTuIjRVYg_19_0"/>
      <w:bookmarkStart w:id="609" w:name="Tc_E3-KKuqrg0SB8zBs7pzktg_18_0"/>
      <w:bookmarkStart w:id="610" w:name="Tc_mzBywhuejUCIRlTWNQfrjw_17_0"/>
      <w:bookmarkStart w:id="611" w:name="Tc_9m9_be_JaEGnK9Ha7GMlLw_16_9"/>
      <w:bookmarkStart w:id="612" w:name="Tc_nSXubXMHKkiYftotl810dw_16_0"/>
      <w:bookmarkStart w:id="613" w:name="Tc_5ibPj8OlCkScemZ4CkFrhA_14_0"/>
      <w:bookmarkStart w:id="614" w:name="Tc_m4-1ivZi6EaFsMVNdiFvjg_12_2"/>
      <w:bookmarkStart w:id="615" w:name="Tc_VZPX1yigikSOTsmln2gD7w_12_0"/>
      <w:bookmarkStart w:id="616" w:name="Tc_bKWRmRFcp0ScjHaZEyvfxg_11_2"/>
      <w:bookmarkStart w:id="617" w:name="Tc_T6fFq40VlkeennyCGusQbQ_11_0"/>
      <w:bookmarkStart w:id="618" w:name="Tc_38PscP6jWUyoLIITaVJnoA_10_2"/>
      <w:bookmarkStart w:id="619" w:name="Tc_UUeINcTHhU6LL4vhCRpHzw_10_0"/>
      <w:bookmarkStart w:id="620" w:name="Tc_RhE7Ar5m90WJITFOh1Fw8w_8_2"/>
      <w:bookmarkStart w:id="621" w:name="Tc_04VyRdFAgE-IdVDOQfC93w_8_0"/>
      <w:bookmarkStart w:id="622" w:name="Tc_V8hRxYOHUEGUl8HA3-qyZA_7_0"/>
      <w:bookmarkStart w:id="623" w:name="Tc_8iejtABK5UOv6sI2KJB44A_6_0"/>
      <w:bookmarkStart w:id="624" w:name="Tc_bpAwKG9XEESFyJx4rKlyyw_5_0"/>
      <w:bookmarkStart w:id="625" w:name="Tc_RU9wXYn0T02mfTVxBJe4zQ_4_0"/>
      <w:bookmarkStart w:id="626" w:name="Tc_TKWXflzjmka_ropHwkBrRg_3_2"/>
      <w:bookmarkStart w:id="627" w:name="Tc_VAdVfyDrPE6xvO-9QK1Etw_3_0"/>
      <w:bookmarkStart w:id="628" w:name="Tc_sB5HOnoiHEeb-XSWQdOTHg_2_9"/>
      <w:bookmarkStart w:id="629" w:name="Tc__TqB5ab4EE2Ea2t-HIfVfQ_2_7"/>
      <w:bookmarkStart w:id="630" w:name="Tc_BotNb6P-xkC-tHfUkxTLUA_2_5"/>
      <w:bookmarkStart w:id="631" w:name="Tc_-d36dGi-nUq-LUrRNiGZ7A_2_2"/>
      <w:bookmarkStart w:id="632" w:name="Tc_tGn9BNI9BU2F7rgK2pIlTg_2_0"/>
      <w:bookmarkStart w:id="633" w:name="Tc_RQ1ds7Tdn0OwLt9Bwpl57Q_1_9"/>
      <w:bookmarkStart w:id="634" w:name="Tc_mSX4gvaJBkaMOm4vdxFuSQ_1_0"/>
      <w:bookmarkStart w:id="635" w:name="_8288af49_6055_4058_a446_5ea9fc9dded4"/>
      <w:bookmarkStart w:id="636" w:name="Tc_MFk55HQ_fEmjl2bwOa6RGQ_5_2"/>
      <w:bookmarkStart w:id="637" w:name="Tc_JU-j2faSAkmuX6dqxI9Qbw_5_0"/>
      <w:bookmarkStart w:id="638" w:name="Tc_KH51tuckCkqrxJcLrNaKow_4_0"/>
      <w:bookmarkStart w:id="639" w:name="Tc_AW6fRWmpzkSWGw4niD3zRA_3_2"/>
      <w:bookmarkStart w:id="640" w:name="Tc_nW_MkJw880m957Q128LNJA_3_0"/>
      <w:bookmarkStart w:id="641" w:name="Tc_7jEGFfK87km8bBjCWkMQlg_1_0"/>
      <w:bookmarkStart w:id="642" w:name="_282b82d2_f376_4955_ba85_f42938a219ee"/>
      <w:bookmarkStart w:id="643" w:name="Tc_0UiTdPJHHUScT0bRYQLeLg_36_9"/>
      <w:bookmarkStart w:id="644" w:name="Tc_Cax3hEH850i6_JONQSZ5Jg_36_0"/>
      <w:bookmarkStart w:id="645" w:name="Tc_mNgLxzv2ikecZB3vwXtdMA_35_0"/>
      <w:bookmarkStart w:id="646" w:name="Tc_aVoSpG7OZUO8rLkL-YFM-w_34_11"/>
      <w:bookmarkStart w:id="647" w:name="Tc_HOYdu0_JdUGBpgZRKjRFPA_34_0"/>
      <w:bookmarkStart w:id="648" w:name="Tc_46LfRA3rTE-3zeNbueSMrQ_33_0"/>
      <w:bookmarkStart w:id="649" w:name="Tc_9kZwLBBeV0uv70agO_a5dQ_32_0"/>
      <w:bookmarkStart w:id="650" w:name="Tc_UyhW3cXom0GFWUv89830EA_31_9"/>
      <w:bookmarkStart w:id="651" w:name="Tc_i5ZlE84K1UKnyFz5yvJOhA_31_0"/>
      <w:bookmarkStart w:id="652" w:name="Tc_y0ffrqRl9UazOSJKOqPgPA_29_0"/>
      <w:bookmarkStart w:id="653" w:name="Tc_y751F9CVyU-IYK_0QHhxyg_27_9"/>
      <w:bookmarkStart w:id="654" w:name="Tc_rJ9CClj7vEuoJ7SHRyKWew_27_0"/>
      <w:bookmarkStart w:id="655" w:name="Tc_i2Y3xuszz0OiPA-LsXZUxA_26_0"/>
      <w:bookmarkStart w:id="656" w:name="Tc_mi3SKxthT0urbDiG2ugGlA_25_9"/>
      <w:bookmarkStart w:id="657" w:name="Tc_28aQJKlOREueU6bW-C7wOA_25_0"/>
      <w:bookmarkStart w:id="658" w:name="Tc_w2CV2_MPXUeFlMPdE-wHUQ_23_0"/>
      <w:bookmarkStart w:id="659" w:name="Tc_YsF4_GoPYEWkXR3w31G-rA_21_9"/>
      <w:bookmarkStart w:id="660" w:name="Tc_i1z5QN7vFU2lX0B09DMaWQ_21_0"/>
      <w:bookmarkStart w:id="661" w:name="Tc_gQv8ILgvFEa0XI4MDjzQsQ_20_0"/>
      <w:bookmarkStart w:id="662" w:name="Tc_wMemdADmPESK4cTuIjRVYg_19_0"/>
      <w:bookmarkStart w:id="663" w:name="Tc_E3-KKuqrg0SB8zBs7pzktg_18_0"/>
      <w:bookmarkStart w:id="664" w:name="Tc_mzBywhuejUCIRlTWNQfrjw_17_0"/>
      <w:bookmarkStart w:id="665" w:name="Tc_9m9_be_JaEGnK9Ha7GMlLw_16_9"/>
      <w:bookmarkStart w:id="666" w:name="Tc_nSXubXMHKkiYftotl810dw_16_0"/>
      <w:bookmarkStart w:id="667" w:name="Tc_5ibPj8OlCkScemZ4CkFrhA_14_0"/>
      <w:bookmarkStart w:id="668" w:name="Tc_m4-1ivZi6EaFsMVNdiFvjg_12_2"/>
      <w:bookmarkStart w:id="669" w:name="Tc_VZPX1yigikSOTsmln2gD7w_12_0"/>
      <w:bookmarkStart w:id="670" w:name="Tc_bKWRmRFcp0ScjHaZEyvfxg_11_2"/>
      <w:bookmarkStart w:id="671" w:name="Tc_T6fFq40VlkeennyCGusQbQ_11_0"/>
      <w:bookmarkStart w:id="672" w:name="Tc_38PscP6jWUyoLIITaVJnoA_10_2"/>
      <w:bookmarkStart w:id="673" w:name="Tc_UUeINcTHhU6LL4vhCRpHzw_10_0"/>
      <w:bookmarkStart w:id="674" w:name="Tc_RhE7Ar5m90WJITFOh1Fw8w_8_2"/>
      <w:bookmarkStart w:id="675" w:name="Tc_04VyRdFAgE-IdVDOQfC93w_8_0"/>
      <w:bookmarkStart w:id="676" w:name="Tc_V8hRxYOHUEGUl8HA3-qyZA_7_0"/>
      <w:bookmarkStart w:id="677" w:name="Tc_8iejtABK5UOv6sI2KJB44A_6_0"/>
      <w:bookmarkStart w:id="678" w:name="Tc_bpAwKG9XEESFyJx4rKlyyw_5_0"/>
      <w:bookmarkStart w:id="679" w:name="Tc_RU9wXYn0T02mfTVxBJe4zQ_4_0"/>
      <w:bookmarkStart w:id="680" w:name="Tc_TKWXflzjmka_ropHwkBrRg_3_2"/>
      <w:bookmarkStart w:id="681" w:name="Tc_VAdVfyDrPE6xvO-9QK1Etw_3_0"/>
      <w:bookmarkStart w:id="682" w:name="Tc_sB5HOnoiHEeb-XSWQdOTHg_2_9"/>
      <w:bookmarkStart w:id="683" w:name="Tc__TqB5ab4EE2Ea2t-HIfVfQ_2_7"/>
      <w:bookmarkStart w:id="684" w:name="Tc_BotNb6P-xkC-tHfUkxTLUA_2_5"/>
      <w:bookmarkStart w:id="685" w:name="Tc_-d36dGi-nUq-LUrRNiGZ7A_2_2"/>
      <w:bookmarkStart w:id="686" w:name="Tc_tGn9BNI9BU2F7rgK2pIlTg_2_0"/>
      <w:bookmarkStart w:id="687" w:name="Tc_RQ1ds7Tdn0OwLt9Bwpl57Q_1_9"/>
      <w:bookmarkStart w:id="688" w:name="Tc_mSX4gvaJBkaMOm4vdxFuSQ_1_0"/>
      <w:bookmarkStart w:id="689" w:name="_8288af49_6055_4058_a446_5ea9fc9dded4"/>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p>
    <w:tbl>
      <w:tblPr>
        <w:tblW w:w="10205" w:type="dxa"/>
        <w:jc w:val="left"/>
        <w:tblInd w:w="0" w:type="dxa"/>
        <w:tblLayout w:type="fixed"/>
        <w:tblCellMar>
          <w:top w:w="0" w:type="dxa"/>
          <w:left w:w="0" w:type="dxa"/>
          <w:bottom w:w="0" w:type="dxa"/>
          <w:right w:w="0" w:type="dxa"/>
        </w:tblCellMar>
      </w:tblPr>
      <w:tblGrid>
        <w:gridCol w:w="4769"/>
        <w:gridCol w:w="346"/>
        <w:gridCol w:w="211"/>
        <w:gridCol w:w="781"/>
        <w:gridCol w:w="346"/>
        <w:gridCol w:w="781"/>
        <w:gridCol w:w="346"/>
        <w:gridCol w:w="781"/>
        <w:gridCol w:w="346"/>
        <w:gridCol w:w="211"/>
        <w:gridCol w:w="931"/>
        <w:gridCol w:w="356"/>
      </w:tblGrid>
      <w:tr>
        <w:trPr/>
        <w:tc>
          <w:tcPr>
            <w:tcW w:w="47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3028315" cy="175260"/>
                      <wp:effectExtent l="0" t="0" r="0" b="0"/>
                      <wp:wrapNone/>
                      <wp:docPr id="87" name="Frame87"/>
                      <a:graphic xmlns:a="http://schemas.openxmlformats.org/drawingml/2006/main">
                        <a:graphicData uri="http://schemas.microsoft.com/office/word/2010/wordprocessingShape">
                          <wps:wsp>
                            <wps:cNvSpPr txBox="1"/>
                            <wps:spPr>
                              <a:xfrm>
                                <a:off x="0" y="0"/>
                                <a:ext cx="3028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8"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9"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495935" cy="175260"/>
                      <wp:effectExtent l="0" t="0" r="0" b="0"/>
                      <wp:wrapNone/>
                      <wp:docPr id="90" name="Frame9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91"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95935" cy="175260"/>
                      <wp:effectExtent l="0" t="0" r="0" b="0"/>
                      <wp:wrapNone/>
                      <wp:docPr id="92" name="Frame9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19710" cy="175260"/>
                      <wp:effectExtent l="0" t="0" r="0" b="0"/>
                      <wp:wrapNone/>
                      <wp:docPr id="93"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95935" cy="175260"/>
                      <wp:effectExtent l="0" t="0" r="0" b="0"/>
                      <wp:wrapNone/>
                      <wp:docPr id="94" name="Frame9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19710" cy="175260"/>
                      <wp:effectExtent l="0" t="0" r="0" b="0"/>
                      <wp:wrapNone/>
                      <wp:docPr id="95"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6" name="Frame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91185" cy="175260"/>
                      <wp:effectExtent l="0" t="0" r="0" b="0"/>
                      <wp:wrapNone/>
                      <wp:docPr id="97" name="Frame9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26060" cy="175260"/>
                      <wp:effectExtent l="0" t="0" r="0" b="0"/>
                      <wp:wrapNone/>
                      <wp:docPr id="98" name="Frame98"/>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b/>
                <w:i/>
                <w:sz w:val="16"/>
              </w:rPr>
            </w:pPr>
            <w:r>
              <w:rPr>
                <w:rFonts w:ascii="Times New Roman;Times;serif" w:hAnsi="Times New Roman;Times;serif"/>
                <w:b/>
                <w:i/>
                <w:sz w:val="16"/>
              </w:rPr>
              <w:t>Nine Months Ended June 30, 2026</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w:t>
            </w:r>
          </w:p>
        </w:tc>
        <w:tc>
          <w:tcPr>
            <w:tcW w:w="356" w:type="dxa"/>
            <w:tcBorders/>
            <w:vAlign w:val="center"/>
          </w:tcPr>
          <w:p>
            <w:pPr>
              <w:pStyle w:val="TableContents"/>
              <w:bidi w:val="0"/>
              <w:spacing w:before="0" w:after="0"/>
              <w:ind w:left="0" w:right="0" w:hanging="0"/>
              <w:jc w:val="center"/>
              <w:rPr/>
            </w:pPr>
            <w:r>
              <w:rPr/>
              <w:t> </w:t>
            </w:r>
          </w:p>
        </w:tc>
      </w:tr>
      <w:tr>
        <w:trPr/>
        <w:tc>
          <w:tcPr>
            <w:tcW w:w="4769"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i/>
                <w:sz w:val="16"/>
              </w:rPr>
            </w:pPr>
            <w:r>
              <w:rPr>
                <w:rFonts w:ascii="Times New Roman;Times;serif" w:hAnsi="Times New Roman;Times;serif"/>
                <w:b/>
                <w:i/>
                <w:sz w:val="16"/>
              </w:rPr>
              <w:t>(In thousands)</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A&amp;D</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USG</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Test</w:t>
            </w:r>
          </w:p>
        </w:tc>
        <w:tc>
          <w:tcPr>
            <w:tcW w:w="346" w:type="dxa"/>
            <w:tcBorders/>
            <w:vAlign w:val="center"/>
          </w:tcPr>
          <w:p>
            <w:pPr>
              <w:pStyle w:val="TableContents"/>
              <w:bidi w:val="0"/>
              <w:spacing w:before="0" w:after="0"/>
              <w:ind w:left="0" w:right="0" w:hanging="0"/>
              <w:jc w:val="center"/>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56" w:type="dxa"/>
            <w:tcBorders/>
            <w:vAlign w:val="center"/>
          </w:tcPr>
          <w:p>
            <w:pPr>
              <w:pStyle w:val="TableContents"/>
              <w:bidi w:val="0"/>
              <w:spacing w:before="0" w:after="0"/>
              <w:ind w:left="0" w:right="0" w:hanging="0"/>
              <w:jc w:val="center"/>
              <w:rPr/>
            </w:pPr>
            <w:r>
              <w:rPr/>
              <w:t> </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462,341</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280,976</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194,710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938,027</w:t>
            </w:r>
          </w:p>
        </w:tc>
        <w:tc>
          <w:tcPr>
            <w:tcW w:w="356" w:type="dxa"/>
            <w:tcBorders/>
            <w:shd w:fill="CCEEFF" w:val="clear"/>
            <w:vAlign w:val="center"/>
          </w:tcPr>
          <w:p>
            <w:pPr>
              <w:pStyle w:val="TableContents"/>
              <w:bidi w:val="0"/>
              <w:spacing w:before="0" w:after="0"/>
              <w:ind w:left="0" w:right="0" w:hanging="0"/>
              <w:jc w:val="left"/>
              <w:rPr/>
            </w:pPr>
            <w:r>
              <w:rPr/>
              <w:t>​</w: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280,995</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131,540</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132,739</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left"/>
              <w:rPr/>
            </w:pPr>
            <w:r>
              <w:rPr/>
              <w:t>​</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SG&amp;A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49,203</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78,582</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56" w:type="dxa"/>
            <w:tcBorders/>
            <w:shd w:fill="CCEEFF" w:val="clear"/>
            <w:vAlign w:val="center"/>
          </w:tcPr>
          <w:p>
            <w:pPr>
              <w:pStyle w:val="TableContents"/>
              <w:bidi w:val="0"/>
              <w:spacing w:before="0" w:after="0"/>
              <w:ind w:left="0" w:right="0" w:hanging="0"/>
              <w:jc w:val="left"/>
              <w:rPr/>
            </w:pPr>
            <w:r>
              <w:rPr/>
              <w:t>​</w: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6,061</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1,525</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left"/>
              <w:rPr/>
            </w:pPr>
            <w:r>
              <w:rPr/>
              <w:t>​</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56" w:type="dxa"/>
            <w:tcBorders/>
            <w:shd w:fill="CCEEFF" w:val="clear"/>
            <w:vAlign w:val="center"/>
          </w:tcPr>
          <w:p>
            <w:pPr>
              <w:pStyle w:val="TableContents"/>
              <w:bidi w:val="0"/>
              <w:spacing w:before="0" w:after="0"/>
              <w:ind w:left="0" w:right="0" w:hanging="0"/>
              <w:jc w:val="left"/>
              <w:rPr/>
            </w:pPr>
            <w:r>
              <w:rPr/>
              <w:t>​</w: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profit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131,372</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63,998</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27,697</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223,067</w:t>
            </w:r>
          </w:p>
        </w:tc>
        <w:tc>
          <w:tcPr>
            <w:tcW w:w="356" w:type="dxa"/>
            <w:tcBorders/>
            <w:vAlign w:val="center"/>
          </w:tcPr>
          <w:p>
            <w:pPr>
              <w:pStyle w:val="TableContents"/>
              <w:bidi w:val="0"/>
              <w:spacing w:before="0" w:after="0"/>
              <w:ind w:left="0" w:right="0" w:hanging="0"/>
              <w:jc w:val="left"/>
              <w:rPr/>
            </w:pPr>
            <w:r>
              <w:rPr/>
              <w:t>​</w:t>
            </w:r>
          </w:p>
        </w:tc>
      </w:tr>
      <w:tr>
        <w:trPr/>
        <w:tc>
          <w:tcPr>
            <w:tcW w:w="476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56" w:type="dxa"/>
            <w:tcBorders/>
            <w:shd w:fill="CCEEFF" w:val="clear"/>
            <w:vAlign w:val="center"/>
          </w:tcPr>
          <w:p>
            <w:pPr>
              <w:pStyle w:val="TableContents"/>
              <w:bidi w:val="0"/>
              <w:spacing w:before="0" w:after="0"/>
              <w:ind w:left="0" w:right="0" w:hanging="0"/>
              <w:jc w:val="left"/>
              <w:rPr/>
            </w:pPr>
            <w:r>
              <w:rPr/>
              <w:t>​</w: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10,203</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12,288</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4,354</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26,845</w:t>
            </w:r>
          </w:p>
        </w:tc>
        <w:tc>
          <w:tcPr>
            <w:tcW w:w="356" w:type="dxa"/>
            <w:tcBorders/>
            <w:vAlign w:val="center"/>
          </w:tcPr>
          <w:p>
            <w:pPr>
              <w:pStyle w:val="TableContents"/>
              <w:bidi w:val="0"/>
              <w:spacing w:before="0" w:after="0"/>
              <w:ind w:left="0" w:right="0" w:hanging="0"/>
              <w:jc w:val="left"/>
              <w:rPr/>
            </w:pPr>
            <w:r>
              <w:rPr/>
              <w:t>​</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445,178</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285,583</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200,907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931,668</w:t>
            </w:r>
          </w:p>
        </w:tc>
        <w:tc>
          <w:tcPr>
            <w:tcW w:w="356" w:type="dxa"/>
            <w:tcBorders/>
            <w:shd w:fill="CCEEFF" w:val="clear"/>
            <w:vAlign w:val="center"/>
          </w:tcPr>
          <w:p>
            <w:pPr>
              <w:pStyle w:val="TableContents"/>
              <w:bidi w:val="0"/>
              <w:spacing w:before="0" w:after="0"/>
              <w:ind w:left="0" w:right="0" w:hanging="0"/>
              <w:jc w:val="left"/>
              <w:rPr/>
            </w:pPr>
            <w:r>
              <w:rPr/>
              <w:t>​</w: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18,397</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4,399</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1,653</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24,449</w:t>
            </w:r>
          </w:p>
        </w:tc>
        <w:tc>
          <w:tcPr>
            <w:tcW w:w="356" w:type="dxa"/>
            <w:tcBorders/>
            <w:vAlign w:val="center"/>
          </w:tcPr>
          <w:p>
            <w:pPr>
              <w:pStyle w:val="TableContents"/>
              <w:bidi w:val="0"/>
              <w:spacing w:before="0" w:after="0"/>
              <w:ind w:left="0" w:right="0" w:hanging="0"/>
              <w:jc w:val="left"/>
              <w:rPr/>
            </w:pPr>
            <w:r>
              <w:rPr/>
              <w:t>​</w:t>
            </w:r>
          </w:p>
        </w:tc>
      </w:tr>
      <w:tr>
        <w:trPr/>
        <w:tc>
          <w:tcPr>
            <w:tcW w:w="476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56" w:type="dxa"/>
            <w:tcBorders/>
            <w:shd w:fill="CCEEFF" w:val="clear"/>
            <w:vAlign w:val="center"/>
          </w:tcPr>
          <w:p>
            <w:pPr>
              <w:pStyle w:val="TableContents"/>
              <w:bidi w:val="0"/>
              <w:spacing w:before="0" w:after="0"/>
              <w:ind w:left="0" w:right="0" w:hanging="0"/>
              <w:jc w:val="left"/>
              <w:rPr/>
            </w:pPr>
            <w:r>
              <w:rPr/>
              <w:t>​</w: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of segment profit to Earnings before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left"/>
              <w:rPr/>
            </w:pPr>
            <w:r>
              <w:rPr/>
              <w:t>​</w:t>
            </w:r>
          </w:p>
        </w:tc>
      </w:tr>
      <w:tr>
        <w:trPr/>
        <w:tc>
          <w:tcPr>
            <w:tcW w:w="476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56" w:type="dxa"/>
            <w:tcBorders/>
            <w:shd w:fill="CCEEFF" w:val="clear"/>
            <w:vAlign w:val="center"/>
          </w:tcPr>
          <w:p>
            <w:pPr>
              <w:pStyle w:val="TableContents"/>
              <w:bidi w:val="0"/>
              <w:spacing w:before="0" w:after="0"/>
              <w:ind w:left="0" w:right="0" w:hanging="0"/>
              <w:jc w:val="left"/>
              <w:rPr/>
            </w:pPr>
            <w:r>
              <w:rPr/>
              <w:t>​</w: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profit total from above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223,067</w:t>
            </w:r>
          </w:p>
        </w:tc>
        <w:tc>
          <w:tcPr>
            <w:tcW w:w="356" w:type="dxa"/>
            <w:tcBorders/>
            <w:vAlign w:val="center"/>
          </w:tcPr>
          <w:p>
            <w:pPr>
              <w:pStyle w:val="TableContents"/>
              <w:bidi w:val="0"/>
              <w:spacing w:before="0" w:after="0"/>
              <w:ind w:left="0" w:right="0" w:hanging="0"/>
              <w:jc w:val="left"/>
              <w:rPr/>
            </w:pPr>
            <w:r>
              <w:rPr/>
              <w:t>​</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56" w:type="dxa"/>
            <w:tcBorders/>
            <w:shd w:fill="CCEEFF" w:val="clear"/>
            <w:vAlign w:val="center"/>
          </w:tcPr>
          <w:p>
            <w:pPr>
              <w:pStyle w:val="TableContents"/>
              <w:bidi w:val="0"/>
              <w:spacing w:before="0" w:after="0"/>
              <w:ind w:left="0" w:right="0" w:hanging="0"/>
              <w:jc w:val="left"/>
              <w:rPr/>
            </w:pPr>
            <w:r>
              <w:rPr/>
              <w:t>​</w: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Unallocated Corporate SG&amp;A and Other expenses,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(35,742)</w:t>
            </w:r>
          </w:p>
        </w:tc>
        <w:tc>
          <w:tcPr>
            <w:tcW w:w="356" w:type="dxa"/>
            <w:tcBorders/>
            <w:vAlign w:val="center"/>
          </w:tcPr>
          <w:p>
            <w:pPr>
              <w:pStyle w:val="TableContents"/>
              <w:bidi w:val="0"/>
              <w:spacing w:before="0" w:after="0"/>
              <w:ind w:left="0" w:right="0" w:hanging="0"/>
              <w:jc w:val="left"/>
              <w:rPr/>
            </w:pPr>
            <w:r>
              <w:rPr/>
              <w:t>​</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Unallocated amortization of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(53,037)</w:t>
            </w:r>
          </w:p>
        </w:tc>
        <w:tc>
          <w:tcPr>
            <w:tcW w:w="356" w:type="dxa"/>
            <w:tcBorders/>
            <w:shd w:fill="CCEEFF" w:val="clear"/>
            <w:vAlign w:val="center"/>
          </w:tcPr>
          <w:p>
            <w:pPr>
              <w:pStyle w:val="TableContents"/>
              <w:bidi w:val="0"/>
              <w:spacing w:before="0" w:after="0"/>
              <w:ind w:left="0" w:right="0" w:hanging="0"/>
              <w:jc w:val="left"/>
              <w:rPr/>
            </w:pPr>
            <w:r>
              <w:rPr/>
              <w:t>​</w: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(13,992)</w:t>
            </w:r>
          </w:p>
        </w:tc>
        <w:tc>
          <w:tcPr>
            <w:tcW w:w="356" w:type="dxa"/>
            <w:tcBorders/>
            <w:vAlign w:val="center"/>
          </w:tcPr>
          <w:p>
            <w:pPr>
              <w:pStyle w:val="TableContents"/>
              <w:bidi w:val="0"/>
              <w:spacing w:before="0" w:after="0"/>
              <w:ind w:left="0" w:right="0" w:hanging="0"/>
              <w:jc w:val="left"/>
              <w:rPr/>
            </w:pPr>
            <w:r>
              <w:rPr/>
              <w:t>​</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120,296</w:t>
            </w:r>
          </w:p>
        </w:tc>
        <w:tc>
          <w:tcPr>
            <w:tcW w:w="356" w:type="dxa"/>
            <w:tcBorders/>
            <w:shd w:fill="CCEEFF" w:val="clear"/>
            <w:vAlign w:val="center"/>
          </w:tcPr>
          <w:p>
            <w:pPr>
              <w:pStyle w:val="TableContents"/>
              <w:bidi w:val="0"/>
              <w:spacing w:before="0" w:after="0"/>
              <w:ind w:left="0" w:right="0" w:hanging="0"/>
              <w:jc w:val="left"/>
              <w:rPr/>
            </w:pPr>
            <w:r>
              <w:rPr/>
              <w:t>​</w:t>
            </w:r>
          </w:p>
        </w:tc>
      </w:tr>
      <w:tr>
        <w:trPr/>
        <w:tc>
          <w:tcPr>
            <w:tcW w:w="47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left"/>
              <w:rPr/>
            </w:pPr>
            <w:r>
              <w:rPr/>
              <w:t>​</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of segment depreciation and amortization to consolidated totals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56" w:type="dxa"/>
            <w:tcBorders/>
            <w:shd w:fill="CCEEFF" w:val="clear"/>
            <w:vAlign w:val="center"/>
          </w:tcPr>
          <w:p>
            <w:pPr>
              <w:pStyle w:val="TableContents"/>
              <w:bidi w:val="0"/>
              <w:spacing w:before="0" w:after="0"/>
              <w:ind w:left="0" w:right="0" w:hanging="0"/>
              <w:jc w:val="left"/>
              <w:rPr/>
            </w:pPr>
            <w:r>
              <w:rPr/>
              <w:t>​</w:t>
            </w:r>
          </w:p>
        </w:tc>
      </w:tr>
      <w:tr>
        <w:trPr/>
        <w:tc>
          <w:tcPr>
            <w:tcW w:w="47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left"/>
              <w:rPr/>
            </w:pPr>
            <w:r>
              <w:rPr/>
              <w:t>​</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26,845</w:t>
            </w:r>
          </w:p>
        </w:tc>
        <w:tc>
          <w:tcPr>
            <w:tcW w:w="356" w:type="dxa"/>
            <w:tcBorders/>
            <w:shd w:fill="CCEEFF" w:val="clear"/>
            <w:vAlign w:val="center"/>
          </w:tcPr>
          <w:p>
            <w:pPr>
              <w:pStyle w:val="TableContents"/>
              <w:bidi w:val="0"/>
              <w:spacing w:before="0" w:after="0"/>
              <w:ind w:left="0" w:right="0" w:hanging="0"/>
              <w:jc w:val="left"/>
              <w:rPr/>
            </w:pPr>
            <w:r>
              <w:rPr/>
              <w:t>​</w: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Corporate 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53,228</w:t>
            </w:r>
          </w:p>
        </w:tc>
        <w:tc>
          <w:tcPr>
            <w:tcW w:w="356" w:type="dxa"/>
            <w:tcBorders/>
            <w:vAlign w:val="center"/>
          </w:tcPr>
          <w:p>
            <w:pPr>
              <w:pStyle w:val="TableContents"/>
              <w:bidi w:val="0"/>
              <w:spacing w:before="0" w:after="0"/>
              <w:ind w:left="0" w:right="0" w:hanging="0"/>
              <w:jc w:val="left"/>
              <w:rPr/>
            </w:pPr>
            <w:r>
              <w:rPr/>
              <w:t>​</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 totals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80,073</w:t>
            </w:r>
          </w:p>
        </w:tc>
        <w:tc>
          <w:tcPr>
            <w:tcW w:w="356" w:type="dxa"/>
            <w:tcBorders/>
            <w:shd w:fill="CCEEFF" w:val="clear"/>
            <w:vAlign w:val="center"/>
          </w:tcPr>
          <w:p>
            <w:pPr>
              <w:pStyle w:val="TableContents"/>
              <w:bidi w:val="0"/>
              <w:spacing w:before="0" w:after="0"/>
              <w:ind w:left="0" w:right="0" w:hanging="0"/>
              <w:jc w:val="left"/>
              <w:rPr/>
            </w:pPr>
            <w:r>
              <w:rPr/>
              <w:t>​</w:t>
            </w:r>
          </w:p>
        </w:tc>
      </w:tr>
      <w:tr>
        <w:trPr/>
        <w:tc>
          <w:tcPr>
            <w:tcW w:w="47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left"/>
              <w:rPr/>
            </w:pPr>
            <w:r>
              <w:rPr/>
              <w:t>​</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of segment assets to consolidated totals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56" w:type="dxa"/>
            <w:tcBorders/>
            <w:shd w:fill="CCEEFF" w:val="clear"/>
            <w:vAlign w:val="center"/>
          </w:tcPr>
          <w:p>
            <w:pPr>
              <w:pStyle w:val="TableContents"/>
              <w:bidi w:val="0"/>
              <w:spacing w:before="0" w:after="0"/>
              <w:ind w:left="0" w:right="0" w:hanging="0"/>
              <w:jc w:val="left"/>
              <w:rPr/>
            </w:pPr>
            <w:r>
              <w:rPr/>
              <w:t>​</w:t>
            </w:r>
          </w:p>
        </w:tc>
      </w:tr>
      <w:tr>
        <w:trPr/>
        <w:tc>
          <w:tcPr>
            <w:tcW w:w="476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left"/>
              <w:rPr/>
            </w:pPr>
            <w:r>
              <w:rPr/>
              <w:t>​</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Assets 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931,668</w:t>
            </w:r>
          </w:p>
        </w:tc>
        <w:tc>
          <w:tcPr>
            <w:tcW w:w="356" w:type="dxa"/>
            <w:tcBorders/>
            <w:shd w:fill="CCEEFF" w:val="clear"/>
            <w:vAlign w:val="center"/>
          </w:tcPr>
          <w:p>
            <w:pPr>
              <w:pStyle w:val="TableContents"/>
              <w:bidi w:val="0"/>
              <w:spacing w:before="0" w:after="0"/>
              <w:ind w:left="0" w:right="0" w:hanging="0"/>
              <w:jc w:val="left"/>
              <w:rPr/>
            </w:pPr>
            <w:r>
              <w:rPr/>
              <w:t>​</w: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left"/>
              <w:rPr/>
            </w:pPr>
            <w:r>
              <w:rPr/>
              <w:t>​</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not allocated to segments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760,275</w:t>
            </w:r>
          </w:p>
        </w:tc>
        <w:tc>
          <w:tcPr>
            <w:tcW w:w="356" w:type="dxa"/>
            <w:tcBorders/>
            <w:shd w:fill="CCEEFF" w:val="clear"/>
            <w:vAlign w:val="center"/>
          </w:tcPr>
          <w:p>
            <w:pPr>
              <w:pStyle w:val="TableContents"/>
              <w:bidi w:val="0"/>
              <w:spacing w:before="0" w:after="0"/>
              <w:ind w:left="0" w:right="0" w:hanging="0"/>
              <w:jc w:val="left"/>
              <w:rPr/>
            </w:pPr>
            <w:r>
              <w:rPr/>
              <w:t>​</w: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Acquired intangible assets not allocated to segments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621,272</w:t>
            </w:r>
          </w:p>
        </w:tc>
        <w:tc>
          <w:tcPr>
            <w:tcW w:w="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r>
      <w:tr>
        <w:trPr/>
        <w:tc>
          <w:tcPr>
            <w:tcW w:w="476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unallocated amounts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106,788</w:t>
            </w:r>
          </w:p>
        </w:tc>
        <w:tc>
          <w:tcPr>
            <w:tcW w:w="356" w:type="dxa"/>
            <w:tcBorders/>
            <w:shd w:fill="CCEEFF" w:val="clear"/>
            <w:vAlign w:val="center"/>
          </w:tcPr>
          <w:p>
            <w:pPr>
              <w:pStyle w:val="TableContents"/>
              <w:bidi w:val="0"/>
              <w:spacing w:before="0" w:after="0"/>
              <w:ind w:left="0" w:right="0" w:hanging="0"/>
              <w:jc w:val="left"/>
              <w:rPr/>
            </w:pPr>
            <w:r>
              <w:rPr/>
              <w:t>​</w:t>
            </w:r>
          </w:p>
        </w:tc>
      </w:tr>
      <w:tr>
        <w:trPr/>
        <w:tc>
          <w:tcPr>
            <w:tcW w:w="476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 totals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2,420,003</w:t>
            </w:r>
          </w:p>
        </w:tc>
        <w:tc>
          <w:tcPr>
            <w:tcW w:w="356" w:type="dxa"/>
            <w:tcBorders/>
            <w:vAlign w:val="center"/>
          </w:tcPr>
          <w:p>
            <w:pPr>
              <w:pStyle w:val="TableContents"/>
              <w:bidi w:val="0"/>
              <w:spacing w:before="0" w:after="0"/>
              <w:ind w:left="0" w:right="0" w:hanging="0"/>
              <w:jc w:val="left"/>
              <w:rPr/>
            </w:pPr>
            <w:r>
              <w:rPr/>
              <w:t>​</w:t>
            </w:r>
          </w:p>
        </w:tc>
      </w:tr>
    </w:tbl>
    <w:tbl>
      <w:tblPr>
        <w:tblW w:w="8387" w:type="dxa"/>
        <w:jc w:val="left"/>
        <w:tblInd w:w="0" w:type="dxa"/>
        <w:tblLayout w:type="fixed"/>
        <w:tblCellMar>
          <w:top w:w="0" w:type="dxa"/>
          <w:left w:w="0" w:type="dxa"/>
          <w:bottom w:w="0" w:type="dxa"/>
          <w:right w:w="0" w:type="dxa"/>
        </w:tblCellMar>
      </w:tblPr>
      <w:tblGrid>
        <w:gridCol w:w="346"/>
        <w:gridCol w:w="804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customer relationships, trade names and other intangible assets. See Note 5 for details.</w:t>
            </w:r>
          </w:p>
        </w:tc>
      </w:tr>
    </w:tbl>
    <w:p>
      <w:pPr>
        <w:pStyle w:val="TextBody"/>
        <w:bidi w:val="0"/>
        <w:spacing w:before="0" w:after="0"/>
        <w:ind w:left="0" w:right="0" w:hanging="0"/>
        <w:jc w:val="left"/>
        <w:rPr/>
      </w:pPr>
      <w:r>
        <w:rPr/>
        <w:t>​</w:t>
      </w:r>
    </w:p>
    <w:tbl>
      <w:tblPr>
        <w:tblW w:w="7111" w:type="dxa"/>
        <w:jc w:val="left"/>
        <w:tblInd w:w="0" w:type="dxa"/>
        <w:tblLayout w:type="fixed"/>
        <w:tblCellMar>
          <w:top w:w="0" w:type="dxa"/>
          <w:left w:w="0" w:type="dxa"/>
          <w:bottom w:w="0" w:type="dxa"/>
          <w:right w:w="0" w:type="dxa"/>
        </w:tblCellMar>
      </w:tblPr>
      <w:tblGrid>
        <w:gridCol w:w="5761"/>
        <w:gridCol w:w="346"/>
        <w:gridCol w:w="211"/>
        <w:gridCol w:w="793"/>
      </w:tblGrid>
      <w:tr>
        <w:trPr/>
        <w:tc>
          <w:tcPr>
            <w:tcW w:w="5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3658235" cy="175260"/>
                      <wp:effectExtent l="0" t="0" r="0" b="0"/>
                      <wp:wrapNone/>
                      <wp:docPr id="99" name="Frame99"/>
                      <a:graphic xmlns:a="http://schemas.openxmlformats.org/drawingml/2006/main">
                        <a:graphicData uri="http://schemas.microsoft.com/office/word/2010/wordprocessingShape">
                          <wps:wsp>
                            <wps:cNvSpPr txBox="1"/>
                            <wps:spPr>
                              <a:xfrm>
                                <a:off x="0" y="0"/>
                                <a:ext cx="3658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3985" cy="175260"/>
                      <wp:effectExtent l="0" t="0" r="0" b="0"/>
                      <wp:wrapNone/>
                      <wp:docPr id="101" name="Frame1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503555" cy="175260"/>
                      <wp:effectExtent l="0" t="0" r="0" b="0"/>
                      <wp:wrapNone/>
                      <wp:docPr id="102" name="Frame102"/>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of segment capital expenditures to consolidated totals</w:t>
            </w:r>
          </w:p>
        </w:tc>
        <w:tc>
          <w:tcPr>
            <w:tcW w:w="346" w:type="dxa"/>
            <w:tcBorders/>
            <w:shd w:fill="CCEEFF" w:val="clear"/>
            <w:vAlign w:val="center"/>
          </w:tcPr>
          <w:p>
            <w:pPr>
              <w:pStyle w:val="TableContents"/>
              <w:bidi w:val="0"/>
              <w:spacing w:before="0" w:after="0"/>
              <w:ind w:left="0" w:right="0" w:hanging="0"/>
              <w:jc w:val="center"/>
              <w:rPr/>
            </w:pPr>
            <w:r>
              <w:rPr/>
              <w:t>  ​ ​ ​</w:t>
            </w:r>
          </w:p>
        </w:tc>
        <w:tc>
          <w:tcPr>
            <w:tcW w:w="211" w:type="dxa"/>
            <w:tcBorders/>
            <w:shd w:fill="CCEEFF" w:val="clear"/>
            <w:vAlign w:val="center"/>
          </w:tcPr>
          <w:p>
            <w:pPr>
              <w:pStyle w:val="TableContents"/>
              <w:bidi w:val="0"/>
              <w:spacing w:before="0" w:after="0"/>
              <w:ind w:left="0" w:right="0" w:hanging="0"/>
              <w:jc w:val="center"/>
              <w:rPr/>
            </w:pPr>
            <w:r>
              <w:rPr/>
              <w:t>​</w:t>
            </w:r>
          </w:p>
        </w:tc>
        <w:tc>
          <w:tcPr>
            <w:tcW w:w="793" w:type="dxa"/>
            <w:tcBorders/>
            <w:shd w:fill="CCEEFF" w:val="clear"/>
            <w:vAlign w:val="center"/>
          </w:tcPr>
          <w:p>
            <w:pPr>
              <w:pStyle w:val="TableContents"/>
              <w:bidi w:val="0"/>
              <w:spacing w:before="0" w:after="0"/>
              <w:ind w:left="0" w:right="0" w:hanging="0"/>
              <w:jc w:val="center"/>
              <w:rPr/>
            </w:pPr>
            <w:r>
              <w:rPr/>
              <w:t>​</w:t>
            </w:r>
          </w:p>
        </w:tc>
      </w:tr>
      <w:tr>
        <w:trPr/>
        <w:tc>
          <w:tcPr>
            <w:tcW w:w="57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r>
      <w:tr>
        <w:trPr/>
        <w:tc>
          <w:tcPr>
            <w:tcW w:w="5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24,449</w:t>
            </w:r>
          </w:p>
        </w:tc>
      </w:tr>
      <w:tr>
        <w:trPr/>
        <w:tc>
          <w:tcPr>
            <w:tcW w:w="5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Corporate Capital Expenditures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r>
      <w:tr>
        <w:trPr/>
        <w:tc>
          <w:tcPr>
            <w:tcW w:w="5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 totals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24,560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Normal"/>
        <w:bidi w:val="0"/>
        <w:spacing w:before="0" w:after="0"/>
        <w:ind w:left="600" w:right="600" w:hanging="0"/>
        <w:jc w:val="left"/>
        <w:rPr>
          <w:sz w:val="4"/>
          <w:szCs w:val="4"/>
        </w:rPr>
      </w:pPr>
      <w:r>
        <w:rPr>
          <w:sz w:val="4"/>
          <w:szCs w:val="4"/>
        </w:rPr>
      </w:r>
      <w:bookmarkStart w:id="690" w:name="Tc_POM-4Uk-g0SZuyX1ALn5AQ_5_2"/>
      <w:bookmarkStart w:id="691" w:name="Tc_4Xa8YxR_ukShBwjh7hkEbA_5_0"/>
      <w:bookmarkStart w:id="692" w:name="Tc_SYpHbHreA0iroJo9Tv2baQ_4_0"/>
      <w:bookmarkStart w:id="693" w:name="Tc_Ofp83rkv2ECcGw4bwLInmQ_3_2"/>
      <w:bookmarkStart w:id="694" w:name="Tc_9jA7QR_HXkWuMH44f3BICA_3_0"/>
      <w:bookmarkStart w:id="695" w:name="Tc_LVIgwMuakU6PRnhIwNWJ3Q_1_0"/>
      <w:bookmarkStart w:id="696" w:name="_f94c8a20_89cf_4cff_a7ed_ca1cb614a272"/>
      <w:bookmarkStart w:id="697" w:name="Tc_HX73skHjhk-C92OdiSbk5A_37_9"/>
      <w:bookmarkStart w:id="698" w:name="Tc_Ua48_dh6SEKHqkFcopGPGQ_37_0"/>
      <w:bookmarkStart w:id="699" w:name="Tc_LmVKQplbak6BToBMA_SnOA_36_0"/>
      <w:bookmarkStart w:id="700" w:name="Tc_dlDe4VPpT0yIwzwq5bYC-Q_35_0"/>
      <w:bookmarkStart w:id="701" w:name="Tc_Fa1kkl_KNE6iHpdfpDQI9Q_34_0"/>
      <w:bookmarkStart w:id="702" w:name="Tc_nrKcS12jTEOC7xi3wtZElQ_33_0"/>
      <w:bookmarkStart w:id="703" w:name="Tc_TMDZ_Ahr9Ea9Kgp7IHm3PA_32_9"/>
      <w:bookmarkStart w:id="704" w:name="Tc_-pXSyuo-wUuc_wdtFM5uYQ_32_0"/>
      <w:bookmarkStart w:id="705" w:name="Tc_BYTn0hqiQ0qSi7NQ6fsP9Q_30_0"/>
      <w:bookmarkStart w:id="706" w:name="Tc_sOXIIc1N_E6nxLU1TdeBKw_28_9"/>
      <w:bookmarkStart w:id="707" w:name="Tc_mkmvCosELUKnrl4uodOFzQ_28_0"/>
      <w:bookmarkStart w:id="708" w:name="Tc_E13KCog30UOZBYBO1iL9lQ_27_0"/>
      <w:bookmarkStart w:id="709" w:name="Tc_7xeUyxenKkiF62TOtdt-QQ_26_9"/>
      <w:bookmarkStart w:id="710" w:name="Tc_J6Iri6jAmkSLjoX2h5aFxQ_26_0"/>
      <w:bookmarkStart w:id="711" w:name="Tc_A37uez_LSEe6FxNWL4sJPQ_24_0"/>
      <w:bookmarkStart w:id="712" w:name="Tc_JN3OzIFgnkOR9ur7cTbpSA_22_9"/>
      <w:bookmarkStart w:id="713" w:name="Tc_fxKlySd_vE-DdWuLbxFxoQ_22_0"/>
      <w:bookmarkStart w:id="714" w:name="Tc_9sOjEu7yZUeZizmHjnEl2Q_21_0"/>
      <w:bookmarkStart w:id="715" w:name="Tc_gcvYzsEsP0Gd4tCushQ2bg_20_0"/>
      <w:bookmarkStart w:id="716" w:name="Tc_hK6tv-LXF0OH4KYhsXUG5Q_19_0"/>
      <w:bookmarkStart w:id="717" w:name="Tc_a-zHn-tROUuI1RII_Ic3eg_18_0"/>
      <w:bookmarkStart w:id="718" w:name="Tc_9Txe5RGSBUKwqRd7pKsrPw_17_9"/>
      <w:bookmarkStart w:id="719" w:name="Tc_AiG-1S81Z06dCi0v_7Pe3g_17_0"/>
      <w:bookmarkStart w:id="720" w:name="Tc_NUQuYrGNB0mslxSimUU-GQ_15_0"/>
      <w:bookmarkStart w:id="721" w:name="Tc_tYRm5U1gkEibnrzszzR2QQ_13_2"/>
      <w:bookmarkStart w:id="722" w:name="Tc_eGQq6fdt4EuGwCyOZ1NdOQ_13_0"/>
      <w:bookmarkStart w:id="723" w:name="Tc_0uaLtYvBXEOjknQ6JcxnEQ_12_2"/>
      <w:bookmarkStart w:id="724" w:name="Tc_4KQU5dyRO0ablTjua8gv0Q_12_0"/>
      <w:bookmarkStart w:id="725" w:name="Tc_R-b22OaZpkCsQDRhJbt9hg_11_2"/>
      <w:bookmarkStart w:id="726" w:name="Tc_ZgfKC-Q0T06V4hrJYOA5-A_11_0"/>
      <w:bookmarkStart w:id="727" w:name="Tc_yWhkoyjtH0-Jgq5jJuZ0QA_9_2"/>
      <w:bookmarkStart w:id="728" w:name="Tc_mj3p_0J7PUeZdwf-91ewuw_9_0"/>
      <w:bookmarkStart w:id="729" w:name="Tc_QeRotufuU0iUe4Paxm5HBA_8_0"/>
      <w:bookmarkStart w:id="730" w:name="Tc_CzXWkyVVz0-WjcEJaQxNcA_7_0"/>
      <w:bookmarkStart w:id="731" w:name="Tc_rf6uS24zWU6Xaet7wv2QXQ_6_0"/>
      <w:bookmarkStart w:id="732" w:name="Tc_hrP7ld8sFESu34IOs_tIyw_5_0"/>
      <w:bookmarkStart w:id="733" w:name="Tc_BCIlGt5ehE2T7HkICrMwCw_3_2"/>
      <w:bookmarkStart w:id="734" w:name="Tc_iMG2p0rhr0m20HygCeNqQA_3_0"/>
      <w:bookmarkStart w:id="735" w:name="Tc_3de1VrH6r0-5p5RH1jK2aA_2_9"/>
      <w:bookmarkStart w:id="736" w:name="Tc_cUY8NjXoOkyQgoL3EO8S1w_2_7"/>
      <w:bookmarkStart w:id="737" w:name="Tc_cLDP0rkqm0-uqlJHBLV-tw_2_5"/>
      <w:bookmarkStart w:id="738" w:name="Tc_toobRhuxOEO_04yWbsOIfQ_2_2"/>
      <w:bookmarkStart w:id="739" w:name="Tc_ZnwRK5l4d06mMn8yJ2sElg_2_0"/>
      <w:bookmarkStart w:id="740" w:name="Tc_Hj502hQxEkyzp5ws6ONiDw_1_9"/>
      <w:bookmarkStart w:id="741" w:name="Tc_mFBjdxj6lkSDSNmU9jXndw_1_0"/>
      <w:bookmarkStart w:id="742" w:name="_9d7edc73_727a_46a2_8643_a5bbf46fdb51"/>
      <w:bookmarkStart w:id="743" w:name="Tc_POM-4Uk-g0SZuyX1ALn5AQ_5_2"/>
      <w:bookmarkStart w:id="744" w:name="Tc_4Xa8YxR_ukShBwjh7hkEbA_5_0"/>
      <w:bookmarkStart w:id="745" w:name="Tc_SYpHbHreA0iroJo9Tv2baQ_4_0"/>
      <w:bookmarkStart w:id="746" w:name="Tc_Ofp83rkv2ECcGw4bwLInmQ_3_2"/>
      <w:bookmarkStart w:id="747" w:name="Tc_9jA7QR_HXkWuMH44f3BICA_3_0"/>
      <w:bookmarkStart w:id="748" w:name="Tc_LVIgwMuakU6PRnhIwNWJ3Q_1_0"/>
      <w:bookmarkStart w:id="749" w:name="_f94c8a20_89cf_4cff_a7ed_ca1cb614a272"/>
      <w:bookmarkStart w:id="750" w:name="Tc_HX73skHjhk-C92OdiSbk5A_37_9"/>
      <w:bookmarkStart w:id="751" w:name="Tc_Ua48_dh6SEKHqkFcopGPGQ_37_0"/>
      <w:bookmarkStart w:id="752" w:name="Tc_LmVKQplbak6BToBMA_SnOA_36_0"/>
      <w:bookmarkStart w:id="753" w:name="Tc_dlDe4VPpT0yIwzwq5bYC-Q_35_0"/>
      <w:bookmarkStart w:id="754" w:name="Tc_Fa1kkl_KNE6iHpdfpDQI9Q_34_0"/>
      <w:bookmarkStart w:id="755" w:name="Tc_nrKcS12jTEOC7xi3wtZElQ_33_0"/>
      <w:bookmarkStart w:id="756" w:name="Tc_TMDZ_Ahr9Ea9Kgp7IHm3PA_32_9"/>
      <w:bookmarkStart w:id="757" w:name="Tc_-pXSyuo-wUuc_wdtFM5uYQ_32_0"/>
      <w:bookmarkStart w:id="758" w:name="Tc_BYTn0hqiQ0qSi7NQ6fsP9Q_30_0"/>
      <w:bookmarkStart w:id="759" w:name="Tc_sOXIIc1N_E6nxLU1TdeBKw_28_9"/>
      <w:bookmarkStart w:id="760" w:name="Tc_mkmvCosELUKnrl4uodOFzQ_28_0"/>
      <w:bookmarkStart w:id="761" w:name="Tc_E13KCog30UOZBYBO1iL9lQ_27_0"/>
      <w:bookmarkStart w:id="762" w:name="Tc_7xeUyxenKkiF62TOtdt-QQ_26_9"/>
      <w:bookmarkStart w:id="763" w:name="Tc_J6Iri6jAmkSLjoX2h5aFxQ_26_0"/>
      <w:bookmarkStart w:id="764" w:name="Tc_A37uez_LSEe6FxNWL4sJPQ_24_0"/>
      <w:bookmarkStart w:id="765" w:name="Tc_JN3OzIFgnkOR9ur7cTbpSA_22_9"/>
      <w:bookmarkStart w:id="766" w:name="Tc_fxKlySd_vE-DdWuLbxFxoQ_22_0"/>
      <w:bookmarkStart w:id="767" w:name="Tc_9sOjEu7yZUeZizmHjnEl2Q_21_0"/>
      <w:bookmarkStart w:id="768" w:name="Tc_gcvYzsEsP0Gd4tCushQ2bg_20_0"/>
      <w:bookmarkStart w:id="769" w:name="Tc_hK6tv-LXF0OH4KYhsXUG5Q_19_0"/>
      <w:bookmarkStart w:id="770" w:name="Tc_a-zHn-tROUuI1RII_Ic3eg_18_0"/>
      <w:bookmarkStart w:id="771" w:name="Tc_9Txe5RGSBUKwqRd7pKsrPw_17_9"/>
      <w:bookmarkStart w:id="772" w:name="Tc_AiG-1S81Z06dCi0v_7Pe3g_17_0"/>
      <w:bookmarkStart w:id="773" w:name="Tc_NUQuYrGNB0mslxSimUU-GQ_15_0"/>
      <w:bookmarkStart w:id="774" w:name="Tc_tYRm5U1gkEibnrzszzR2QQ_13_2"/>
      <w:bookmarkStart w:id="775" w:name="Tc_eGQq6fdt4EuGwCyOZ1NdOQ_13_0"/>
      <w:bookmarkStart w:id="776" w:name="Tc_0uaLtYvBXEOjknQ6JcxnEQ_12_2"/>
      <w:bookmarkStart w:id="777" w:name="Tc_4KQU5dyRO0ablTjua8gv0Q_12_0"/>
      <w:bookmarkStart w:id="778" w:name="Tc_R-b22OaZpkCsQDRhJbt9hg_11_2"/>
      <w:bookmarkStart w:id="779" w:name="Tc_ZgfKC-Q0T06V4hrJYOA5-A_11_0"/>
      <w:bookmarkStart w:id="780" w:name="Tc_yWhkoyjtH0-Jgq5jJuZ0QA_9_2"/>
      <w:bookmarkStart w:id="781" w:name="Tc_mj3p_0J7PUeZdwf-91ewuw_9_0"/>
      <w:bookmarkStart w:id="782" w:name="Tc_QeRotufuU0iUe4Paxm5HBA_8_0"/>
      <w:bookmarkStart w:id="783" w:name="Tc_CzXWkyVVz0-WjcEJaQxNcA_7_0"/>
      <w:bookmarkStart w:id="784" w:name="Tc_rf6uS24zWU6Xaet7wv2QXQ_6_0"/>
      <w:bookmarkStart w:id="785" w:name="Tc_hrP7ld8sFESu34IOs_tIyw_5_0"/>
      <w:bookmarkStart w:id="786" w:name="Tc_BCIlGt5ehE2T7HkICrMwCw_3_2"/>
      <w:bookmarkStart w:id="787" w:name="Tc_iMG2p0rhr0m20HygCeNqQA_3_0"/>
      <w:bookmarkStart w:id="788" w:name="Tc_3de1VrH6r0-5p5RH1jK2aA_2_9"/>
      <w:bookmarkStart w:id="789" w:name="Tc_cUY8NjXoOkyQgoL3EO8S1w_2_7"/>
      <w:bookmarkStart w:id="790" w:name="Tc_cLDP0rkqm0-uqlJHBLV-tw_2_5"/>
      <w:bookmarkStart w:id="791" w:name="Tc_toobRhuxOEO_04yWbsOIfQ_2_2"/>
      <w:bookmarkStart w:id="792" w:name="Tc_ZnwRK5l4d06mMn8yJ2sElg_2_0"/>
      <w:bookmarkStart w:id="793" w:name="Tc_Hj502hQxEkyzp5ws6ONiDw_1_9"/>
      <w:bookmarkStart w:id="794" w:name="Tc_mFBjdxj6lkSDSNmU9jXndw_1_0"/>
      <w:bookmarkStart w:id="795" w:name="_9d7edc73_727a_46a2_8643_a5bbf46fdb51"/>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p>
    <w:tbl>
      <w:tblPr>
        <w:tblW w:w="10205" w:type="dxa"/>
        <w:jc w:val="left"/>
        <w:tblInd w:w="0" w:type="dxa"/>
        <w:tblLayout w:type="fixed"/>
        <w:tblCellMar>
          <w:top w:w="0" w:type="dxa"/>
          <w:left w:w="0" w:type="dxa"/>
          <w:bottom w:w="0" w:type="dxa"/>
          <w:right w:w="0" w:type="dxa"/>
        </w:tblCellMar>
      </w:tblPr>
      <w:tblGrid>
        <w:gridCol w:w="5020"/>
        <w:gridCol w:w="346"/>
        <w:gridCol w:w="211"/>
        <w:gridCol w:w="781"/>
        <w:gridCol w:w="346"/>
        <w:gridCol w:w="781"/>
        <w:gridCol w:w="346"/>
        <w:gridCol w:w="781"/>
        <w:gridCol w:w="346"/>
        <w:gridCol w:w="211"/>
        <w:gridCol w:w="1036"/>
      </w:tblGrid>
      <w:tr>
        <w:trPr/>
        <w:tc>
          <w:tcPr>
            <w:tcW w:w="50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3187700" cy="175260"/>
                      <wp:effectExtent l="0" t="0" r="0" b="0"/>
                      <wp:wrapNone/>
                      <wp:docPr id="103" name="Frame103"/>
                      <a:graphic xmlns:a="http://schemas.openxmlformats.org/drawingml/2006/main">
                        <a:graphicData uri="http://schemas.microsoft.com/office/word/2010/wordprocessingShape">
                          <wps:wsp>
                            <wps:cNvSpPr txBox="1"/>
                            <wps:spPr>
                              <a:xfrm>
                                <a:off x="0" y="0"/>
                                <a:ext cx="3187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4"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3985" cy="175260"/>
                      <wp:effectExtent l="0" t="0" r="0" b="0"/>
                      <wp:wrapNone/>
                      <wp:docPr id="105" name="Frame1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495935" cy="175260"/>
                      <wp:effectExtent l="0" t="0" r="0" b="0"/>
                      <wp:wrapNone/>
                      <wp:docPr id="106" name="Frame10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7"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95935" cy="175260"/>
                      <wp:effectExtent l="0" t="0" r="0" b="0"/>
                      <wp:wrapNone/>
                      <wp:docPr id="108" name="Frame10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9"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495935" cy="175260"/>
                      <wp:effectExtent l="0" t="0" r="0" b="0"/>
                      <wp:wrapNone/>
                      <wp:docPr id="110" name="Frame11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19710" cy="175260"/>
                      <wp:effectExtent l="0" t="0" r="0" b="0"/>
                      <wp:wrapNone/>
                      <wp:docPr id="111" name="Frame1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112" name="Frame1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57860" cy="175260"/>
                      <wp:effectExtent l="0" t="0" r="0" b="0"/>
                      <wp:wrapNone/>
                      <wp:docPr id="113" name="Frame11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20" w:type="dxa"/>
            <w:tcBorders/>
            <w:vAlign w:val="center"/>
          </w:tcPr>
          <w:p>
            <w:pPr>
              <w:pStyle w:val="TableContents"/>
              <w:bidi w:val="0"/>
              <w:spacing w:before="0" w:after="0"/>
              <w:ind w:left="0" w:right="0" w:hanging="0"/>
              <w:jc w:val="left"/>
              <w:rPr>
                <w:rFonts w:ascii="Times New Roman;Times;serif" w:hAnsi="Times New Roman;Times;serif"/>
                <w:b/>
                <w:i/>
                <w:sz w:val="16"/>
              </w:rPr>
            </w:pPr>
            <w:r>
              <w:rPr>
                <w:rFonts w:ascii="Times New Roman;Times;serif" w:hAnsi="Times New Roman;Times;serif"/>
                <w:b/>
                <w:i/>
                <w:sz w:val="16"/>
              </w:rPr>
              <w:t>Three Months Ended June 30, 2025</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w:t>
            </w:r>
          </w:p>
        </w:tc>
      </w:tr>
      <w:tr>
        <w:trPr/>
        <w:tc>
          <w:tcPr>
            <w:tcW w:w="50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i/>
                <w:sz w:val="16"/>
              </w:rPr>
            </w:pPr>
            <w:r>
              <w:rPr>
                <w:rFonts w:ascii="Times New Roman;Times;serif" w:hAnsi="Times New Roman;Times;serif"/>
                <w:b/>
                <w:i/>
                <w:sz w:val="16"/>
              </w:rPr>
              <w:t>(In thousands)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A&amp;D</w:t>
            </w:r>
          </w:p>
        </w:tc>
        <w:tc>
          <w:tcPr>
            <w:tcW w:w="346"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USG</w:t>
            </w:r>
          </w:p>
        </w:tc>
        <w:tc>
          <w:tcPr>
            <w:tcW w:w="346"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Test</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0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136,324</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92,357</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67,663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296,344</w:t>
            </w:r>
          </w:p>
        </w:tc>
      </w:tr>
      <w:tr>
        <w:trPr/>
        <w:tc>
          <w:tcPr>
            <w:tcW w:w="50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50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84,644</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43,721</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46,110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50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SG&amp;A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14,082</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24,058</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9,738</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r>
      <w:tr>
        <w:trPr/>
        <w:tc>
          <w:tcPr>
            <w:tcW w:w="50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2,327</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50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expenses,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0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36,577</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21,540</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10,732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68,849</w:t>
            </w:r>
          </w:p>
        </w:tc>
      </w:tr>
      <w:tr>
        <w:trPr/>
        <w:tc>
          <w:tcPr>
            <w:tcW w:w="50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50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3,059</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4,246</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8,801</w:t>
            </w:r>
          </w:p>
        </w:tc>
      </w:tr>
      <w:tr>
        <w:trPr/>
        <w:tc>
          <w:tcPr>
            <w:tcW w:w="50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369,770</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285,887</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190,341</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845,998</w:t>
            </w:r>
          </w:p>
        </w:tc>
      </w:tr>
      <w:tr>
        <w:trPr/>
        <w:tc>
          <w:tcPr>
            <w:tcW w:w="50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4,629</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2,054</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7,617</w:t>
            </w:r>
          </w:p>
        </w:tc>
      </w:tr>
      <w:tr>
        <w:trPr/>
        <w:tc>
          <w:tcPr>
            <w:tcW w:w="50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50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of segment profit to Earnings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r>
      <w:tr>
        <w:trPr/>
        <w:tc>
          <w:tcPr>
            <w:tcW w:w="50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50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profit total from above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68,849</w:t>
            </w:r>
          </w:p>
        </w:tc>
      </w:tr>
      <w:tr>
        <w:trPr/>
        <w:tc>
          <w:tcPr>
            <w:tcW w:w="50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r>
      <w:tr>
        <w:trPr/>
        <w:tc>
          <w:tcPr>
            <w:tcW w:w="50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Unallocated Corporate SG&amp;A and Other expenses,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(14,166)</w:t>
            </w:r>
          </w:p>
        </w:tc>
      </w:tr>
      <w:tr>
        <w:trPr/>
        <w:tc>
          <w:tcPr>
            <w:tcW w:w="50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Unallocated amortization of intangible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(13,693)</w:t>
            </w:r>
          </w:p>
        </w:tc>
      </w:tr>
      <w:tr>
        <w:trPr/>
        <w:tc>
          <w:tcPr>
            <w:tcW w:w="50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(7,921)</w:t>
            </w:r>
          </w:p>
        </w:tc>
      </w:tr>
      <w:tr>
        <w:trPr/>
        <w:tc>
          <w:tcPr>
            <w:tcW w:w="50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before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33,069</w:t>
            </w:r>
          </w:p>
        </w:tc>
      </w:tr>
      <w:tr>
        <w:trPr/>
        <w:tc>
          <w:tcPr>
            <w:tcW w:w="502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50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of segment depreciation and amortization to consolidated totals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502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50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8,801</w:t>
            </w:r>
          </w:p>
        </w:tc>
      </w:tr>
      <w:tr>
        <w:trPr/>
        <w:tc>
          <w:tcPr>
            <w:tcW w:w="50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Corporate 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13,559</w:t>
            </w:r>
          </w:p>
        </w:tc>
      </w:tr>
      <w:tr>
        <w:trPr/>
        <w:tc>
          <w:tcPr>
            <w:tcW w:w="50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 totals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22,360</w:t>
            </w:r>
          </w:p>
        </w:tc>
      </w:tr>
      <w:tr>
        <w:trPr/>
        <w:tc>
          <w:tcPr>
            <w:tcW w:w="502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50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of segment assets to consolidated totals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r>
      <w:tr>
        <w:trPr/>
        <w:tc>
          <w:tcPr>
            <w:tcW w:w="502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50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Assets total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845,998</w:t>
            </w:r>
          </w:p>
        </w:tc>
      </w:tr>
      <w:tr>
        <w:trPr/>
        <w:tc>
          <w:tcPr>
            <w:tcW w:w="50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50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not allocated to segments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760,555</w:t>
            </w:r>
          </w:p>
        </w:tc>
      </w:tr>
      <w:tr>
        <w:trPr/>
        <w:tc>
          <w:tcPr>
            <w:tcW w:w="50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Acquired intangible assets not allocated to segments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701,650</w:t>
            </w:r>
          </w:p>
        </w:tc>
      </w:tr>
      <w:tr>
        <w:trPr/>
        <w:tc>
          <w:tcPr>
            <w:tcW w:w="50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unallocated amounts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106,842</w:t>
            </w:r>
          </w:p>
        </w:tc>
      </w:tr>
      <w:tr>
        <w:trPr/>
        <w:tc>
          <w:tcPr>
            <w:tcW w:w="50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 totals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2,415,045</w:t>
            </w:r>
          </w:p>
        </w:tc>
      </w:tr>
    </w:tbl>
    <w:tbl>
      <w:tblPr>
        <w:tblW w:w="6617" w:type="dxa"/>
        <w:jc w:val="left"/>
        <w:tblInd w:w="0" w:type="dxa"/>
        <w:tblLayout w:type="fixed"/>
        <w:tblCellMar>
          <w:top w:w="0" w:type="dxa"/>
          <w:left w:w="0" w:type="dxa"/>
          <w:bottom w:w="0" w:type="dxa"/>
          <w:right w:w="0" w:type="dxa"/>
        </w:tblCellMar>
      </w:tblPr>
      <w:tblGrid>
        <w:gridCol w:w="346"/>
        <w:gridCol w:w="627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2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Consists of customer relationships, trade names and other intangible assets. </w:t>
            </w:r>
          </w:p>
        </w:tc>
      </w:tr>
    </w:tbl>
    <w:p>
      <w:pPr>
        <w:pStyle w:val="TextBody"/>
        <w:bidi w:val="0"/>
        <w:spacing w:before="0" w:after="0"/>
        <w:ind w:left="0" w:right="0" w:hanging="0"/>
        <w:jc w:val="left"/>
        <w:rPr/>
      </w:pPr>
      <w:r>
        <w:rPr/>
        <w:t>​</w:t>
      </w:r>
    </w:p>
    <w:tbl>
      <w:tblPr>
        <w:tblW w:w="7021" w:type="dxa"/>
        <w:jc w:val="left"/>
        <w:tblInd w:w="0" w:type="dxa"/>
        <w:tblLayout w:type="fixed"/>
        <w:tblCellMar>
          <w:top w:w="0" w:type="dxa"/>
          <w:left w:w="0" w:type="dxa"/>
          <w:bottom w:w="0" w:type="dxa"/>
          <w:right w:w="0" w:type="dxa"/>
        </w:tblCellMar>
      </w:tblPr>
      <w:tblGrid>
        <w:gridCol w:w="5761"/>
        <w:gridCol w:w="346"/>
        <w:gridCol w:w="226"/>
        <w:gridCol w:w="688"/>
      </w:tblGrid>
      <w:tr>
        <w:trPr/>
        <w:tc>
          <w:tcPr>
            <w:tcW w:w="5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3658235" cy="175260"/>
                      <wp:effectExtent l="0" t="0" r="0" b="0"/>
                      <wp:wrapNone/>
                      <wp:docPr id="114" name="Frame114"/>
                      <a:graphic xmlns:a="http://schemas.openxmlformats.org/drawingml/2006/main">
                        <a:graphicData uri="http://schemas.microsoft.com/office/word/2010/wordprocessingShape">
                          <wps:wsp>
                            <wps:cNvSpPr txBox="1"/>
                            <wps:spPr>
                              <a:xfrm>
                                <a:off x="0" y="0"/>
                                <a:ext cx="3658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5"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43510" cy="175260"/>
                      <wp:effectExtent l="0" t="0" r="0" b="0"/>
                      <wp:wrapNone/>
                      <wp:docPr id="116" name="Frame11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436880" cy="175260"/>
                      <wp:effectExtent l="0" t="0" r="0" b="0"/>
                      <wp:wrapNone/>
                      <wp:docPr id="117" name="Frame117"/>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of segment capital expenditures to consolidated totals</w:t>
            </w:r>
          </w:p>
        </w:tc>
        <w:tc>
          <w:tcPr>
            <w:tcW w:w="346" w:type="dxa"/>
            <w:tcBorders/>
            <w:shd w:fill="CCEEFF" w:val="clear"/>
            <w:vAlign w:val="center"/>
          </w:tcPr>
          <w:p>
            <w:pPr>
              <w:pStyle w:val="TableContents"/>
              <w:bidi w:val="0"/>
              <w:spacing w:before="0" w:after="0"/>
              <w:ind w:left="0" w:right="0" w:hanging="0"/>
              <w:jc w:val="center"/>
              <w:rPr/>
            </w:pPr>
            <w:r>
              <w:rPr/>
              <w:t>  ​ ​ ​</w:t>
            </w:r>
          </w:p>
        </w:tc>
        <w:tc>
          <w:tcPr>
            <w:tcW w:w="226" w:type="dxa"/>
            <w:tcBorders/>
            <w:shd w:fill="CCEEFF" w:val="clear"/>
            <w:vAlign w:val="center"/>
          </w:tcPr>
          <w:p>
            <w:pPr>
              <w:pStyle w:val="TableContents"/>
              <w:bidi w:val="0"/>
              <w:spacing w:before="0" w:after="0"/>
              <w:ind w:left="0" w:right="0" w:hanging="0"/>
              <w:jc w:val="center"/>
              <w:rPr/>
            </w:pPr>
            <w:r>
              <w:rPr/>
              <w:t>  ​</w:t>
            </w:r>
          </w:p>
        </w:tc>
        <w:tc>
          <w:tcPr>
            <w:tcW w:w="688" w:type="dxa"/>
            <w:tcBorders/>
            <w:shd w:fill="CCEEFF" w:val="clear"/>
            <w:vAlign w:val="center"/>
          </w:tcPr>
          <w:p>
            <w:pPr>
              <w:pStyle w:val="TableContents"/>
              <w:bidi w:val="0"/>
              <w:spacing w:before="0" w:after="0"/>
              <w:ind w:left="0" w:right="0" w:hanging="0"/>
              <w:jc w:val="center"/>
              <w:rPr/>
            </w:pPr>
            <w:r>
              <w:rPr/>
              <w:t>​</w:t>
            </w:r>
          </w:p>
        </w:tc>
      </w:tr>
      <w:tr>
        <w:trPr/>
        <w:tc>
          <w:tcPr>
            <w:tcW w:w="57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left"/>
              <w:rPr/>
            </w:pPr>
            <w:r>
              <w:rPr/>
              <w:t>​</w:t>
            </w:r>
          </w:p>
        </w:tc>
      </w:tr>
      <w:tr>
        <w:trPr/>
        <w:tc>
          <w:tcPr>
            <w:tcW w:w="5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7,617</w:t>
            </w:r>
          </w:p>
        </w:tc>
      </w:tr>
      <w:tr>
        <w:trPr/>
        <w:tc>
          <w:tcPr>
            <w:tcW w:w="5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Corporate Capital Expenditures</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1,728</w:t>
            </w:r>
          </w:p>
        </w:tc>
      </w:tr>
      <w:tr>
        <w:trPr/>
        <w:tc>
          <w:tcPr>
            <w:tcW w:w="5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 totals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9,345</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Normal"/>
        <w:bidi w:val="0"/>
        <w:spacing w:before="0" w:after="0"/>
        <w:ind w:left="600" w:right="600" w:hanging="0"/>
        <w:jc w:val="left"/>
        <w:rPr>
          <w:sz w:val="4"/>
          <w:szCs w:val="4"/>
        </w:rPr>
      </w:pPr>
      <w:r>
        <w:rPr>
          <w:sz w:val="4"/>
          <w:szCs w:val="4"/>
        </w:rPr>
      </w:r>
      <w:bookmarkStart w:id="796" w:name="Tc_-CtqxrCCxkS_tqZ5u7UE5w_5_2"/>
      <w:bookmarkStart w:id="797" w:name="Tc_8NchV973dE-Aw9nebyUvqg_5_0"/>
      <w:bookmarkStart w:id="798" w:name="Tc_uy-7iDx0qkSGr-06S0ySnw_4_0"/>
      <w:bookmarkStart w:id="799" w:name="Tc_UftkQlIygk6CQIdWCnmQkw_3_2"/>
      <w:bookmarkStart w:id="800" w:name="Tc_dJNE_tBgD06ghpRtyAXxaA_3_0"/>
      <w:bookmarkStart w:id="801" w:name="Tc_AmIxdN53n0OtiiZAcsbI6w_1_0"/>
      <w:bookmarkStart w:id="802" w:name="_9405cc69_62e0_4e53_bd89_ba3f584ab519"/>
      <w:bookmarkStart w:id="803" w:name="Tc_TN0zlqJw9kWjb_hwI4kxpQ_37_9"/>
      <w:bookmarkStart w:id="804" w:name="Tc_anBezcfAD0Gv2GYuuvzzLg_37_0"/>
      <w:bookmarkStart w:id="805" w:name="Tc_GaD4oFCJKkqKA_4JZW8D2Q_36_0"/>
      <w:bookmarkStart w:id="806" w:name="Tc_aKprY1kDgEub1nF3Bkbfjw_35_0"/>
      <w:bookmarkStart w:id="807" w:name="Tc_ieMcPVy_oUKtnp7pw7WdmQ_34_0"/>
      <w:bookmarkStart w:id="808" w:name="Tc_GwsBBG_qH0KqO3eFqDW-yw_33_0"/>
      <w:bookmarkStart w:id="809" w:name="Tc_XtEefRq8GUKPmevCbFW7hg_32_9"/>
      <w:bookmarkStart w:id="810" w:name="Tc_wuRhqYCd6Ua-8UTBrjHLSA_32_0"/>
      <w:bookmarkStart w:id="811" w:name="Tc_92v9S4HbHUKDZa99cTEPfA_30_0"/>
      <w:bookmarkStart w:id="812" w:name="Tc_vKSIXKGZWkuHxxb5MewFzg_28_9"/>
      <w:bookmarkStart w:id="813" w:name="Tc_w0PRApTwn0OBpMCOmc6I2Q_28_0"/>
      <w:bookmarkStart w:id="814" w:name="Tc_ocaLfOPWEE6a32lQXNKarw_27_0"/>
      <w:bookmarkStart w:id="815" w:name="Tc_GNgykg7_pEuGGsSpxbrCgw_26_9"/>
      <w:bookmarkStart w:id="816" w:name="Tc_YJl4zgMg00WkFbd5OHQCPw_26_0"/>
      <w:bookmarkStart w:id="817" w:name="Tc_PUcu4fBMCku8g4CYKa6NhQ_24_0"/>
      <w:bookmarkStart w:id="818" w:name="Tc_H8HfmBTyy06CPQPnNYYakw_22_9"/>
      <w:bookmarkStart w:id="819" w:name="Tc_3wj38V2gRUeZz-in4KPu9Q_22_0"/>
      <w:bookmarkStart w:id="820" w:name="Tc_ppbBbgbu9EqaXlRmXhX-XQ_21_0"/>
      <w:bookmarkStart w:id="821" w:name="Tc_hjNUfKeTGU-K7cfQdAWFmA_20_0"/>
      <w:bookmarkStart w:id="822" w:name="Tc_sBdi8WMnAE6Sqr7BhiaO5w_19_0"/>
      <w:bookmarkStart w:id="823" w:name="Tc_qsaGv8U1Q0-fafjGCpSG3Q_18_0"/>
      <w:bookmarkStart w:id="824" w:name="Tc_CdNahBzpeEy_6wSHZO3EIg_17_9"/>
      <w:bookmarkStart w:id="825" w:name="Tc_kQM25eWlG0WWnyhyROKI9A_17_0"/>
      <w:bookmarkStart w:id="826" w:name="Tc_4E8RFlT6NEi7hzxIFf1tpw_15_0"/>
      <w:bookmarkStart w:id="827" w:name="Tc_4q-v7r2eHEeCWqNDPwKnhA_13_2"/>
      <w:bookmarkStart w:id="828" w:name="Tc_p17ldePwNE6smfyqnrkRPg_13_0"/>
      <w:bookmarkStart w:id="829" w:name="Tc_9YQEOeRx2EurRwemuxooHg_12_2"/>
      <w:bookmarkStart w:id="830" w:name="Tc_D46emw4uTUeW3c4-BDDAdA_12_0"/>
      <w:bookmarkStart w:id="831" w:name="Tc_ncgvPYm4h0mGpv2eOaiCPA_11_2"/>
      <w:bookmarkStart w:id="832" w:name="Tc_8aF7xVPGi028Bu4yspWHZg_11_0"/>
      <w:bookmarkStart w:id="833" w:name="Tc_JHM-dbdNNEy4fR_e2_EB8g_9_2"/>
      <w:bookmarkStart w:id="834" w:name="Tc_VTQwcWHEV0evkGDo6AK3Iw_9_0"/>
      <w:bookmarkStart w:id="835" w:name="Tc_GWXrBeaxO0aH7_7hoEz0Xg_8_0"/>
      <w:bookmarkStart w:id="836" w:name="Tc_-JanvFYrGkOZxvpdh9T5TQ_7_0"/>
      <w:bookmarkStart w:id="837" w:name="Tc_axHuJAp9z0iP74NQFRwchg_6_0"/>
      <w:bookmarkStart w:id="838" w:name="Tc_5fvHC7s3y0u4TcSLFJ1Mnw_5_0"/>
      <w:bookmarkStart w:id="839" w:name="Tc_aTqG4hOpNUeT8Ci2enzqFA_3_2"/>
      <w:bookmarkStart w:id="840" w:name="Tc_jX3VLzFkZUaiwKGoXqTWiA_3_0"/>
      <w:bookmarkStart w:id="841" w:name="Tc_2MuWMUYrLEWBVqDigiyQZA_2_9"/>
      <w:bookmarkStart w:id="842" w:name="Tc_udfLCWiTqU6whY9xk2xADw_2_7"/>
      <w:bookmarkStart w:id="843" w:name="Tc_WwHnI1ntQkyeDLSX1hqLBg_2_5"/>
      <w:bookmarkStart w:id="844" w:name="Tc_rsE2njbWN0y0OJCYxynrWA_2_2"/>
      <w:bookmarkStart w:id="845" w:name="Tc_XmgEzSNhWkikSZ8fS1j_Fg_2_0"/>
      <w:bookmarkStart w:id="846" w:name="Tc_wyCruyS5mE2_3kg7oA1Brg_1_9"/>
      <w:bookmarkStart w:id="847" w:name="Tc_oQy8h_axpE68yyukBPEbXw_1_0"/>
      <w:bookmarkStart w:id="848" w:name="_d3ae06af_d622_45e9_97b9_12ea4f2600ed"/>
      <w:bookmarkStart w:id="849" w:name="Tc_-CtqxrCCxkS_tqZ5u7UE5w_5_2"/>
      <w:bookmarkStart w:id="850" w:name="Tc_8NchV973dE-Aw9nebyUvqg_5_0"/>
      <w:bookmarkStart w:id="851" w:name="Tc_uy-7iDx0qkSGr-06S0ySnw_4_0"/>
      <w:bookmarkStart w:id="852" w:name="Tc_UftkQlIygk6CQIdWCnmQkw_3_2"/>
      <w:bookmarkStart w:id="853" w:name="Tc_dJNE_tBgD06ghpRtyAXxaA_3_0"/>
      <w:bookmarkStart w:id="854" w:name="Tc_AmIxdN53n0OtiiZAcsbI6w_1_0"/>
      <w:bookmarkStart w:id="855" w:name="_9405cc69_62e0_4e53_bd89_ba3f584ab519"/>
      <w:bookmarkStart w:id="856" w:name="Tc_TN0zlqJw9kWjb_hwI4kxpQ_37_9"/>
      <w:bookmarkStart w:id="857" w:name="Tc_anBezcfAD0Gv2GYuuvzzLg_37_0"/>
      <w:bookmarkStart w:id="858" w:name="Tc_GaD4oFCJKkqKA_4JZW8D2Q_36_0"/>
      <w:bookmarkStart w:id="859" w:name="Tc_aKprY1kDgEub1nF3Bkbfjw_35_0"/>
      <w:bookmarkStart w:id="860" w:name="Tc_ieMcPVy_oUKtnp7pw7WdmQ_34_0"/>
      <w:bookmarkStart w:id="861" w:name="Tc_GwsBBG_qH0KqO3eFqDW-yw_33_0"/>
      <w:bookmarkStart w:id="862" w:name="Tc_XtEefRq8GUKPmevCbFW7hg_32_9"/>
      <w:bookmarkStart w:id="863" w:name="Tc_wuRhqYCd6Ua-8UTBrjHLSA_32_0"/>
      <w:bookmarkStart w:id="864" w:name="Tc_92v9S4HbHUKDZa99cTEPfA_30_0"/>
      <w:bookmarkStart w:id="865" w:name="Tc_vKSIXKGZWkuHxxb5MewFzg_28_9"/>
      <w:bookmarkStart w:id="866" w:name="Tc_w0PRApTwn0OBpMCOmc6I2Q_28_0"/>
      <w:bookmarkStart w:id="867" w:name="Tc_ocaLfOPWEE6a32lQXNKarw_27_0"/>
      <w:bookmarkStart w:id="868" w:name="Tc_GNgykg7_pEuGGsSpxbrCgw_26_9"/>
      <w:bookmarkStart w:id="869" w:name="Tc_YJl4zgMg00WkFbd5OHQCPw_26_0"/>
      <w:bookmarkStart w:id="870" w:name="Tc_PUcu4fBMCku8g4CYKa6NhQ_24_0"/>
      <w:bookmarkStart w:id="871" w:name="Tc_H8HfmBTyy06CPQPnNYYakw_22_9"/>
      <w:bookmarkStart w:id="872" w:name="Tc_3wj38V2gRUeZz-in4KPu9Q_22_0"/>
      <w:bookmarkStart w:id="873" w:name="Tc_ppbBbgbu9EqaXlRmXhX-XQ_21_0"/>
      <w:bookmarkStart w:id="874" w:name="Tc_hjNUfKeTGU-K7cfQdAWFmA_20_0"/>
      <w:bookmarkStart w:id="875" w:name="Tc_sBdi8WMnAE6Sqr7BhiaO5w_19_0"/>
      <w:bookmarkStart w:id="876" w:name="Tc_qsaGv8U1Q0-fafjGCpSG3Q_18_0"/>
      <w:bookmarkStart w:id="877" w:name="Tc_CdNahBzpeEy_6wSHZO3EIg_17_9"/>
      <w:bookmarkStart w:id="878" w:name="Tc_kQM25eWlG0WWnyhyROKI9A_17_0"/>
      <w:bookmarkStart w:id="879" w:name="Tc_4E8RFlT6NEi7hzxIFf1tpw_15_0"/>
      <w:bookmarkStart w:id="880" w:name="Tc_4q-v7r2eHEeCWqNDPwKnhA_13_2"/>
      <w:bookmarkStart w:id="881" w:name="Tc_p17ldePwNE6smfyqnrkRPg_13_0"/>
      <w:bookmarkStart w:id="882" w:name="Tc_9YQEOeRx2EurRwemuxooHg_12_2"/>
      <w:bookmarkStart w:id="883" w:name="Tc_D46emw4uTUeW3c4-BDDAdA_12_0"/>
      <w:bookmarkStart w:id="884" w:name="Tc_ncgvPYm4h0mGpv2eOaiCPA_11_2"/>
      <w:bookmarkStart w:id="885" w:name="Tc_8aF7xVPGi028Bu4yspWHZg_11_0"/>
      <w:bookmarkStart w:id="886" w:name="Tc_JHM-dbdNNEy4fR_e2_EB8g_9_2"/>
      <w:bookmarkStart w:id="887" w:name="Tc_VTQwcWHEV0evkGDo6AK3Iw_9_0"/>
      <w:bookmarkStart w:id="888" w:name="Tc_GWXrBeaxO0aH7_7hoEz0Xg_8_0"/>
      <w:bookmarkStart w:id="889" w:name="Tc_-JanvFYrGkOZxvpdh9T5TQ_7_0"/>
      <w:bookmarkStart w:id="890" w:name="Tc_axHuJAp9z0iP74NQFRwchg_6_0"/>
      <w:bookmarkStart w:id="891" w:name="Tc_5fvHC7s3y0u4TcSLFJ1Mnw_5_0"/>
      <w:bookmarkStart w:id="892" w:name="Tc_aTqG4hOpNUeT8Ci2enzqFA_3_2"/>
      <w:bookmarkStart w:id="893" w:name="Tc_jX3VLzFkZUaiwKGoXqTWiA_3_0"/>
      <w:bookmarkStart w:id="894" w:name="Tc_2MuWMUYrLEWBVqDigiyQZA_2_9"/>
      <w:bookmarkStart w:id="895" w:name="Tc_udfLCWiTqU6whY9xk2xADw_2_7"/>
      <w:bookmarkStart w:id="896" w:name="Tc_WwHnI1ntQkyeDLSX1hqLBg_2_5"/>
      <w:bookmarkStart w:id="897" w:name="Tc_rsE2njbWN0y0OJCYxynrWA_2_2"/>
      <w:bookmarkStart w:id="898" w:name="Tc_XmgEzSNhWkikSZ8fS1j_Fg_2_0"/>
      <w:bookmarkStart w:id="899" w:name="Tc_wyCruyS5mE2_3kg7oA1Brg_1_9"/>
      <w:bookmarkStart w:id="900" w:name="Tc_oQy8h_axpE68yyukBPEbXw_1_0"/>
      <w:bookmarkStart w:id="901" w:name="_d3ae06af_d622_45e9_97b9_12ea4f2600ed"/>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p>
    <w:tbl>
      <w:tblPr>
        <w:tblW w:w="10205" w:type="dxa"/>
        <w:jc w:val="left"/>
        <w:tblInd w:w="0" w:type="dxa"/>
        <w:tblLayout w:type="fixed"/>
        <w:tblCellMar>
          <w:top w:w="0" w:type="dxa"/>
          <w:left w:w="0" w:type="dxa"/>
          <w:bottom w:w="0" w:type="dxa"/>
          <w:right w:w="0" w:type="dxa"/>
        </w:tblCellMar>
      </w:tblPr>
      <w:tblGrid>
        <w:gridCol w:w="5020"/>
        <w:gridCol w:w="346"/>
        <w:gridCol w:w="211"/>
        <w:gridCol w:w="781"/>
        <w:gridCol w:w="346"/>
        <w:gridCol w:w="781"/>
        <w:gridCol w:w="346"/>
        <w:gridCol w:w="781"/>
        <w:gridCol w:w="346"/>
        <w:gridCol w:w="211"/>
        <w:gridCol w:w="1036"/>
      </w:tblGrid>
      <w:tr>
        <w:trPr/>
        <w:tc>
          <w:tcPr>
            <w:tcW w:w="50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3187700" cy="175260"/>
                      <wp:effectExtent l="0" t="0" r="0" b="0"/>
                      <wp:wrapNone/>
                      <wp:docPr id="118" name="Frame118"/>
                      <a:graphic xmlns:a="http://schemas.openxmlformats.org/drawingml/2006/main">
                        <a:graphicData uri="http://schemas.microsoft.com/office/word/2010/wordprocessingShape">
                          <wps:wsp>
                            <wps:cNvSpPr txBox="1"/>
                            <wps:spPr>
                              <a:xfrm>
                                <a:off x="0" y="0"/>
                                <a:ext cx="3187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3985" cy="175260"/>
                      <wp:effectExtent l="0" t="0" r="0" b="0"/>
                      <wp:wrapNone/>
                      <wp:docPr id="120" name="Frame1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95935" cy="175260"/>
                      <wp:effectExtent l="0" t="0" r="0" b="0"/>
                      <wp:wrapNone/>
                      <wp:docPr id="121" name="Frame12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2"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95935" cy="175260"/>
                      <wp:effectExtent l="0" t="0" r="0" b="0"/>
                      <wp:wrapNone/>
                      <wp:docPr id="123" name="Frame12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24"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495935" cy="175260"/>
                      <wp:effectExtent l="0" t="0" r="0" b="0"/>
                      <wp:wrapNone/>
                      <wp:docPr id="125" name="Frame12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19710" cy="175260"/>
                      <wp:effectExtent l="0" t="0" r="0" b="0"/>
                      <wp:wrapNone/>
                      <wp:docPr id="126" name="Frame1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3985" cy="175260"/>
                      <wp:effectExtent l="0" t="0" r="0" b="0"/>
                      <wp:wrapNone/>
                      <wp:docPr id="127" name="Frame1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57860" cy="175260"/>
                      <wp:effectExtent l="0" t="0" r="0" b="0"/>
                      <wp:wrapNone/>
                      <wp:docPr id="128" name="Frame12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20" w:type="dxa"/>
            <w:tcBorders/>
            <w:vAlign w:val="center"/>
          </w:tcPr>
          <w:p>
            <w:pPr>
              <w:pStyle w:val="TableContents"/>
              <w:bidi w:val="0"/>
              <w:spacing w:before="0" w:after="0"/>
              <w:ind w:left="0" w:right="0" w:hanging="0"/>
              <w:jc w:val="left"/>
              <w:rPr>
                <w:rFonts w:ascii="Times New Roman;Times;serif" w:hAnsi="Times New Roman;Times;serif"/>
                <w:b/>
                <w:i/>
                <w:sz w:val="16"/>
              </w:rPr>
            </w:pPr>
            <w:r>
              <w:rPr>
                <w:rFonts w:ascii="Times New Roman;Times;serif" w:hAnsi="Times New Roman;Times;serif"/>
                <w:b/>
                <w:i/>
                <w:sz w:val="16"/>
              </w:rPr>
              <w:t>Nine Months Ended June 30, 2025</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Segment</w:t>
            </w:r>
          </w:p>
        </w:tc>
      </w:tr>
      <w:tr>
        <w:trPr/>
        <w:tc>
          <w:tcPr>
            <w:tcW w:w="50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i/>
                <w:sz w:val="16"/>
              </w:rPr>
            </w:pPr>
            <w:r>
              <w:rPr>
                <w:rFonts w:ascii="Times New Roman;Times;serif" w:hAnsi="Times New Roman;Times;serif"/>
                <w:b/>
                <w:i/>
                <w:sz w:val="16"/>
              </w:rPr>
              <w:t>(In thousands)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A&amp;D</w:t>
            </w:r>
          </w:p>
        </w:tc>
        <w:tc>
          <w:tcPr>
            <w:tcW w:w="346"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USG</w:t>
            </w:r>
          </w:p>
        </w:tc>
        <w:tc>
          <w:tcPr>
            <w:tcW w:w="346"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Test</w:t>
            </w:r>
          </w:p>
        </w:tc>
        <w:tc>
          <w:tcPr>
            <w:tcW w:w="346" w:type="dxa"/>
            <w:tcBorders/>
            <w:vAlign w:val="center"/>
          </w:tcPr>
          <w:p>
            <w:pPr>
              <w:pStyle w:val="TableContents"/>
              <w:bidi w:val="0"/>
              <w:spacing w:before="0" w:after="0"/>
              <w:ind w:left="0" w:right="0" w:hanging="0"/>
              <w:jc w:val="center"/>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50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307,819</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269,784</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165,111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742,714</w:t>
            </w:r>
          </w:p>
        </w:tc>
      </w:tr>
      <w:tr>
        <w:trPr/>
        <w:tc>
          <w:tcPr>
            <w:tcW w:w="50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50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192,760</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126,481</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112,082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50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SG&amp;A expense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35,544</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74,317</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28,487</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r>
      <w:tr>
        <w:trPr/>
        <w:tc>
          <w:tcPr>
            <w:tcW w:w="50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6,417</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50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expenses (income),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1,411</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0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78,246</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62,808</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21,523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162,577</w:t>
            </w:r>
          </w:p>
        </w:tc>
      </w:tr>
      <w:tr>
        <w:trPr/>
        <w:tc>
          <w:tcPr>
            <w:tcW w:w="50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50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8,545</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11,998</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24,768</w:t>
            </w:r>
          </w:p>
        </w:tc>
      </w:tr>
      <w:tr>
        <w:trPr/>
        <w:tc>
          <w:tcPr>
            <w:tcW w:w="50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369,770</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285,887</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190,341</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845,998</w:t>
            </w:r>
          </w:p>
        </w:tc>
      </w:tr>
      <w:tr>
        <w:trPr/>
        <w:tc>
          <w:tcPr>
            <w:tcW w:w="50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10,552</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7,639</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21,630</w:t>
            </w:r>
          </w:p>
        </w:tc>
      </w:tr>
      <w:tr>
        <w:trPr/>
        <w:tc>
          <w:tcPr>
            <w:tcW w:w="50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50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of segment profit to Earnings before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r>
      <w:tr>
        <w:trPr/>
        <w:tc>
          <w:tcPr>
            <w:tcW w:w="50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50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profit total from above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162,577</w:t>
            </w:r>
          </w:p>
        </w:tc>
      </w:tr>
      <w:tr>
        <w:trPr/>
        <w:tc>
          <w:tcPr>
            <w:tcW w:w="50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r>
      <w:tr>
        <w:trPr/>
        <w:tc>
          <w:tcPr>
            <w:tcW w:w="50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Unallocated Corporate SG&amp;A and Other expenses,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(32,950)</w:t>
            </w:r>
          </w:p>
        </w:tc>
      </w:tr>
      <w:tr>
        <w:trPr/>
        <w:tc>
          <w:tcPr>
            <w:tcW w:w="50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Unallocated amortization of intangible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(23,968)</w:t>
            </w:r>
          </w:p>
        </w:tc>
      </w:tr>
      <w:tr>
        <w:trPr/>
        <w:tc>
          <w:tcPr>
            <w:tcW w:w="50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(12,373)</w:t>
            </w:r>
          </w:p>
        </w:tc>
      </w:tr>
      <w:tr>
        <w:trPr/>
        <w:tc>
          <w:tcPr>
            <w:tcW w:w="50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before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93,286</w:t>
            </w:r>
          </w:p>
        </w:tc>
      </w:tr>
      <w:tr>
        <w:trPr/>
        <w:tc>
          <w:tcPr>
            <w:tcW w:w="502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50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of segment depreciation and amortization to consolidated totals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502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50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24,768</w:t>
            </w:r>
          </w:p>
        </w:tc>
      </w:tr>
      <w:tr>
        <w:trPr/>
        <w:tc>
          <w:tcPr>
            <w:tcW w:w="50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Corporate 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23,633</w:t>
            </w:r>
          </w:p>
        </w:tc>
      </w:tr>
      <w:tr>
        <w:trPr/>
        <w:tc>
          <w:tcPr>
            <w:tcW w:w="50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 totals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48,401</w:t>
            </w:r>
          </w:p>
        </w:tc>
      </w:tr>
      <w:tr>
        <w:trPr/>
        <w:tc>
          <w:tcPr>
            <w:tcW w:w="502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50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of segment assets to consolidated totals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r>
      <w:tr>
        <w:trPr/>
        <w:tc>
          <w:tcPr>
            <w:tcW w:w="5020"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50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Assets total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845,998</w:t>
            </w:r>
          </w:p>
        </w:tc>
      </w:tr>
      <w:tr>
        <w:trPr/>
        <w:tc>
          <w:tcPr>
            <w:tcW w:w="50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50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not allocated to segments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760,555</w:t>
            </w:r>
          </w:p>
        </w:tc>
      </w:tr>
      <w:tr>
        <w:trPr/>
        <w:tc>
          <w:tcPr>
            <w:tcW w:w="50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Acquired intangible assets not allocated to segments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701,650</w:t>
            </w:r>
          </w:p>
        </w:tc>
      </w:tr>
      <w:tr>
        <w:trPr/>
        <w:tc>
          <w:tcPr>
            <w:tcW w:w="50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unallocated amounts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106,842</w:t>
            </w:r>
          </w:p>
        </w:tc>
      </w:tr>
      <w:tr>
        <w:trPr/>
        <w:tc>
          <w:tcPr>
            <w:tcW w:w="50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 totals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2,415,045</w:t>
            </w:r>
          </w:p>
        </w:tc>
      </w:tr>
    </w:tbl>
    <w:tbl>
      <w:tblPr>
        <w:tblW w:w="6572" w:type="dxa"/>
        <w:jc w:val="left"/>
        <w:tblInd w:w="0" w:type="dxa"/>
        <w:tblLayout w:type="fixed"/>
        <w:tblCellMar>
          <w:top w:w="0" w:type="dxa"/>
          <w:left w:w="0" w:type="dxa"/>
          <w:bottom w:w="0" w:type="dxa"/>
          <w:right w:w="0" w:type="dxa"/>
        </w:tblCellMar>
      </w:tblPr>
      <w:tblGrid>
        <w:gridCol w:w="346"/>
        <w:gridCol w:w="622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6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customer relationships, trade names and other intangible assets.</w:t>
            </w:r>
          </w:p>
        </w:tc>
      </w:tr>
    </w:tbl>
    <w:p>
      <w:pPr>
        <w:pStyle w:val="TextBody"/>
        <w:bidi w:val="0"/>
        <w:spacing w:before="0" w:after="0"/>
        <w:ind w:left="0" w:right="0" w:hanging="0"/>
        <w:jc w:val="left"/>
        <w:rPr/>
      </w:pPr>
      <w:r>
        <w:rPr/>
        <w:t>​</w:t>
      </w:r>
    </w:p>
    <w:tbl>
      <w:tblPr>
        <w:tblW w:w="7126" w:type="dxa"/>
        <w:jc w:val="left"/>
        <w:tblInd w:w="0" w:type="dxa"/>
        <w:tblLayout w:type="fixed"/>
        <w:tblCellMar>
          <w:top w:w="0" w:type="dxa"/>
          <w:left w:w="0" w:type="dxa"/>
          <w:bottom w:w="0" w:type="dxa"/>
          <w:right w:w="0" w:type="dxa"/>
        </w:tblCellMar>
      </w:tblPr>
      <w:tblGrid>
        <w:gridCol w:w="5761"/>
        <w:gridCol w:w="346"/>
        <w:gridCol w:w="226"/>
        <w:gridCol w:w="793"/>
      </w:tblGrid>
      <w:tr>
        <w:trPr/>
        <w:tc>
          <w:tcPr>
            <w:tcW w:w="5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3658235" cy="175260"/>
                      <wp:effectExtent l="0" t="0" r="0" b="0"/>
                      <wp:wrapNone/>
                      <wp:docPr id="129" name="Frame129"/>
                      <a:graphic xmlns:a="http://schemas.openxmlformats.org/drawingml/2006/main">
                        <a:graphicData uri="http://schemas.microsoft.com/office/word/2010/wordprocessingShape">
                          <wps:wsp>
                            <wps:cNvSpPr txBox="1"/>
                            <wps:spPr>
                              <a:xfrm>
                                <a:off x="0" y="0"/>
                                <a:ext cx="3658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19710" cy="175260"/>
                      <wp:effectExtent l="0" t="0" r="0" b="0"/>
                      <wp:wrapNone/>
                      <wp:docPr id="130"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43510" cy="175260"/>
                      <wp:effectExtent l="0" t="0" r="0" b="0"/>
                      <wp:wrapNone/>
                      <wp:docPr id="131" name="Frame13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503555" cy="175260"/>
                      <wp:effectExtent l="0" t="0" r="0" b="0"/>
                      <wp:wrapNone/>
                      <wp:docPr id="132" name="Frame132"/>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Reconciliation of segment capital expenditures to consolidated totals</w:t>
            </w:r>
          </w:p>
        </w:tc>
        <w:tc>
          <w:tcPr>
            <w:tcW w:w="346" w:type="dxa"/>
            <w:tcBorders/>
            <w:shd w:fill="CCEEFF" w:val="clear"/>
            <w:vAlign w:val="center"/>
          </w:tcPr>
          <w:p>
            <w:pPr>
              <w:pStyle w:val="TableContents"/>
              <w:bidi w:val="0"/>
              <w:spacing w:before="0" w:after="0"/>
              <w:ind w:left="0" w:right="0" w:hanging="0"/>
              <w:jc w:val="center"/>
              <w:rPr/>
            </w:pPr>
            <w:r>
              <w:rPr/>
              <w:t>  ​ ​ ​</w:t>
            </w:r>
          </w:p>
        </w:tc>
        <w:tc>
          <w:tcPr>
            <w:tcW w:w="226" w:type="dxa"/>
            <w:tcBorders/>
            <w:shd w:fill="CCEEFF" w:val="clear"/>
            <w:vAlign w:val="center"/>
          </w:tcPr>
          <w:p>
            <w:pPr>
              <w:pStyle w:val="TableContents"/>
              <w:bidi w:val="0"/>
              <w:spacing w:before="0" w:after="0"/>
              <w:ind w:left="0" w:right="0" w:hanging="0"/>
              <w:jc w:val="center"/>
              <w:rPr/>
            </w:pPr>
            <w:r>
              <w:rPr/>
              <w:t>  ​</w:t>
            </w:r>
          </w:p>
        </w:tc>
        <w:tc>
          <w:tcPr>
            <w:tcW w:w="793" w:type="dxa"/>
            <w:tcBorders/>
            <w:shd w:fill="CCEEFF" w:val="clear"/>
            <w:vAlign w:val="center"/>
          </w:tcPr>
          <w:p>
            <w:pPr>
              <w:pStyle w:val="TableContents"/>
              <w:bidi w:val="0"/>
              <w:spacing w:before="0" w:after="0"/>
              <w:ind w:left="0" w:right="0" w:hanging="0"/>
              <w:jc w:val="center"/>
              <w:rPr/>
            </w:pPr>
            <w:r>
              <w:rPr/>
              <w:t>​</w:t>
            </w:r>
          </w:p>
        </w:tc>
      </w:tr>
      <w:tr>
        <w:trPr/>
        <w:tc>
          <w:tcPr>
            <w:tcW w:w="57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left"/>
              <w:rPr/>
            </w:pPr>
            <w:r>
              <w:rPr/>
              <w:t>​</w:t>
            </w:r>
          </w:p>
        </w:tc>
      </w:tr>
      <w:tr>
        <w:trPr/>
        <w:tc>
          <w:tcPr>
            <w:tcW w:w="5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Capital Expenditures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21,630</w:t>
            </w:r>
          </w:p>
        </w:tc>
      </w:tr>
      <w:tr>
        <w:trPr/>
        <w:tc>
          <w:tcPr>
            <w:tcW w:w="5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Corporate Capital Expenditures</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2,580</w:t>
            </w:r>
          </w:p>
        </w:tc>
      </w:tr>
      <w:tr>
        <w:trPr/>
        <w:tc>
          <w:tcPr>
            <w:tcW w:w="5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 totals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24,210</w:t>
            </w:r>
          </w:p>
        </w:tc>
      </w:tr>
    </w:tbl>
    <w:p>
      <w:pPr>
        <w:pStyle w:val="TextBody"/>
        <w:bidi w:val="0"/>
        <w:spacing w:before="0" w:after="0"/>
        <w:ind w:left="0" w:right="0" w:hanging="0"/>
        <w:jc w:val="left"/>
        <w:rPr/>
      </w:pPr>
      <w:r>
        <w:rPr/>
        <w:t>​</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Non-GAAP Financial Measures</w:t>
      </w:r>
    </w:p>
    <w:p>
      <w:pPr>
        <w:pStyle w:val="TextBody"/>
        <w:bidi w:val="0"/>
        <w:spacing w:before="0" w:after="240"/>
        <w:ind w:left="360" w:right="0" w:hanging="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The financial measure “EBIT” is presented in the above tables and elsewhere in this Report. EBIT on a consolidated basis is a non-GAAP financial measure. Management believes that EBIT is useful in assessing the operational profitability of the Company’s business segments because it excludes interest and taxes, which are generally accounted for across the entire Company on a consolidated basis. EBIT is also one of the measures used by management in determining resource allocations within the Company as well as incentive compensation. A reconciliation of EBIT to net earnings is set forth in Item 2, Management’s Discussion and Analysis of Financial Condition and Results of Operations – EBIT.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The Company believes that the presentation of EBIT provides important supplemental information to investors to facilitate comparisons with other companies, many of which use similar non-GAAP financial measures to supplement their GAAP results. However, the Company’s non-GAAP financial measures may not be comparable to other companies’ non-GAAP financial performance measures. Furthermore, the use of non-GAAP financial measures is not intended to replace any measures of performance determined in accordance with GAAP.</w:t>
      </w:r>
    </w:p>
    <w:p>
      <w:pPr>
        <w:pStyle w:val="TextBody"/>
        <w:bidi w:val="0"/>
        <w:spacing w:before="0" w:after="240"/>
        <w:ind w:left="360" w:right="0" w:hanging="0"/>
        <w:jc w:val="left"/>
        <w:rPr/>
      </w:pPr>
      <w:r>
        <w:rPr/>
        <w:t>​</w:t>
      </w:r>
    </w:p>
    <w:p>
      <w:pPr>
        <w:pStyle w:val="TextBody"/>
        <w:pBdr/>
        <w:bidi w:val="0"/>
        <w:spacing w:before="0" w:after="240"/>
        <w:ind w:left="0" w:right="0" w:hanging="360"/>
        <w:jc w:val="left"/>
        <w:rPr>
          <w:rFonts w:ascii="Times New Roman;Times;serif" w:hAnsi="Times New Roman;Times;serif"/>
          <w:sz w:val="20"/>
        </w:rPr>
      </w:pPr>
      <w:bookmarkStart w:id="902" w:name="Tc_zErZ2Sb0cE6ljeYCLX4xFA_7_2"/>
      <w:bookmarkStart w:id="903" w:name="Tc_fiosEt6of0KXbvHxP7vB8g_7_0"/>
      <w:bookmarkStart w:id="904" w:name="Tc_AMyGR0fTOESuYTc2zkYp8Q_6_0"/>
      <w:bookmarkStart w:id="905" w:name="Tc_HSxFhy3QYEyL-efyjpRCAg_5_2"/>
      <w:bookmarkStart w:id="906" w:name="Tc_4IV2SBIcgkykEkxWswGRow_5_0"/>
      <w:bookmarkStart w:id="907" w:name="Tc_aBKh5l4Mo0-EW-P3LCmKxg_4_0"/>
      <w:bookmarkStart w:id="908" w:name="Tc_7k2d9RGKrUOsnzNX9vkqLw_3_2"/>
      <w:bookmarkStart w:id="909" w:name="Tc_lRu066d9pEmNEE6humQDDA_3_0"/>
      <w:bookmarkStart w:id="910" w:name="Tc_hujk9z_4yk-c5cdeNdU4bw_2_5"/>
      <w:bookmarkStart w:id="911" w:name="Tc_jEQQtbbRZEqdGjHwh3K9Rw_2_2"/>
      <w:bookmarkStart w:id="912" w:name="Tc_G2bo7doBPE-RMJYuEh48ag_2_0"/>
      <w:bookmarkStart w:id="913" w:name="Tc_m-692OXD606SYIskqiJ-Og_1_5"/>
      <w:bookmarkStart w:id="914" w:name="Tc_Z5XhpxPxFUOozBil12eoIg_1_2"/>
      <w:bookmarkEnd w:id="902"/>
      <w:bookmarkEnd w:id="903"/>
      <w:bookmarkEnd w:id="904"/>
      <w:bookmarkEnd w:id="905"/>
      <w:bookmarkEnd w:id="906"/>
      <w:bookmarkEnd w:id="907"/>
      <w:bookmarkEnd w:id="908"/>
      <w:bookmarkEnd w:id="909"/>
      <w:bookmarkEnd w:id="910"/>
      <w:bookmarkEnd w:id="911"/>
      <w:bookmarkEnd w:id="912"/>
      <w:bookmarkEnd w:id="913"/>
      <w:bookmarkEnd w:id="914"/>
      <w:r>
        <w:rPr>
          <w:rFonts w:ascii="Times New Roman;Times;serif" w:hAnsi="Times New Roman;Times;serif"/>
          <w:sz w:val="20"/>
        </w:rPr>
        <w:t>7.    DEBT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The Company’s debt is summarized as follows:</w:t>
      </w:r>
    </w:p>
    <w:p>
      <w:pPr>
        <w:pStyle w:val="TextBody"/>
        <w:bidi w:val="0"/>
        <w:spacing w:before="0" w:after="240"/>
        <w:ind w:left="360" w:right="0" w:hanging="0"/>
        <w:jc w:val="left"/>
        <w:rPr/>
      </w:pPr>
      <w:r>
        <w:rPr/>
        <w:t>​</w:t>
      </w:r>
    </w:p>
    <w:tbl>
      <w:tblPr>
        <w:tblW w:w="6381" w:type="dxa"/>
        <w:jc w:val="left"/>
        <w:tblInd w:w="0" w:type="dxa"/>
        <w:tblLayout w:type="fixed"/>
        <w:tblCellMar>
          <w:top w:w="0" w:type="dxa"/>
          <w:left w:w="0" w:type="dxa"/>
          <w:bottom w:w="0" w:type="dxa"/>
          <w:right w:w="0" w:type="dxa"/>
        </w:tblCellMar>
      </w:tblPr>
      <w:tblGrid>
        <w:gridCol w:w="3451"/>
        <w:gridCol w:w="346"/>
        <w:gridCol w:w="211"/>
        <w:gridCol w:w="796"/>
        <w:gridCol w:w="346"/>
        <w:gridCol w:w="1231"/>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91385" cy="175260"/>
                      <wp:effectExtent l="0" t="0" r="0" b="0"/>
                      <wp:wrapNone/>
                      <wp:docPr id="133" name="Frame133"/>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5" name="Frame1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505460" cy="175260"/>
                      <wp:effectExtent l="0" t="0" r="0" b="0"/>
                      <wp:wrapNone/>
                      <wp:docPr id="136" name="Frame13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37"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781685" cy="175260"/>
                      <wp:effectExtent l="0" t="0" r="0" b="0"/>
                      <wp:wrapNone/>
                      <wp:docPr id="138" name="Frame138"/>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2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w:t>
            </w:r>
          </w:p>
        </w:tc>
      </w:tr>
      <w:tr>
        <w:trPr/>
        <w:tc>
          <w:tcPr>
            <w:tcW w:w="34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Revolving credit facility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45,000</w:t>
            </w:r>
          </w:p>
        </w:tc>
        <w:tc>
          <w:tcPr>
            <w:tcW w:w="346"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25,000</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Incremental facility (Term loan A)</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40,000</w:t>
            </w:r>
          </w:p>
        </w:tc>
        <w:tc>
          <w:tcPr>
            <w:tcW w:w="346" w:type="dxa"/>
            <w:tcBorders/>
            <w:vAlign w:val="center"/>
          </w:tcPr>
          <w:p>
            <w:pPr>
              <w:pStyle w:val="TableContents"/>
              <w:bidi w:val="0"/>
              <w:spacing w:before="0" w:after="0"/>
              <w:ind w:left="0" w:right="0" w:hanging="0"/>
              <w:jc w:val="left"/>
              <w:rPr/>
            </w:pPr>
            <w:r>
              <w:rPr/>
              <w:t>​</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161,000</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borrowings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85,000</w:t>
            </w:r>
          </w:p>
        </w:tc>
        <w:tc>
          <w:tcPr>
            <w:tcW w:w="346" w:type="dxa"/>
            <w:tcBorders/>
            <w:shd w:fill="CCEEFF" w:val="clear"/>
            <w:vAlign w:val="center"/>
          </w:tcPr>
          <w:p>
            <w:pPr>
              <w:pStyle w:val="TableContents"/>
              <w:bidi w:val="0"/>
              <w:spacing w:before="0" w:after="0"/>
              <w:ind w:left="0" w:right="0" w:hanging="0"/>
              <w:jc w:val="left"/>
              <w:rPr/>
            </w:pPr>
            <w:r>
              <w:rPr/>
              <w:t>​</w:t>
            </w:r>
          </w:p>
        </w:tc>
        <w:tc>
          <w:tcPr>
            <w:tcW w:w="12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186,000</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long-term debt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w:t>
            </w:r>
          </w:p>
        </w:tc>
        <w:tc>
          <w:tcPr>
            <w:tcW w:w="346" w:type="dxa"/>
            <w:tcBorders/>
            <w:vAlign w:val="center"/>
          </w:tcPr>
          <w:p>
            <w:pPr>
              <w:pStyle w:val="TableContents"/>
              <w:bidi w:val="0"/>
              <w:spacing w:before="0" w:after="0"/>
              <w:ind w:left="0" w:right="0" w:hanging="0"/>
              <w:jc w:val="left"/>
              <w:rPr/>
            </w:pPr>
            <w:r>
              <w:rPr/>
              <w:t>​</w:t>
            </w:r>
          </w:p>
        </w:tc>
        <w:tc>
          <w:tcPr>
            <w:tcW w:w="12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 less 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65,000</w:t>
            </w:r>
          </w:p>
        </w:tc>
        <w:tc>
          <w:tcPr>
            <w:tcW w:w="346" w:type="dxa"/>
            <w:tcBorders/>
            <w:shd w:fill="CCEEFF" w:val="clear"/>
            <w:vAlign w:val="center"/>
          </w:tcPr>
          <w:p>
            <w:pPr>
              <w:pStyle w:val="TableContents"/>
              <w:bidi w:val="0"/>
              <w:spacing w:before="0" w:after="0"/>
              <w:ind w:left="0" w:right="0" w:hanging="0"/>
              <w:jc w:val="left"/>
              <w:rPr/>
            </w:pPr>
            <w:r>
              <w:rPr/>
              <w:t>​</w:t>
            </w:r>
          </w:p>
        </w:tc>
        <w:tc>
          <w:tcPr>
            <w:tcW w:w="1231"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166,000</w:t>
            </w:r>
          </w:p>
        </w:tc>
      </w:tr>
    </w:tbl>
    <w:p>
      <w:pPr>
        <w:pStyle w:val="TextBody"/>
        <w:bidi w:val="0"/>
        <w:spacing w:before="0" w:after="0"/>
        <w:ind w:left="0" w:right="0" w:hanging="0"/>
        <w:jc w:val="left"/>
        <w:rPr/>
      </w:pPr>
      <w:r>
        <w:rPr/>
        <w:t>​</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The Company’s current credit facility (the Existing Credit Facility) includes a $500 million revolving line of credit as well as provisions allowing for the increase of the credit facility commitment amount by an additional $250 million, if necessary, with the consent of the lenders. The bank syndication supporting the facility is comprised of a diverse group of seven banks led by JP Morgan Chase Bank, N.A., as administrative agent, Bank of America, N.A., as syndication agent, and Commerce Bank and TD Bank, N.A. as co-documentation agents. The Existing Credit Facility matures August 30, 2028, with balance due by this date.</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 xml:space="preserve">On August 5, 2024, the Company and certain of its subsidiaries entered into Amendment No. 1 to the Existing Credit Facility which, among other things, (i) implemented a senior incremental delayed draw term loan credit facility in an aggregate principal amount of up to $375 million (the Incremental Facility), and (ii) permitted the direct or indirect acquisition by the Registrant or certain of its subsidiaries of all the issued and outstanding shares of PMES I Limited, Measurement Systems, Inc., EMS Development Corporation, and DNE Technologies, Inc. (the Maritime Acquisition). During the third quarter of 2025, the proceeds of the loans drawn under the Incremental Facility were applied to pay a portion of the cash consideration for the Maritime Acquisition and other customary fees, premiums, expenses and costs incurred in connection with the acquisition. The Incremental Facility matures August 30, 2028, with balance due by this date. </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At June 30, 2026, the Company had approximately $442 million available to borrow under the Existing Credit Facility, plus the $250 million increase option subject to the lenders’ consent, in addition to $73.2 million cash on hand. The Company classified $20 million as the current portion of long-term debt as of June 30, 2026, as the Company intends to repay this amount as obligated by the repayment terms of the Incremental Facility within the next twelve months. The letters of credit issued and outstanding under the Credit Facility totaled $12.7 million at June 30,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Interest on borrowings under the Existing Credit Facility and the Incremental Facility is calculated at a spread ranging from 0.25% to 2.25% over either an Adjusted Term SOFR Rate, Adjusted EURIBOR Rate, Adjusted CDOR Rate, Alternate Base Rate or Daily Simple RFR, at the Company’s election. The Existing Credit Facility also requires a facility fee ranging from 12.5 to 25 basis points per annum. The interest rate spreads and the facility fee are subject to increase or decrease depending on the Company’s leverage ratio. The weighted average interest rates under the Existing Credit Facility were 4.98% and 5.18% for the three and nine-month periods ending June 30, 2026, respectively, and 6.03% and 5.99% for the three- and nine-month periods ending June 30, 2025. The weighted average interest rate under the Incremental Facility was 5.25% and 5.40% for the three and nine-month periods ending June 30, 2026. As of June 30, 2026, the Company was in compliance with all covenants.</w:t>
      </w:r>
    </w:p>
    <w:p>
      <w:pPr>
        <w:pStyle w:val="TextBody"/>
        <w:bidi w:val="0"/>
        <w:spacing w:before="0" w:after="240"/>
        <w:ind w:left="36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 xml:space="preserve">On May 29, 2026, to finance the Company’s anticipated purchase of Megger Group Limited pursuant to a share purchase agreement entered into on April 15, 2026 (the Transaction), the Company and certain of its subsidiaries entered into a Credit Agreement with JPMorgan Chase Bank, N.A. as administrative agent, Bank of America, N.A. as syndication agent, and a diverse group of other banks (the New Credit Facility). The New Credit Facility will become effective subject to several conditions, including (and substantially concurrently with) the consummation of the Transaction and will replace the Existing Credit Facility on the Transaction closing date (the Effective Date). The New Credit Facility provides for (i) a senior secured revolving credit facility in an initial aggregate commitment amount of $500 million, (ii) a senior secured term loan A facility in an initial aggregate principal amount of $500 million, and (iii) a senior secured term loan B facility in an initial aggregate principal amount of $500 million. Through a credit facility expansion option, the Company may elect to increase the aggregate amount of the revolving credit facility or obtain incremental term loans in any agreed currency up to the U.S. Dollar equivalent of (a) the greater of (x) $451 million or (y) 100% of Consolidated EBITDA (as defined and for periods set forth therein) plus (b) additional amounts subject to certain terms and conditions (including compliance with certain maximum leverage ratios). In addition to loans drawn down by the Company, certain of the Company’s foreign subsidiaries may draw loans on the New Credit Facility. Under the New Credit Facility, the revolving credit facility and term loan A will mature five years after the Effective Date and term loan B will mature seven years after the Effective Date. </w:t>
      </w:r>
    </w:p>
    <w:p>
      <w:pPr>
        <w:pStyle w:val="TextBody"/>
        <w:bidi w:val="0"/>
        <w:spacing w:before="0" w:after="240"/>
        <w:ind w:left="36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8.   INCOME TAX EXPENSE</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 xml:space="preserve">The third quarter 2026 effective income tax rate from continuing operations was 20.1% compared to 25.1% in the third quarter of 2025. The effective income tax rate from continuing operations in the first nine months of 2026 was 21.0% compared to 23.4% for the first nine months of 2025. Income tax expense in the third quarter and first nine months of 2026 was favorably impacted by return-to-provision adjustments recognized upon finalization of the 2025 federal income tax return, including an increase to the federal research credit. Income tax expense in the third quarter and first nine months of 2025 was unfavorably impacted by income tax consequences associated with the acquisition of Maritime, including non-deductible transaction costs.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240"/>
        <w:ind w:left="0" w:right="0" w:hanging="0"/>
        <w:jc w:val="left"/>
        <w:rPr>
          <w:rFonts w:ascii="Times New Roman;Times;serif" w:hAnsi="Times New Roman;Times;serif"/>
          <w:sz w:val="20"/>
        </w:rPr>
      </w:pPr>
      <w:bookmarkStart w:id="915" w:name="Tc_TZwpGHv09EuvI9CWBGyZZQ_29_2"/>
      <w:bookmarkStart w:id="916" w:name="Tc_nI38Yhh4pUC1vmsapp2-iQ_29_0"/>
      <w:bookmarkStart w:id="917" w:name="Tc_MXNSsbWVjUS0NOrgVHcWNA_27_2"/>
      <w:bookmarkStart w:id="918" w:name="Tc_e3o3EfYF1kmS9ngN1a9GRg_27_0"/>
      <w:bookmarkStart w:id="919" w:name="Tc_Z2ATh9OY70-8684j6ANFrQ_26_9"/>
      <w:bookmarkStart w:id="920" w:name="Tc_NErZZ53Iw0i6N99J6Ysfqg_26_7"/>
      <w:bookmarkStart w:id="921" w:name="Tc_QREYg8m4z0Cwo4pjkTKfhQ_26_5"/>
      <w:bookmarkStart w:id="922" w:name="Tc_BKmUy7TTDkirSRWDFb6rHw_26_3"/>
      <w:bookmarkStart w:id="923" w:name="Tc_N91ErMtF9UWAsWOEQdNkLw_26_0"/>
      <w:bookmarkStart w:id="924" w:name="Tc_setdkAfnX0afPJ7pP8mDrg_25_2"/>
      <w:bookmarkStart w:id="925" w:name="Tc_ywD68ldMFkW2de97iwU2wA_25_0"/>
      <w:bookmarkStart w:id="926" w:name="Tc_a0XwONP1qUunFDxWkOydRQ_24_0"/>
      <w:bookmarkStart w:id="927" w:name="Tc_H9bCJUx4T0eC4SnRDVddYQ_22_2"/>
      <w:bookmarkStart w:id="928" w:name="Tc_CvZDctd-Rk6tvgprd2mrBQ_22_0"/>
      <w:bookmarkStart w:id="929" w:name="Tc_GzorpSvwmkyxZ4d42Jz88w_21_0"/>
      <w:bookmarkStart w:id="930" w:name="Tc_azVq1d8y_UqpnA7ivYwgOQ_20_2"/>
      <w:bookmarkStart w:id="931" w:name="Tc_qlkn6WEzg02ILv5IZQgFoA_20_0"/>
      <w:bookmarkStart w:id="932" w:name="Tc_mUTAZ0x5qkyOaso23R8TRQ_19_0"/>
      <w:bookmarkStart w:id="933" w:name="Tc_veAIQ7tPwkOCEDCWkT_kkw_17_2"/>
      <w:bookmarkStart w:id="934" w:name="Tc__sOgqVriS0ejxKfxqzwtTA_17_0"/>
      <w:bookmarkStart w:id="935" w:name="Tc_5IXJvLiELUqpRWBq1jF_GA_16_0"/>
      <w:bookmarkStart w:id="936" w:name="Tc_QLVVNJMQSEOtUmiG93Hmlw_15_0"/>
      <w:bookmarkStart w:id="937" w:name="Tc_uMqTG-yOr0eeFGiUE6XKEw_14_2"/>
      <w:bookmarkStart w:id="938" w:name="Tc_kIHe3407yUy32ANyUgWGCQ_14_0"/>
      <w:bookmarkStart w:id="939" w:name="Tc_sYsNkrWD10edTCXIwUj2VQ_13_0"/>
      <w:bookmarkStart w:id="940" w:name="Tc_bcjgGHattE2cl_kxr9cGWA_11_2"/>
      <w:bookmarkStart w:id="941" w:name="Tc_djBAOh76PECLuk0rrjuGSw_11_0"/>
      <w:bookmarkStart w:id="942" w:name="Tc_vywOezMZgUSLY68xOYTvhQ_10_0"/>
      <w:bookmarkStart w:id="943" w:name="Tc_0ViPX3bxZEipkLZ7OECbwA_9_2"/>
      <w:bookmarkStart w:id="944" w:name="Tc_5lWldpE560W0Wv6Hxfh77Q_9_0"/>
      <w:bookmarkStart w:id="945" w:name="Tc_IJ4COmvsAkC3QjuXiUCJLw_8_0"/>
      <w:bookmarkStart w:id="946" w:name="Tc_EQEI2aA4D0eZEjIaHqT1nA_6_2"/>
      <w:bookmarkStart w:id="947" w:name="Tc_OLup6qRmX0CMWI9nzPzs2w_6_0"/>
      <w:bookmarkStart w:id="948" w:name="Tc_uNtcgmPztkyvSXKW6BuNKg_5_5"/>
      <w:bookmarkStart w:id="949" w:name="Tc_x8zEydYTxUeGSRmkPGLM5g_5_3"/>
      <w:bookmarkStart w:id="950" w:name="Tc_my8pjk2ODkSMVCzqPE82YA_5_0"/>
      <w:bookmarkStart w:id="951" w:name="Tc_pPoBtRKzOUmz10CetBVlVw_4_2"/>
      <w:bookmarkStart w:id="952" w:name="Tc_9IeXn9vBkUu0vFugftCniw_4_0"/>
      <w:bookmarkStart w:id="953" w:name="Tc_55WPaGAsjEiZDxIwRrhnmQ_3_0"/>
      <w:bookmarkStart w:id="954" w:name="Tc_J2BgUY84w0qAcoaGoweY8Q_2_9"/>
      <w:bookmarkStart w:id="955" w:name="Tc_wluELPFsCUy8KYhTOlCuJQ_2_7"/>
      <w:bookmarkStart w:id="956" w:name="Tc_MhpuhbUDRk6-B8nbzCX7Sg_2_5"/>
      <w:bookmarkStart w:id="957" w:name="Tc_N8BBUDpmzUGOftZv8xhhPg_2_2"/>
      <w:bookmarkStart w:id="958" w:name="Tc_sRcmoVbW0E6fBxl6BJEqaw_1_7"/>
      <w:bookmarkStart w:id="959" w:name="Tc_ykeuZ_c30Uqx1y9vhkeGgA_1_2"/>
      <w:bookmarkStart w:id="960" w:name="_46efdf99_9094_4484_b377_01f4b41b1a6d"/>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r>
        <w:rPr>
          <w:rFonts w:ascii="Times New Roman;Times;serif" w:hAnsi="Times New Roman;Times;serif"/>
          <w:sz w:val="20"/>
        </w:rPr>
        <w:t>9.   SHAREHOLDERS’ EQUITY</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The change in shareholders’ equity for the first three and nine months of 2026 and 2025 is shown below (in thousands):</w:t>
      </w:r>
    </w:p>
    <w:p>
      <w:pPr>
        <w:pStyle w:val="TextBody"/>
        <w:bidi w:val="0"/>
        <w:spacing w:before="0" w:after="240"/>
        <w:ind w:left="360" w:right="0" w:hanging="0"/>
        <w:jc w:val="left"/>
        <w:rPr/>
      </w:pPr>
      <w:r>
        <w:rPr/>
        <w:t>​</w:t>
      </w:r>
    </w:p>
    <w:tbl>
      <w:tblPr>
        <w:tblW w:w="9502" w:type="dxa"/>
        <w:jc w:val="left"/>
        <w:tblInd w:w="0" w:type="dxa"/>
        <w:tblLayout w:type="fixed"/>
        <w:tblCellMar>
          <w:top w:w="0" w:type="dxa"/>
          <w:left w:w="0" w:type="dxa"/>
          <w:bottom w:w="0" w:type="dxa"/>
          <w:right w:w="0" w:type="dxa"/>
        </w:tblCellMar>
      </w:tblPr>
      <w:tblGrid>
        <w:gridCol w:w="4066"/>
        <w:gridCol w:w="346"/>
        <w:gridCol w:w="211"/>
        <w:gridCol w:w="931"/>
        <w:gridCol w:w="346"/>
        <w:gridCol w:w="931"/>
        <w:gridCol w:w="346"/>
        <w:gridCol w:w="931"/>
        <w:gridCol w:w="346"/>
        <w:gridCol w:w="1048"/>
      </w:tblGrid>
      <w:tr>
        <w:trPr/>
        <w:tc>
          <w:tcPr>
            <w:tcW w:w="4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left"/>
              <w:rPr/>
            </w:pPr>
            <w:r>
              <w:rPr/>
              <w:t>​</w:t>
            </w:r>
          </w:p>
        </w:tc>
      </w:tr>
      <w:tr>
        <w:trPr/>
        <w:tc>
          <w:tcPr>
            <w:tcW w:w="4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1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232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June 30, </w:t>
            </w:r>
          </w:p>
        </w:tc>
      </w:tr>
      <w:tr>
        <w:trPr/>
        <w:tc>
          <w:tcPr>
            <w:tcW w:w="4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48" w:type="dxa"/>
            <w:tcBorders/>
            <w:shd w:fill="CCEEFF" w:val="clear"/>
            <w:vAlign w:val="center"/>
          </w:tcPr>
          <w:p>
            <w:pPr>
              <w:pStyle w:val="TableContents"/>
              <w:bidi w:val="0"/>
              <w:spacing w:before="0" w:after="0"/>
              <w:ind w:left="0" w:right="0" w:hanging="0"/>
              <w:jc w:val="right"/>
              <w:rPr/>
            </w:pPr>
            <w:r>
              <w:rPr/>
              <w:t>​</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c>
          <w:tcPr>
            <w:tcW w:w="34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w:t>
            </w:r>
          </w:p>
        </w:tc>
        <w:tc>
          <w:tcPr>
            <w:tcW w:w="34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w:t>
            </w:r>
          </w:p>
        </w:tc>
        <w:tc>
          <w:tcPr>
            <w:tcW w:w="346" w:type="dxa"/>
            <w:tcBorders/>
            <w:vAlign w:val="center"/>
          </w:tcPr>
          <w:p>
            <w:pPr>
              <w:pStyle w:val="TableContents"/>
              <w:bidi w:val="0"/>
              <w:spacing w:before="0" w:after="0"/>
              <w:ind w:left="0" w:right="0" w:hanging="0"/>
              <w:jc w:val="righ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plans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right"/>
              <w:rPr/>
            </w:pPr>
            <w:r>
              <w:rPr/>
              <w:t>​</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c>
          <w:tcPr>
            <w:tcW w:w="346" w:type="dxa"/>
            <w:tcBorders/>
            <w:vAlign w:val="center"/>
          </w:tcPr>
          <w:p>
            <w:pPr>
              <w:pStyle w:val="TableContents"/>
              <w:bidi w:val="0"/>
              <w:spacing w:before="0" w:after="0"/>
              <w:ind w:left="0" w:right="0" w:hanging="0"/>
              <w:jc w:val="righ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w:t>
            </w:r>
          </w:p>
        </w:tc>
        <w:tc>
          <w:tcPr>
            <w:tcW w:w="346" w:type="dxa"/>
            <w:tcBorders/>
            <w:vAlign w:val="center"/>
          </w:tcPr>
          <w:p>
            <w:pPr>
              <w:pStyle w:val="TableContents"/>
              <w:bidi w:val="0"/>
              <w:spacing w:before="0" w:after="0"/>
              <w:ind w:left="0" w:right="0" w:hanging="0"/>
              <w:jc w:val="righ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c>
          <w:tcPr>
            <w:tcW w:w="346" w:type="dxa"/>
            <w:tcBorders/>
            <w:vAlign w:val="center"/>
          </w:tcPr>
          <w:p>
            <w:pPr>
              <w:pStyle w:val="TableContents"/>
              <w:bidi w:val="0"/>
              <w:spacing w:before="0" w:after="0"/>
              <w:ind w:left="0" w:right="0" w:hanging="0"/>
              <w:jc w:val="right"/>
              <w:rPr/>
            </w:pPr>
            <w:r>
              <w:rPr/>
              <w:t>​</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w:t>
            </w:r>
          </w:p>
        </w:tc>
      </w:tr>
      <w:tr>
        <w:trPr/>
        <w:tc>
          <w:tcPr>
            <w:tcW w:w="40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48" w:type="dxa"/>
            <w:tcBorders/>
            <w:shd w:fill="CCEEFF" w:val="clear"/>
            <w:vAlign w:val="center"/>
          </w:tcPr>
          <w:p>
            <w:pPr>
              <w:pStyle w:val="TableContents"/>
              <w:bidi w:val="0"/>
              <w:spacing w:before="0" w:after="0"/>
              <w:ind w:left="0" w:right="0" w:hanging="0"/>
              <w:jc w:val="right"/>
              <w:rPr/>
            </w:pPr>
            <w:r>
              <w:rPr/>
              <w:t>​</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paid-in-capital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048" w:type="dxa"/>
            <w:tcBorders/>
            <w:vAlign w:val="center"/>
          </w:tcPr>
          <w:p>
            <w:pPr>
              <w:pStyle w:val="TableContents"/>
              <w:bidi w:val="0"/>
              <w:spacing w:before="0" w:after="0"/>
              <w:ind w:left="0" w:right="0" w:hanging="0"/>
              <w:jc w:val="right"/>
              <w:rPr/>
            </w:pPr>
            <w:r>
              <w:rPr/>
              <w:t>​</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312,304</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311,438</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316,194</w:t>
            </w:r>
          </w:p>
        </w:tc>
        <w:tc>
          <w:tcPr>
            <w:tcW w:w="346" w:type="dxa"/>
            <w:tcBorders/>
            <w:shd w:fill="CCEEFF" w:val="clear"/>
            <w:vAlign w:val="center"/>
          </w:tcPr>
          <w:p>
            <w:pPr>
              <w:pStyle w:val="TableContents"/>
              <w:bidi w:val="0"/>
              <w:spacing w:before="0" w:after="0"/>
              <w:ind w:left="0" w:right="0" w:hanging="0"/>
              <w:jc w:val="righ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311,942</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plans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3,296</w:t>
            </w:r>
          </w:p>
        </w:tc>
        <w:tc>
          <w:tcPr>
            <w:tcW w:w="346" w:type="dxa"/>
            <w:tcBorders/>
            <w:vAlign w:val="center"/>
          </w:tcPr>
          <w:p>
            <w:pPr>
              <w:pStyle w:val="TableContents"/>
              <w:bidi w:val="0"/>
              <w:spacing w:before="0" w:after="0"/>
              <w:ind w:left="0" w:right="0" w:hanging="0"/>
              <w:jc w:val="righ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2,211</w:t>
            </w:r>
          </w:p>
        </w:tc>
        <w:tc>
          <w:tcPr>
            <w:tcW w:w="346" w:type="dxa"/>
            <w:tcBorders/>
            <w:vAlign w:val="center"/>
          </w:tcPr>
          <w:p>
            <w:pPr>
              <w:pStyle w:val="TableContents"/>
              <w:bidi w:val="0"/>
              <w:spacing w:before="0" w:after="0"/>
              <w:ind w:left="0" w:right="0" w:hanging="0"/>
              <w:jc w:val="righ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w:t>
            </w:r>
          </w:p>
        </w:tc>
        <w:tc>
          <w:tcPr>
            <w:tcW w:w="346" w:type="dxa"/>
            <w:tcBorders/>
            <w:vAlign w:val="center"/>
          </w:tcPr>
          <w:p>
            <w:pPr>
              <w:pStyle w:val="TableContents"/>
              <w:bidi w:val="0"/>
              <w:spacing w:before="0" w:after="0"/>
              <w:ind w:left="0" w:right="0" w:hanging="0"/>
              <w:jc w:val="right"/>
              <w:rPr/>
            </w:pPr>
            <w:r>
              <w:rPr/>
              <w:t>​</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1,707</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315,600</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313,649</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315,600</w:t>
            </w:r>
          </w:p>
        </w:tc>
        <w:tc>
          <w:tcPr>
            <w:tcW w:w="346" w:type="dxa"/>
            <w:tcBorders/>
            <w:shd w:fill="CCEEFF" w:val="clear"/>
            <w:vAlign w:val="center"/>
          </w:tcPr>
          <w:p>
            <w:pPr>
              <w:pStyle w:val="TableContents"/>
              <w:bidi w:val="0"/>
              <w:spacing w:before="0" w:after="0"/>
              <w:ind w:left="0" w:right="0" w:hanging="0"/>
              <w:jc w:val="right"/>
              <w:rPr/>
            </w:pPr>
            <w:r>
              <w:rPr/>
              <w:t>​</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313,649</w:t>
            </w:r>
          </w:p>
        </w:tc>
      </w:tr>
      <w:tr>
        <w:trPr/>
        <w:tc>
          <w:tcPr>
            <w:tcW w:w="4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048" w:type="dxa"/>
            <w:tcBorders/>
            <w:vAlign w:val="center"/>
          </w:tcPr>
          <w:p>
            <w:pPr>
              <w:pStyle w:val="TableContents"/>
              <w:bidi w:val="0"/>
              <w:spacing w:before="0" w:after="0"/>
              <w:ind w:left="0" w:right="0" w:hanging="0"/>
              <w:jc w:val="right"/>
              <w:rPr/>
            </w:pPr>
            <w:r>
              <w:rPr/>
              <w:t>​</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48" w:type="dxa"/>
            <w:tcBorders/>
            <w:shd w:fill="CCEEFF" w:val="clear"/>
            <w:vAlign w:val="center"/>
          </w:tcPr>
          <w:p>
            <w:pPr>
              <w:pStyle w:val="TableContents"/>
              <w:bidi w:val="0"/>
              <w:spacing w:before="0" w:after="0"/>
              <w:ind w:left="0" w:right="0" w:hanging="0"/>
              <w:jc w:val="right"/>
              <w:rPr/>
            </w:pPr>
            <w:r>
              <w:rPr/>
              <w:t>​</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1,433,192</w:t>
            </w:r>
          </w:p>
        </w:tc>
        <w:tc>
          <w:tcPr>
            <w:tcW w:w="34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1,133,326</w:t>
            </w:r>
          </w:p>
        </w:tc>
        <w:tc>
          <w:tcPr>
            <w:tcW w:w="34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1,373,911</w:t>
            </w:r>
          </w:p>
        </w:tc>
        <w:tc>
          <w:tcPr>
            <w:tcW w:w="346" w:type="dxa"/>
            <w:tcBorders/>
            <w:vAlign w:val="center"/>
          </w:tcPr>
          <w:p>
            <w:pPr>
              <w:pStyle w:val="TableContents"/>
              <w:bidi w:val="0"/>
              <w:spacing w:before="0" w:after="0"/>
              <w:ind w:left="0" w:right="0" w:hanging="0"/>
              <w:jc w:val="righ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1,082,950</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earnings common stockholders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32,735</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26,065</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96,159</w:t>
            </w:r>
          </w:p>
        </w:tc>
        <w:tc>
          <w:tcPr>
            <w:tcW w:w="346" w:type="dxa"/>
            <w:tcBorders/>
            <w:shd w:fill="CCEEFF" w:val="clear"/>
            <w:vAlign w:val="center"/>
          </w:tcPr>
          <w:p>
            <w:pPr>
              <w:pStyle w:val="TableContents"/>
              <w:bidi w:val="0"/>
              <w:spacing w:before="0" w:after="0"/>
              <w:ind w:left="0" w:right="0" w:hanging="0"/>
              <w:jc w:val="righ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80,571</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paid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(2,073)</w:t>
            </w:r>
          </w:p>
        </w:tc>
        <w:tc>
          <w:tcPr>
            <w:tcW w:w="346" w:type="dxa"/>
            <w:tcBorders/>
            <w:vAlign w:val="center"/>
          </w:tcPr>
          <w:p>
            <w:pPr>
              <w:pStyle w:val="TableContents"/>
              <w:bidi w:val="0"/>
              <w:spacing w:before="0" w:after="0"/>
              <w:ind w:left="0" w:right="0" w:hanging="0"/>
              <w:jc w:val="righ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(2,066)</w:t>
            </w:r>
          </w:p>
        </w:tc>
        <w:tc>
          <w:tcPr>
            <w:tcW w:w="346" w:type="dxa"/>
            <w:tcBorders/>
            <w:vAlign w:val="center"/>
          </w:tcPr>
          <w:p>
            <w:pPr>
              <w:pStyle w:val="TableContents"/>
              <w:bidi w:val="0"/>
              <w:spacing w:before="0" w:after="0"/>
              <w:ind w:left="0" w:right="0" w:hanging="0"/>
              <w:jc w:val="righ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(6,216)</w:t>
            </w:r>
          </w:p>
        </w:tc>
        <w:tc>
          <w:tcPr>
            <w:tcW w:w="346" w:type="dxa"/>
            <w:tcBorders/>
            <w:vAlign w:val="center"/>
          </w:tcPr>
          <w:p>
            <w:pPr>
              <w:pStyle w:val="TableContents"/>
              <w:bidi w:val="0"/>
              <w:spacing w:before="0" w:after="0"/>
              <w:ind w:left="0" w:right="0" w:hanging="0"/>
              <w:jc w:val="right"/>
              <w:rPr/>
            </w:pPr>
            <w:r>
              <w:rPr/>
              <w:t>​</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(6,196)</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1,463,854</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1,157,325</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1,463,854</w:t>
            </w:r>
          </w:p>
        </w:tc>
        <w:tc>
          <w:tcPr>
            <w:tcW w:w="346" w:type="dxa"/>
            <w:tcBorders/>
            <w:shd w:fill="CCEEFF" w:val="clear"/>
            <w:vAlign w:val="center"/>
          </w:tcPr>
          <w:p>
            <w:pPr>
              <w:pStyle w:val="TableContents"/>
              <w:bidi w:val="0"/>
              <w:spacing w:before="0" w:after="0"/>
              <w:ind w:left="0" w:right="0" w:hanging="0"/>
              <w:jc w:val="right"/>
              <w:rPr/>
            </w:pPr>
            <w:r>
              <w:rPr/>
              <w:t>​</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1,157,325</w:t>
            </w:r>
          </w:p>
        </w:tc>
      </w:tr>
      <w:tr>
        <w:trPr/>
        <w:tc>
          <w:tcPr>
            <w:tcW w:w="4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048" w:type="dxa"/>
            <w:tcBorders/>
            <w:vAlign w:val="center"/>
          </w:tcPr>
          <w:p>
            <w:pPr>
              <w:pStyle w:val="TableContents"/>
              <w:bidi w:val="0"/>
              <w:spacing w:before="0" w:after="0"/>
              <w:ind w:left="0" w:right="0" w:hanging="0"/>
              <w:jc w:val="right"/>
              <w:rPr/>
            </w:pPr>
            <w:r>
              <w:rPr/>
              <w:t>​</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left"/>
              <w:rPr/>
            </w:pPr>
            <w:r>
              <w:rPr/>
              <w:t>​</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(13,311)</w:t>
            </w:r>
          </w:p>
        </w:tc>
        <w:tc>
          <w:tcPr>
            <w:tcW w:w="34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(20,670)</w:t>
            </w:r>
          </w:p>
        </w:tc>
        <w:tc>
          <w:tcPr>
            <w:tcW w:w="34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(2,468)</w:t>
            </w:r>
          </w:p>
        </w:tc>
        <w:tc>
          <w:tcPr>
            <w:tcW w:w="346" w:type="dxa"/>
            <w:tcBorders/>
            <w:vAlign w:val="center"/>
          </w:tcPr>
          <w:p>
            <w:pPr>
              <w:pStyle w:val="TableContents"/>
              <w:bidi w:val="0"/>
              <w:spacing w:before="0" w:after="0"/>
              <w:ind w:left="0" w:right="0" w:hanging="0"/>
              <w:jc w:val="right"/>
              <w:rPr/>
            </w:pPr>
            <w:r>
              <w:rPr/>
              <w:t>​</w:t>
            </w:r>
          </w:p>
        </w:tc>
        <w:tc>
          <w:tcPr>
            <w:tcW w:w="10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(10,775)</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(2,116)</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23,076</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(12,959)</w:t>
            </w:r>
          </w:p>
        </w:tc>
        <w:tc>
          <w:tcPr>
            <w:tcW w:w="346" w:type="dxa"/>
            <w:tcBorders/>
            <w:shd w:fill="CCEEFF" w:val="clear"/>
            <w:vAlign w:val="center"/>
          </w:tcPr>
          <w:p>
            <w:pPr>
              <w:pStyle w:val="TableContents"/>
              <w:bidi w:val="0"/>
              <w:spacing w:before="0" w:after="0"/>
              <w:ind w:left="0" w:right="0" w:hanging="0"/>
              <w:jc w:val="right"/>
              <w:rPr/>
            </w:pPr>
            <w:r>
              <w:rPr/>
              <w:t>​</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13,181</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(15,427)</w:t>
            </w:r>
          </w:p>
        </w:tc>
        <w:tc>
          <w:tcPr>
            <w:tcW w:w="346" w:type="dxa"/>
            <w:tcBorders/>
            <w:vAlign w:val="center"/>
          </w:tcPr>
          <w:p>
            <w:pPr>
              <w:pStyle w:val="TableContents"/>
              <w:bidi w:val="0"/>
              <w:spacing w:before="0" w:after="0"/>
              <w:ind w:left="0" w:right="0" w:hanging="0"/>
              <w:jc w:val="righ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2,406</w:t>
            </w:r>
          </w:p>
        </w:tc>
        <w:tc>
          <w:tcPr>
            <w:tcW w:w="346" w:type="dxa"/>
            <w:tcBorders/>
            <w:vAlign w:val="center"/>
          </w:tcPr>
          <w:p>
            <w:pPr>
              <w:pStyle w:val="TableContents"/>
              <w:bidi w:val="0"/>
              <w:spacing w:before="0" w:after="0"/>
              <w:ind w:left="0" w:right="0" w:hanging="0"/>
              <w:jc w:val="righ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(15,427)</w:t>
            </w:r>
          </w:p>
        </w:tc>
        <w:tc>
          <w:tcPr>
            <w:tcW w:w="346" w:type="dxa"/>
            <w:tcBorders/>
            <w:vAlign w:val="center"/>
          </w:tcPr>
          <w:p>
            <w:pPr>
              <w:pStyle w:val="TableContents"/>
              <w:bidi w:val="0"/>
              <w:spacing w:before="0" w:after="0"/>
              <w:ind w:left="0" w:right="0" w:hanging="0"/>
              <w:jc w:val="right"/>
              <w:rPr/>
            </w:pPr>
            <w:r>
              <w:rPr/>
              <w:t>​</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2,406</w:t>
            </w:r>
          </w:p>
        </w:tc>
      </w:tr>
      <w:tr>
        <w:trPr/>
        <w:tc>
          <w:tcPr>
            <w:tcW w:w="406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48" w:type="dxa"/>
            <w:tcBorders/>
            <w:shd w:fill="CCEEFF" w:val="clear"/>
            <w:vAlign w:val="center"/>
          </w:tcPr>
          <w:p>
            <w:pPr>
              <w:pStyle w:val="TableContents"/>
              <w:bidi w:val="0"/>
              <w:spacing w:before="0" w:after="0"/>
              <w:ind w:left="0" w:right="0" w:hanging="0"/>
              <w:jc w:val="left"/>
              <w:rPr/>
            </w:pPr>
            <w:r>
              <w:rPr/>
              <w:t>​</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Treasury stock</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48" w:type="dxa"/>
            <w:tcBorders/>
            <w:vAlign w:val="center"/>
          </w:tcPr>
          <w:p>
            <w:pPr>
              <w:pStyle w:val="TableContents"/>
              <w:bidi w:val="0"/>
              <w:spacing w:before="0" w:after="0"/>
              <w:ind w:left="0" w:right="0" w:hanging="0"/>
              <w:jc w:val="left"/>
              <w:rPr/>
            </w:pPr>
            <w:r>
              <w:rPr/>
              <w:t>​</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(147,075)</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(147,075)</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(147,075)</w:t>
            </w:r>
          </w:p>
        </w:tc>
        <w:tc>
          <w:tcPr>
            <w:tcW w:w="346" w:type="dxa"/>
            <w:tcBorders/>
            <w:shd w:fill="CCEEFF" w:val="clear"/>
            <w:vAlign w:val="center"/>
          </w:tcPr>
          <w:p>
            <w:pPr>
              <w:pStyle w:val="TableContents"/>
              <w:bidi w:val="0"/>
              <w:spacing w:before="0" w:after="0"/>
              <w:ind w:left="0" w:right="0" w:hanging="0"/>
              <w:jc w:val="right"/>
              <w:rPr/>
            </w:pPr>
            <w:r>
              <w:rPr/>
              <w:t>​</w:t>
            </w:r>
          </w:p>
        </w:tc>
        <w:tc>
          <w:tcPr>
            <w:tcW w:w="10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(147,075)</w:t>
            </w:r>
          </w:p>
        </w:tc>
      </w:tr>
      <w:tr>
        <w:trPr/>
        <w:tc>
          <w:tcPr>
            <w:tcW w:w="40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repurchases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04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(147,075)</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(147,075)</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(147,075)</w:t>
            </w:r>
          </w:p>
        </w:tc>
        <w:tc>
          <w:tcPr>
            <w:tcW w:w="346" w:type="dxa"/>
            <w:tcBorders/>
            <w:shd w:fill="CCEEFF" w:val="clear"/>
            <w:vAlign w:val="center"/>
          </w:tcPr>
          <w:p>
            <w:pPr>
              <w:pStyle w:val="TableContents"/>
              <w:bidi w:val="0"/>
              <w:spacing w:before="0" w:after="0"/>
              <w:ind w:left="0" w:right="0" w:hanging="0"/>
              <w:jc w:val="right"/>
              <w:rPr/>
            </w:pPr>
            <w:r>
              <w:rPr/>
              <w:t>​</w:t>
            </w:r>
          </w:p>
        </w:tc>
        <w:tc>
          <w:tcPr>
            <w:tcW w:w="10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(147,075)</w:t>
            </w:r>
          </w:p>
        </w:tc>
      </w:tr>
      <w:tr>
        <w:trPr/>
        <w:tc>
          <w:tcPr>
            <w:tcW w:w="40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1048" w:type="dxa"/>
            <w:tcBorders/>
            <w:vAlign w:val="center"/>
          </w:tcPr>
          <w:p>
            <w:pPr>
              <w:pStyle w:val="TableContents"/>
              <w:bidi w:val="0"/>
              <w:spacing w:before="0" w:after="0"/>
              <w:ind w:left="0" w:right="0" w:hanging="0"/>
              <w:jc w:val="right"/>
              <w:rPr/>
            </w:pPr>
            <w:r>
              <w:rPr/>
              <w:t>​</w:t>
            </w:r>
          </w:p>
        </w:tc>
      </w:tr>
      <w:tr>
        <w:trPr/>
        <w:tc>
          <w:tcPr>
            <w:tcW w:w="40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1,617,262</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1,326,614</w:t>
            </w:r>
          </w:p>
        </w:tc>
        <w:tc>
          <w:tcPr>
            <w:tcW w:w="346" w:type="dxa"/>
            <w:tcBorders/>
            <w:shd w:fill="CCEEFF" w:val="clear"/>
            <w:vAlign w:val="center"/>
          </w:tcPr>
          <w:p>
            <w:pPr>
              <w:pStyle w:val="TableContents"/>
              <w:bidi w:val="0"/>
              <w:spacing w:before="0" w:after="0"/>
              <w:ind w:left="0" w:right="0" w:hanging="0"/>
              <w:jc w:val="righ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1,617,262</w:t>
            </w:r>
          </w:p>
        </w:tc>
        <w:tc>
          <w:tcPr>
            <w:tcW w:w="346" w:type="dxa"/>
            <w:tcBorders/>
            <w:shd w:fill="CCEEFF" w:val="clear"/>
            <w:vAlign w:val="center"/>
          </w:tcPr>
          <w:p>
            <w:pPr>
              <w:pStyle w:val="TableContents"/>
              <w:bidi w:val="0"/>
              <w:spacing w:before="0" w:after="0"/>
              <w:ind w:left="0" w:right="0" w:hanging="0"/>
              <w:jc w:val="right"/>
              <w:rPr/>
            </w:pPr>
            <w:r>
              <w:rPr/>
              <w:t>​</w:t>
            </w:r>
          </w:p>
        </w:tc>
        <w:tc>
          <w:tcPr>
            <w:tcW w:w="104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1,326,614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10.  FAIR VALUE MEASUREMENTS</w:t>
      </w:r>
    </w:p>
    <w:p>
      <w:pPr>
        <w:pStyle w:val="TextBody"/>
        <w:bidi w:val="0"/>
        <w:spacing w:before="0" w:after="200"/>
        <w:ind w:left="360" w:right="0" w:hanging="0"/>
        <w:jc w:val="left"/>
        <w:rPr>
          <w:rFonts w:ascii="Times New Roman;Times;serif" w:hAnsi="Times New Roman;Times;serif"/>
          <w:sz w:val="20"/>
        </w:rPr>
      </w:pPr>
      <w:r>
        <w:rPr>
          <w:rFonts w:ascii="Times New Roman;Times;serif" w:hAnsi="Times New Roman;Times;serif"/>
          <w:sz w:val="20"/>
        </w:rPr>
        <w:t>The accounting guidance establishes a three-level hierarchy for disclosure of fair value measurements, based upon the transparency of inputs to the valuation of an asset or liability as of the measurement date,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inputs to the valuation methodology are quoted prices (unadjusted) for identical assets or liabilities in active markets.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inputs to the valuation methodology include quoted prices for similar assets and liabilities in active markets, and inputs that are observable for the asset or liability, either directly or indirectly, for substantially the full term of the financial instrument.</w:t>
            </w:r>
          </w:p>
        </w:tc>
      </w:tr>
    </w:tbl>
    <w:tbl>
      <w:tblPr>
        <w:tblW w:w="9486" w:type="dxa"/>
        <w:jc w:val="left"/>
        <w:tblInd w:w="0" w:type="dxa"/>
        <w:tblLayout w:type="fixed"/>
        <w:tblCellMar>
          <w:top w:w="28" w:type="dxa"/>
          <w:left w:w="28" w:type="dxa"/>
          <w:bottom w:w="28" w:type="dxa"/>
          <w:right w:w="28" w:type="dxa"/>
        </w:tblCellMar>
      </w:tblPr>
      <w:tblGrid>
        <w:gridCol w:w="124"/>
        <w:gridCol w:w="256"/>
        <w:gridCol w:w="9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inputs to the valuation methodology are unobservable and significant to the fair value measurement.</w:t>
            </w:r>
          </w:p>
        </w:tc>
      </w:tr>
    </w:tbl>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Financial Assets and Liabilities</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The Company has estimated the fair value of its financial instruments as of June 30, 2026 and September 30, 2025 using available market information or other appropriate valuation methodologies. The carrying amounts of cash and cash equivalents, receivables, inventories, payables, and other current assets and liabilities approximate fair value because of the short maturity of those instruments. The carrying amounts due under the revolving credit facility approximate fair value as the interest on outstanding borrowings is calculated at a spread over either an Adjusted Term SOFR Rate, Adjusted EURIBOR Rate, Adjusted CDOR Rate, Alternate Base Rate or Daily Simple RFR, at the Company’s election.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200"/>
        <w:ind w:left="360" w:right="0" w:hanging="0"/>
        <w:jc w:val="left"/>
        <w:rPr>
          <w:rFonts w:ascii="Times New Roman;Times;serif" w:hAnsi="Times New Roman;Times;serif"/>
          <w:i/>
          <w:sz w:val="20"/>
        </w:rPr>
      </w:pPr>
      <w:r>
        <w:rPr>
          <w:rFonts w:ascii="Times New Roman;Times;serif" w:hAnsi="Times New Roman;Times;serif"/>
          <w:i/>
          <w:sz w:val="20"/>
        </w:rPr>
        <w:t>Fair Value of Financial Instruments</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The Company’s forward contracts and interest rate swaps are classified within Level 2 of the valuation hierarchy in accordance with FASB Accounting Standards Codification (ASC) 825 and are immaterial.</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Nonfinancial Assets and Liabilities</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The Company’s nonfinancial assets such as property, plant and equipment, and other intangible assets are not measured at fair value on a recurring basis; however, they are subject to fair value adjustments in certain circumstances, such as when there is evidence that an impairment may exist. No impairments were recorded during the three and nine-month periods ended June 30, 2026.</w:t>
      </w:r>
    </w:p>
    <w:p>
      <w:pPr>
        <w:pStyle w:val="TextBody"/>
        <w:bidi w:val="0"/>
        <w:spacing w:before="0" w:after="240"/>
        <w:ind w:left="36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961" w:name="Tc_Kd_GQc6irkSbsoscOTSb9Q_16_2"/>
      <w:bookmarkStart w:id="962" w:name="Tc_z2fctzUbskiEI4md1gt0Uw_16_0"/>
      <w:bookmarkStart w:id="963" w:name="Tc_mZSkQmSyXkGi8iRnAKvu8g_15_0"/>
      <w:bookmarkStart w:id="964" w:name="Tc_I5qPNA1rYk2TDGzgRr1dIg_14_2"/>
      <w:bookmarkStart w:id="965" w:name="Tc_jRuFQ4Dqs0KjkPezRnmdzg_14_0"/>
      <w:bookmarkStart w:id="966" w:name="Tc_0jmwCp39_UmBpTeaRUvysw_13_0"/>
      <w:bookmarkStart w:id="967" w:name="Tc_kdEToETmGkKGluqX5CrVAQ_11_2"/>
      <w:bookmarkStart w:id="968" w:name="Tc_E2XYMFn8Bky1F8AU2csC6A_11_0"/>
      <w:bookmarkStart w:id="969" w:name="Tc_3N8jQxn7IU61l6cfkrUdHg_10_0"/>
      <w:bookmarkStart w:id="970" w:name="Tc_3wjCC7uAsEeTCqMxtHnsMg_9_2"/>
      <w:bookmarkStart w:id="971" w:name="Tc_oY9yx2kp8E-U0bKSkIdnvg_9_0"/>
      <w:bookmarkStart w:id="972" w:name="Tc_a45N6jden0e-nWk2v3BB2w_8_0"/>
      <w:bookmarkStart w:id="973" w:name="Tc_qHkHfaOfWUWMUBHQDG3Bgw_6_2"/>
      <w:bookmarkStart w:id="974" w:name="Tc_10PM2pNYHUS_JjIk8Jjuqg_6_0"/>
      <w:bookmarkStart w:id="975" w:name="Tc__NNAUHghiEqdH1ONi0rr0w_5_0"/>
      <w:bookmarkStart w:id="976" w:name="Tc_h0trKyXD7UK9EWzQKgRIew_4_2"/>
      <w:bookmarkStart w:id="977" w:name="Tc_PZQfoI-CZkKwoMXGurfuSQ_4_0"/>
      <w:bookmarkStart w:id="978" w:name="Tc_jQEupEF2kUmo_2BK28ruMA_3_0"/>
      <w:bookmarkStart w:id="979" w:name="Tc_vqvch1N-V0mU-j-5ctc9ag_2_11"/>
      <w:bookmarkStart w:id="980" w:name="Tc_Y9Ko2yv-UkiDhWV0u2V4ZA_2_8"/>
      <w:bookmarkStart w:id="981" w:name="Tc_J5Jv12ergU2nLf5td177Mw_2_5"/>
      <w:bookmarkStart w:id="982" w:name="Tc_0KgdXOXSxUKWO9XzLfaTSQ_2_2"/>
      <w:bookmarkStart w:id="983" w:name="Tc_LgZSATlWbE2Sog1b4_Q5Iw_2_0"/>
      <w:bookmarkStart w:id="984" w:name="Tc_7ijELRLwqEeGq5Cne-d4Sg_1_0"/>
      <w:bookmarkStart w:id="985" w:name="_a56e4970_8d0f_4309_a8af_f311ae042a91"/>
      <w:bookmarkStart w:id="986" w:name="Tc_R6IxAPRUU0uxyhom9wQfqw_16_2"/>
      <w:bookmarkStart w:id="987" w:name="Tc_ELQeGqXgZ0GqTgFJE_44qA_16_0"/>
      <w:bookmarkStart w:id="988" w:name="Tc_HI-kAnB9jEaC2dHdF2OADQ_15_0"/>
      <w:bookmarkStart w:id="989" w:name="Tc_bzVLKBhF2UigwkJ6dq850w_14_2"/>
      <w:bookmarkStart w:id="990" w:name="Tc_c3ftK03_OkeeBB0p9d2mQg_14_0"/>
      <w:bookmarkStart w:id="991" w:name="Tc_Fa0F8PEoMEakjLNKASiO5A_13_0"/>
      <w:bookmarkStart w:id="992" w:name="Tc_MtBwx3u94Uu2sq3ICza6gQ_11_2"/>
      <w:bookmarkStart w:id="993" w:name="Tc_hIw8eUoHrEKIC3ned-sriA_11_0"/>
      <w:bookmarkStart w:id="994" w:name="Tc_2328ek828EuPRbf3hnY4mw_10_0"/>
      <w:bookmarkStart w:id="995" w:name="Tc_RPjotvcV7ESto2GrC2dTXw_9_2"/>
      <w:bookmarkStart w:id="996" w:name="Tc_Ly4J9RVOgUeE7t2j1jOB6w_9_0"/>
      <w:bookmarkStart w:id="997" w:name="Tc_iDPDIeJGKUWmpNXGLi1b7g_8_0"/>
      <w:bookmarkStart w:id="998" w:name="Tc_wYG9gBrlsUybo0bTtsV2kw_6_2"/>
      <w:bookmarkStart w:id="999" w:name="Tc_EXLZOIthy0G6piUadXhqpg_6_0"/>
      <w:bookmarkStart w:id="1000" w:name="Tc_dazOBHef9kCKGfcXirFgmA_5_0"/>
      <w:bookmarkStart w:id="1001" w:name="Tc_6PRHBvH1s0uPITp7TeMJdw_4_2"/>
      <w:bookmarkStart w:id="1002" w:name="Tc_vFj8VQGbJke1dzFIijGdew_4_0"/>
      <w:bookmarkStart w:id="1003" w:name="Tc_aJ0v8XItgEGUNkjVg_KN5w_3_0"/>
      <w:bookmarkStart w:id="1004" w:name="Tc_Jb-IlgMmfEm01vH887dF5Q_2_11"/>
      <w:bookmarkStart w:id="1005" w:name="Tc_rIbmUy-9SkSB9obOkNXvkA_2_8"/>
      <w:bookmarkStart w:id="1006" w:name="Tc_buUM8VhFu0eRw5jcObW2mw_2_5"/>
      <w:bookmarkStart w:id="1007" w:name="Tc_wXtdnVJ31kyYCFk__o2xIA_2_2"/>
      <w:bookmarkStart w:id="1008" w:name="Tc_5duDCnh0FUurthPpGQGJNw_2_0"/>
      <w:bookmarkStart w:id="1009" w:name="Tc_2bSde2RatkGUAPm2H_pjqQ_1_0"/>
      <w:bookmarkStart w:id="1010" w:name="_304e577d_eb68_47f7_916b_05960a584909"/>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r>
        <w:rPr>
          <w:rFonts w:ascii="Times New Roman;Times;serif" w:hAnsi="Times New Roman;Times;serif"/>
          <w:sz w:val="20"/>
        </w:rPr>
        <w:t>11.  REVENUES</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Disaggregation of Revenues</w:t>
      </w:r>
    </w:p>
    <w:p>
      <w:pPr>
        <w:pStyle w:val="TextBody"/>
        <w:bidi w:val="0"/>
        <w:spacing w:before="0" w:after="0"/>
        <w:ind w:left="357" w:right="0" w:hanging="0"/>
        <w:jc w:val="left"/>
        <w:rPr>
          <w:rFonts w:ascii="Times New Roman;Times;serif" w:hAnsi="Times New Roman;Times;serif"/>
          <w:sz w:val="20"/>
        </w:rPr>
      </w:pPr>
      <w:r>
        <w:rPr>
          <w:rFonts w:ascii="Times New Roman;Times;serif" w:hAnsi="Times New Roman;Times;serif"/>
          <w:sz w:val="20"/>
        </w:rPr>
        <w:t>The tables below present our revenues from continuing operations by customer type, geographic location, and revenue recognition method for the three and nine-month periods ending June 30, 2026, as we believe this presentation best depicts how the nature, amount, timing and uncertainty of net sales and cash flows are affected by economic factors.</w:t>
      </w:r>
    </w:p>
    <w:p>
      <w:pPr>
        <w:pStyle w:val="TextBody"/>
        <w:bidi w:val="0"/>
        <w:spacing w:before="0" w:after="240"/>
        <w:ind w:left="360" w:right="0" w:hanging="0"/>
        <w:jc w:val="left"/>
        <w:rPr/>
      </w:pPr>
      <w:r>
        <w:rPr/>
        <w:t>​</w:t>
      </w:r>
    </w:p>
    <w:tbl>
      <w:tblPr>
        <w:tblW w:w="7564" w:type="dxa"/>
        <w:jc w:val="left"/>
        <w:tblInd w:w="0" w:type="dxa"/>
        <w:tblLayout w:type="fixed"/>
        <w:tblCellMar>
          <w:top w:w="0" w:type="dxa"/>
          <w:left w:w="0" w:type="dxa"/>
          <w:bottom w:w="0" w:type="dxa"/>
          <w:right w:w="0" w:type="dxa"/>
        </w:tblCellMar>
      </w:tblPr>
      <w:tblGrid>
        <w:gridCol w:w="2611"/>
        <w:gridCol w:w="346"/>
        <w:gridCol w:w="211"/>
        <w:gridCol w:w="781"/>
        <w:gridCol w:w="346"/>
        <w:gridCol w:w="109"/>
        <w:gridCol w:w="676"/>
        <w:gridCol w:w="346"/>
        <w:gridCol w:w="109"/>
        <w:gridCol w:w="676"/>
        <w:gridCol w:w="346"/>
        <w:gridCol w:w="109"/>
        <w:gridCol w:w="898"/>
      </w:tblGrid>
      <w:tr>
        <w:trPr/>
        <w:tc>
          <w:tcPr>
            <w:tcW w:w="2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657985" cy="175260"/>
                      <wp:effectExtent l="0" t="0" r="0" b="0"/>
                      <wp:wrapNone/>
                      <wp:docPr id="139" name="Frame139"/>
                      <a:graphic xmlns:a="http://schemas.openxmlformats.org/drawingml/2006/main">
                        <a:graphicData uri="http://schemas.microsoft.com/office/word/2010/wordprocessingShape">
                          <wps:wsp>
                            <wps:cNvSpPr txBox="1"/>
                            <wps:spPr>
                              <a:xfrm>
                                <a:off x="0" y="0"/>
                                <a:ext cx="1657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40" name="Frame1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41" name="Frame1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95935" cy="175260"/>
                      <wp:effectExtent l="0" t="0" r="0" b="0"/>
                      <wp:wrapNone/>
                      <wp:docPr id="142" name="Frame14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3" name="Frame1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9215" cy="175260"/>
                      <wp:effectExtent l="0" t="0" r="0" b="0"/>
                      <wp:wrapNone/>
                      <wp:docPr id="144" name="Frame14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29260" cy="175260"/>
                      <wp:effectExtent l="0" t="0" r="0" b="0"/>
                      <wp:wrapNone/>
                      <wp:docPr id="145" name="Frame14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6"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9215" cy="175260"/>
                      <wp:effectExtent l="0" t="0" r="0" b="0"/>
                      <wp:wrapNone/>
                      <wp:docPr id="147" name="Frame1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29260" cy="175260"/>
                      <wp:effectExtent l="0" t="0" r="0" b="0"/>
                      <wp:wrapNone/>
                      <wp:docPr id="148" name="Frame14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9"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9215" cy="175260"/>
                      <wp:effectExtent l="0" t="0" r="0" b="0"/>
                      <wp:wrapNone/>
                      <wp:docPr id="150" name="Frame1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570230" cy="175260"/>
                      <wp:effectExtent l="0" t="0" r="0" b="0"/>
                      <wp:wrapNone/>
                      <wp:docPr id="151" name="Frame151"/>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b/>
                <w:i/>
                <w:sz w:val="16"/>
              </w:rPr>
            </w:pPr>
            <w:r>
              <w:rPr>
                <w:rFonts w:ascii="Times New Roman;Times;serif" w:hAnsi="Times New Roman;Times;serif"/>
                <w:b/>
                <w:i/>
                <w:sz w:val="16"/>
              </w:rPr>
              <w:t>Three months ended June 30, 2026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left"/>
              <w:rPr/>
            </w:pPr>
            <w:r>
              <w:rPr/>
              <w:t>​</w:t>
            </w:r>
          </w:p>
        </w:tc>
      </w:tr>
      <w:tr>
        <w:trPr/>
        <w:tc>
          <w:tcPr>
            <w:tcW w:w="26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i/>
                <w:sz w:val="16"/>
              </w:rPr>
            </w:pPr>
            <w:r>
              <w:rPr>
                <w:rFonts w:ascii="Times New Roman;Times;serif" w:hAnsi="Times New Roman;Times;serif"/>
                <w:b/>
                <w:i/>
                <w:sz w:val="16"/>
              </w:rPr>
              <w:t>(In thousands)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A&amp;D</w:t>
            </w:r>
          </w:p>
        </w:tc>
        <w:tc>
          <w:tcPr>
            <w:tcW w:w="346" w:type="dxa"/>
            <w:tcBorders/>
            <w:vAlign w:val="center"/>
          </w:tcPr>
          <w:p>
            <w:pPr>
              <w:pStyle w:val="TableContents"/>
              <w:bidi w:val="0"/>
              <w:spacing w:before="0" w:after="0"/>
              <w:ind w:left="0" w:right="0" w:hanging="0"/>
              <w:jc w:val="left"/>
              <w:rPr/>
            </w:pPr>
            <w:r>
              <w:rPr/>
              <w:t>  ​ ​ ​</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USG</w:t>
            </w:r>
          </w:p>
        </w:tc>
        <w:tc>
          <w:tcPr>
            <w:tcW w:w="346" w:type="dxa"/>
            <w:tcBorders/>
            <w:vAlign w:val="center"/>
          </w:tcPr>
          <w:p>
            <w:pPr>
              <w:pStyle w:val="TableContents"/>
              <w:bidi w:val="0"/>
              <w:spacing w:before="0" w:after="0"/>
              <w:ind w:left="0" w:right="0" w:hanging="0"/>
              <w:jc w:val="left"/>
              <w:rPr/>
            </w:pPr>
            <w:r>
              <w:rPr/>
              <w:t>  ​ ​ ​</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Test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Customer type: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pPr>
            <w:r>
              <w:rPr/>
              <w:t>  ​</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51,604</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97,572</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54,850</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204,026</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Government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116,598</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2,391</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16,012</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135,001</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168,202</w:t>
            </w:r>
          </w:p>
        </w:tc>
        <w:tc>
          <w:tcPr>
            <w:tcW w:w="346" w:type="dxa"/>
            <w:tcBorders/>
            <w:vAlign w:val="center"/>
          </w:tcPr>
          <w:p>
            <w:pPr>
              <w:pStyle w:val="TableContents"/>
              <w:bidi w:val="0"/>
              <w:spacing w:before="0" w:after="0"/>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99,963</w:t>
            </w:r>
          </w:p>
        </w:tc>
        <w:tc>
          <w:tcPr>
            <w:tcW w:w="346" w:type="dxa"/>
            <w:tcBorders/>
            <w:vAlign w:val="center"/>
          </w:tcPr>
          <w:p>
            <w:pPr>
              <w:pStyle w:val="TableContents"/>
              <w:bidi w:val="0"/>
              <w:spacing w:before="0" w:after="0"/>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70,862</w:t>
            </w:r>
          </w:p>
        </w:tc>
        <w:tc>
          <w:tcPr>
            <w:tcW w:w="346" w:type="dxa"/>
            <w:tcBorders/>
            <w:vAlign w:val="center"/>
          </w:tcPr>
          <w:p>
            <w:pPr>
              <w:pStyle w:val="TableContents"/>
              <w:bidi w:val="0"/>
              <w:spacing w:before="0" w:after="0"/>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9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339,027</w:t>
            </w:r>
          </w:p>
        </w:tc>
      </w:tr>
      <w:tr>
        <w:trPr/>
        <w:tc>
          <w:tcPr>
            <w:tcW w:w="261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left"/>
              <w:rPr/>
            </w:pPr>
            <w:r>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Geographic location: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pPr>
            <w:r>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110,189</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63,722</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44,222</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218,133</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58,013</w:t>
            </w:r>
          </w:p>
        </w:tc>
        <w:tc>
          <w:tcPr>
            <w:tcW w:w="346" w:type="dxa"/>
            <w:tcBorders/>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36,241</w:t>
            </w:r>
          </w:p>
        </w:tc>
        <w:tc>
          <w:tcPr>
            <w:tcW w:w="346" w:type="dxa"/>
            <w:tcBorders/>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26,640</w:t>
            </w:r>
          </w:p>
        </w:tc>
        <w:tc>
          <w:tcPr>
            <w:tcW w:w="346" w:type="dxa"/>
            <w:tcBorders/>
            <w:vAlign w:val="center"/>
          </w:tcPr>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120,894</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168,202</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99,963</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70,862</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339,027</w:t>
            </w:r>
          </w:p>
        </w:tc>
      </w:tr>
      <w:tr>
        <w:trPr/>
        <w:tc>
          <w:tcPr>
            <w:tcW w:w="26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left"/>
              <w:rPr/>
            </w:pPr>
            <w:r>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 recognition method: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pPr>
            <w:r>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Point in time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72,978</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80,818</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13,608</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167,404</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 time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95,224</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19,145</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57,254</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171,623</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168,202</w:t>
            </w:r>
          </w:p>
        </w:tc>
        <w:tc>
          <w:tcPr>
            <w:tcW w:w="346" w:type="dxa"/>
            <w:tcBorders/>
            <w:vAlign w:val="center"/>
          </w:tcPr>
          <w:p>
            <w:pPr>
              <w:pStyle w:val="TableContents"/>
              <w:bidi w:val="0"/>
              <w:spacing w:before="0" w:after="0"/>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99,963</w:t>
            </w:r>
          </w:p>
        </w:tc>
        <w:tc>
          <w:tcPr>
            <w:tcW w:w="346" w:type="dxa"/>
            <w:tcBorders/>
            <w:vAlign w:val="center"/>
          </w:tcPr>
          <w:p>
            <w:pPr>
              <w:pStyle w:val="TableContents"/>
              <w:bidi w:val="0"/>
              <w:spacing w:before="0" w:after="0"/>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70,862</w:t>
            </w:r>
          </w:p>
        </w:tc>
        <w:tc>
          <w:tcPr>
            <w:tcW w:w="346" w:type="dxa"/>
            <w:tcBorders/>
            <w:vAlign w:val="center"/>
          </w:tcPr>
          <w:p>
            <w:pPr>
              <w:pStyle w:val="TableContents"/>
              <w:bidi w:val="0"/>
              <w:spacing w:before="0" w:after="0"/>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9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339,027</w:t>
            </w:r>
          </w:p>
        </w:tc>
      </w:tr>
    </w:tbl>
    <w:p>
      <w:pPr>
        <w:pStyle w:val="TextBody"/>
        <w:bidi w:val="0"/>
        <w:spacing w:before="0" w:after="0"/>
        <w:ind w:left="0" w:right="0" w:hanging="0"/>
        <w:jc w:val="left"/>
        <w:rPr/>
      </w:pPr>
      <w:r>
        <w:rPr/>
        <w:t>​</w:t>
      </w:r>
    </w:p>
    <w:tbl>
      <w:tblPr>
        <w:tblW w:w="8470" w:type="dxa"/>
        <w:jc w:val="left"/>
        <w:tblInd w:w="0" w:type="dxa"/>
        <w:tblLayout w:type="fixed"/>
        <w:tblCellMar>
          <w:top w:w="0" w:type="dxa"/>
          <w:left w:w="0" w:type="dxa"/>
          <w:bottom w:w="0" w:type="dxa"/>
          <w:right w:w="0" w:type="dxa"/>
        </w:tblCellMar>
      </w:tblPr>
      <w:tblGrid>
        <w:gridCol w:w="2596"/>
        <w:gridCol w:w="346"/>
        <w:gridCol w:w="211"/>
        <w:gridCol w:w="781"/>
        <w:gridCol w:w="346"/>
        <w:gridCol w:w="346"/>
        <w:gridCol w:w="781"/>
        <w:gridCol w:w="346"/>
        <w:gridCol w:w="346"/>
        <w:gridCol w:w="781"/>
        <w:gridCol w:w="346"/>
        <w:gridCol w:w="346"/>
        <w:gridCol w:w="898"/>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648460" cy="175260"/>
                      <wp:effectExtent l="0" t="0" r="0" b="0"/>
                      <wp:wrapNone/>
                      <wp:docPr id="152" name="Frame152"/>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53"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33985" cy="175260"/>
                      <wp:effectExtent l="0" t="0" r="0" b="0"/>
                      <wp:wrapNone/>
                      <wp:docPr id="154" name="Frame1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95935" cy="175260"/>
                      <wp:effectExtent l="0" t="0" r="0" b="0"/>
                      <wp:wrapNone/>
                      <wp:docPr id="155" name="Frame15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56" name="Frame1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7"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495935" cy="175260"/>
                      <wp:effectExtent l="0" t="0" r="0" b="0"/>
                      <wp:wrapNone/>
                      <wp:docPr id="158" name="Frame15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19710" cy="175260"/>
                      <wp:effectExtent l="0" t="0" r="0" b="0"/>
                      <wp:wrapNone/>
                      <wp:docPr id="159" name="Frame1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60"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495935" cy="175260"/>
                      <wp:effectExtent l="0" t="0" r="0" b="0"/>
                      <wp:wrapNone/>
                      <wp:docPr id="161" name="Frame16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62"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63" name="Frame1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570230" cy="175260"/>
                      <wp:effectExtent l="0" t="0" r="0" b="0"/>
                      <wp:wrapNone/>
                      <wp:docPr id="164" name="Frame164"/>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i/>
                <w:sz w:val="16"/>
              </w:rPr>
            </w:pPr>
            <w:r>
              <w:rPr>
                <w:rFonts w:ascii="Times New Roman;Times;serif" w:hAnsi="Times New Roman;Times;serif"/>
                <w:b/>
                <w:i/>
                <w:sz w:val="16"/>
              </w:rPr>
              <w:t>Nine months ended June 30, 2026</w:t>
            </w:r>
          </w:p>
        </w:tc>
        <w:tc>
          <w:tcPr>
            <w:tcW w:w="346" w:type="dxa"/>
            <w:tcBorders/>
            <w:vAlign w:val="center"/>
          </w:tcPr>
          <w:p>
            <w:pPr>
              <w:pStyle w:val="TableContents"/>
              <w:bidi w:val="0"/>
              <w:spacing w:before="0" w:after="1"/>
              <w:ind w:left="0" w:right="0" w:hanging="0"/>
              <w:jc w:val="center"/>
              <w:rPr/>
            </w:pPr>
            <w:r>
              <w:rPr/>
              <w:t>​</w:t>
            </w:r>
          </w:p>
        </w:tc>
        <w:tc>
          <w:tcPr>
            <w:tcW w:w="992" w:type="dxa"/>
            <w:gridSpan w:val="2"/>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898" w:type="dxa"/>
            <w:tcBorders/>
            <w:vAlign w:val="center"/>
          </w:tcPr>
          <w:p>
            <w:pPr>
              <w:pStyle w:val="TableContents"/>
              <w:bidi w:val="0"/>
              <w:spacing w:before="0" w:after="1"/>
              <w:ind w:left="0" w:right="0" w:hanging="0"/>
              <w:jc w:val="center"/>
              <w:rPr/>
            </w:pPr>
            <w:r>
              <w:rPr/>
              <w:t>​</w:t>
            </w:r>
          </w:p>
        </w:tc>
      </w:tr>
      <w:tr>
        <w:trPr/>
        <w:tc>
          <w:tcPr>
            <w:tcW w:w="25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i/>
                <w:sz w:val="16"/>
              </w:rPr>
            </w:pPr>
            <w:r>
              <w:rPr>
                <w:rFonts w:ascii="Times New Roman;Times;serif" w:hAnsi="Times New Roman;Times;serif"/>
                <w:b/>
                <w:i/>
                <w:sz w:val="16"/>
              </w:rPr>
              <w:t>(In thousands)</w:t>
            </w:r>
          </w:p>
        </w:tc>
        <w:tc>
          <w:tcPr>
            <w:tcW w:w="346" w:type="dxa"/>
            <w:tcBorders/>
            <w:vAlign w:val="center"/>
          </w:tcPr>
          <w:p>
            <w:pPr>
              <w:pStyle w:val="TableContents"/>
              <w:bidi w:val="0"/>
              <w:spacing w:before="0" w:after="1"/>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A&amp;D</w:t>
            </w:r>
          </w:p>
        </w:tc>
        <w:tc>
          <w:tcPr>
            <w:tcW w:w="346" w:type="dxa"/>
            <w:tcBorders/>
            <w:vAlign w:val="center"/>
          </w:tcPr>
          <w:p>
            <w:pPr>
              <w:pStyle w:val="TableContents"/>
              <w:bidi w:val="0"/>
              <w:spacing w:before="0" w:after="1"/>
              <w:ind w:left="0" w:right="0" w:hanging="0"/>
              <w:jc w:val="center"/>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USG</w:t>
            </w:r>
          </w:p>
        </w:tc>
        <w:tc>
          <w:tcPr>
            <w:tcW w:w="346" w:type="dxa"/>
            <w:tcBorders/>
            <w:vAlign w:val="center"/>
          </w:tcPr>
          <w:p>
            <w:pPr>
              <w:pStyle w:val="TableContents"/>
              <w:bidi w:val="0"/>
              <w:spacing w:before="0" w:after="1"/>
              <w:ind w:left="0" w:right="0" w:hanging="0"/>
              <w:jc w:val="center"/>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Test</w:t>
            </w:r>
          </w:p>
        </w:tc>
        <w:tc>
          <w:tcPr>
            <w:tcW w:w="346" w:type="dxa"/>
            <w:tcBorders/>
            <w:vAlign w:val="center"/>
          </w:tcPr>
          <w:p>
            <w:pPr>
              <w:pStyle w:val="TableContents"/>
              <w:bidi w:val="0"/>
              <w:spacing w:before="0" w:after="1"/>
              <w:ind w:left="0" w:right="0" w:hanging="0"/>
              <w:jc w:val="center"/>
              <w:rPr/>
            </w:pPr>
            <w:r>
              <w:rPr/>
              <w:t>  ​ ​ ​</w:t>
            </w:r>
          </w:p>
        </w:tc>
        <w:tc>
          <w:tcPr>
            <w:tcW w:w="124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Customer type:</w:t>
            </w:r>
          </w:p>
        </w:tc>
        <w:tc>
          <w:tcPr>
            <w:tcW w:w="34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78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center"/>
              <w:rPr/>
            </w:pPr>
            <w:r>
              <w:rPr/>
              <w:t>​</w:t>
            </w:r>
          </w:p>
        </w:tc>
        <w:tc>
          <w:tcPr>
            <w:tcW w:w="898" w:type="dxa"/>
            <w:tcBorders/>
            <w:shd w:fill="CCEEFF" w:val="clear"/>
            <w:vAlign w:val="center"/>
          </w:tcPr>
          <w:p>
            <w:pPr>
              <w:pStyle w:val="TableContents"/>
              <w:bidi w:val="0"/>
              <w:spacing w:before="0" w:after="1"/>
              <w:ind w:left="0" w:right="0" w:hanging="0"/>
              <w:jc w:val="center"/>
              <w:rPr/>
            </w:pPr>
            <w:r>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153,336</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273,291</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156,396</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583,023</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Government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309,005</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7,685</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38,314</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355,004</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462,341</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280,976</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194,710</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89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938,027</w:t>
            </w:r>
          </w:p>
        </w:tc>
      </w:tr>
      <w:tr>
        <w:trPr/>
        <w:tc>
          <w:tcPr>
            <w:tcW w:w="25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left"/>
              <w:rPr/>
            </w:pPr>
            <w:r>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Geographic location: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302,584</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183,319</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121,276</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607,179</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International</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159,757</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97,657</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73,434</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330,848</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462,341</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280,976</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194,710</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938,027</w: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lef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 recognition method: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pPr>
            <w:r>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Point in time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209,389</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224,333</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40,908</w:t>
            </w:r>
          </w:p>
        </w:tc>
        <w:tc>
          <w:tcPr>
            <w:tcW w:w="34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474,630</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Over time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252,952</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56,643</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153,802</w:t>
            </w:r>
          </w:p>
        </w:tc>
        <w:tc>
          <w:tcPr>
            <w:tcW w:w="346" w:type="dxa"/>
            <w:tcBorders/>
            <w:shd w:fill="CCEEFF" w:val="cle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463,397</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462,341</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280,976</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194,710</w:t>
            </w:r>
          </w:p>
        </w:tc>
        <w:tc>
          <w:tcPr>
            <w:tcW w:w="346" w:type="dxa"/>
            <w:tcBorders/>
            <w:vAlign w:val="center"/>
          </w:tcPr>
          <w:p>
            <w:pPr>
              <w:pStyle w:val="TableContents"/>
              <w:bidi w:val="0"/>
              <w:spacing w:before="0" w:after="1"/>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898"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938,027</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0"/>
        <w:ind w:left="360" w:right="0" w:hanging="0"/>
        <w:jc w:val="left"/>
        <w:rPr>
          <w:rFonts w:ascii="Times New Roman;Times;serif" w:hAnsi="Times New Roman;Times;serif"/>
          <w:sz w:val="20"/>
        </w:rPr>
      </w:pPr>
      <w:bookmarkStart w:id="1011" w:name="Tc_-Xw4wN1askmnMrwltfb85w_16_2"/>
      <w:bookmarkStart w:id="1012" w:name="Tc_sFd6dRUrgEqtvBWkgVdjRg_16_0"/>
      <w:bookmarkStart w:id="1013" w:name="Tc_6r3WmN5wlkGYZPtztCViIw_15_0"/>
      <w:bookmarkStart w:id="1014" w:name="Tc_-5imnw2fUkyEbMg4cpJUGA_14_2"/>
      <w:bookmarkStart w:id="1015" w:name="Tc_JIsaiVCsrEuCzNFwrSYYgg_14_0"/>
      <w:bookmarkStart w:id="1016" w:name="Tc_P9XfB1bs8EeKrbLjYBVaFw_13_0"/>
      <w:bookmarkStart w:id="1017" w:name="Tc_ASffxEFSbEWkJIl-oD6kpg_11_2"/>
      <w:bookmarkStart w:id="1018" w:name="Tc_ZRjjxt8UcUOQT2WrJlEadQ_11_0"/>
      <w:bookmarkStart w:id="1019" w:name="Tc_QixNjU5oz0OFUW8a5jvazQ_10_0"/>
      <w:bookmarkStart w:id="1020" w:name="Tc_FpgPS5_DJE-llH90g5PsfQ_9_2"/>
      <w:bookmarkStart w:id="1021" w:name="Tc_JpFyoBEftk6aRW2IIULY8Q_9_0"/>
      <w:bookmarkStart w:id="1022" w:name="Tc_i9ARVo1V8U6M6Op8HLT_dw_8_0"/>
      <w:bookmarkStart w:id="1023" w:name="Tc_6vir-QEMaEOfhjYPcP4_zQ_6_2"/>
      <w:bookmarkStart w:id="1024" w:name="Tc_bHE6h-6ojEazqIbL-1fAMw_6_0"/>
      <w:bookmarkStart w:id="1025" w:name="Tc_F_ydHsoT-EGrhaamf38vHA_5_0"/>
      <w:bookmarkStart w:id="1026" w:name="Tc_i4X03aaEa0W82JqQHB1FaQ_4_2"/>
      <w:bookmarkStart w:id="1027" w:name="Tc_i4cObUDDKkC37s8Yi2dE9Q_4_0"/>
      <w:bookmarkStart w:id="1028" w:name="Tc_hEA-R82MCEW75aKMOmGvoA_3_0"/>
      <w:bookmarkStart w:id="1029" w:name="Tc_s20byIm4D0SFj1xSPlxcfw_2_11"/>
      <w:bookmarkStart w:id="1030" w:name="Tc_aeodezDepUC96f14vOBZZA_2_8"/>
      <w:bookmarkStart w:id="1031" w:name="Tc__7CfCeGRvUW1bwwdHKxQEQ_2_5"/>
      <w:bookmarkStart w:id="1032" w:name="Tc_noJLn55wb0uHEcWARrPziQ_2_2"/>
      <w:bookmarkStart w:id="1033" w:name="Tc_W8JKQcv0z0STUeGs_oDR8w_2_0"/>
      <w:bookmarkStart w:id="1034" w:name="Tc_SiruSmM2L06B84DFFLDpeg_1_0"/>
      <w:bookmarkStart w:id="1035" w:name="_7c175b5b_3ed6_4b1d_9ffd_a61b61bfe059"/>
      <w:bookmarkStart w:id="1036" w:name="Tc_f1YuB5aIzkinaaurP6tMRg_16_2"/>
      <w:bookmarkStart w:id="1037" w:name="Tc_YVY7O7b6skSlv_kg-rlUjg_16_0"/>
      <w:bookmarkStart w:id="1038" w:name="Tc_cVTyvU8mu0W3zRcepGUWqA_15_0"/>
      <w:bookmarkStart w:id="1039" w:name="Tc_NU21KOQDPEK8q0fL_pNsEw_14_2"/>
      <w:bookmarkStart w:id="1040" w:name="Tc_guGSD1TSmk6YN98TMr6Cwg_14_0"/>
      <w:bookmarkStart w:id="1041" w:name="Tc_JyWwhOFrX02zFx7nQUmMXA_13_0"/>
      <w:bookmarkStart w:id="1042" w:name="Tc_wXYS-djEcEi-KszsMkz-QQ_11_2"/>
      <w:bookmarkStart w:id="1043" w:name="Tc_oZIhRKKS5EWLUKjkFpyIxA_11_0"/>
      <w:bookmarkStart w:id="1044" w:name="Tc_hMaBKLMBLU-tHiDnDYLiEQ_10_0"/>
      <w:bookmarkStart w:id="1045" w:name="Tc_1YWLgqNWzE6TF7TOrt7EQQ_9_2"/>
      <w:bookmarkStart w:id="1046" w:name="Tc_9uGtRvoGJUOUEU-_UA1Xcw_9_0"/>
      <w:bookmarkStart w:id="1047" w:name="Tc_VHxercEAVUSGuVH73s-1IQ_8_0"/>
      <w:bookmarkStart w:id="1048" w:name="Tc_4pdKRHf1R0SOQk1yt3gPPQ_6_2"/>
      <w:bookmarkStart w:id="1049" w:name="Tc_wKK1OpbKoEO0hKJyOkZ-vA_6_0"/>
      <w:bookmarkStart w:id="1050" w:name="Tc_NoeexYnLVEmEZLfewP7HGw_5_0"/>
      <w:bookmarkStart w:id="1051" w:name="Tc_yHiNMBuHKUmmIqFifrIR_w_4_2"/>
      <w:bookmarkStart w:id="1052" w:name="Tc_5qHMSIgDnEa8BaFdKzlyaw_4_0"/>
      <w:bookmarkStart w:id="1053" w:name="Tc_4hpJ_boWAUCwBaS9CBsfuA_3_0"/>
      <w:bookmarkStart w:id="1054" w:name="Tc_BGOrdLiL8E-hcxB6U5oO0Q_2_11"/>
      <w:bookmarkStart w:id="1055" w:name="Tc_tQdRM272FUqbP0qxnd7fKw_2_8"/>
      <w:bookmarkStart w:id="1056" w:name="Tc_LNTl21iVo0qzXXh0XDZmBw_2_5"/>
      <w:bookmarkStart w:id="1057" w:name="Tc_ZtXB3x5-IUqniQKrVyzTYw_2_2"/>
      <w:bookmarkStart w:id="1058" w:name="Tc_FIwEtRdKEkOvcgOTPVFfNQ_2_0"/>
      <w:bookmarkStart w:id="1059" w:name="Tc_jRmhJy4xoU-unqZ-5x3sSQ_1_0"/>
      <w:bookmarkStart w:id="1060" w:name="_65ad25a6_0087_4ccc_861b_867b02939c4c"/>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r>
        <w:rPr>
          <w:rFonts w:ascii="Times New Roman;Times;serif" w:hAnsi="Times New Roman;Times;serif"/>
          <w:sz w:val="20"/>
        </w:rPr>
        <w:t>Revenues from continuing operations by customer type, geographic location, and revenue recognition method for the three and nine-month periods ended June 30, 2025 are presented in the tables below.</w:t>
      </w:r>
    </w:p>
    <w:p>
      <w:pPr>
        <w:pStyle w:val="TextBody"/>
        <w:bidi w:val="0"/>
        <w:spacing w:before="0" w:after="0"/>
        <w:ind w:left="0" w:right="0" w:hanging="0"/>
        <w:jc w:val="left"/>
        <w:rPr/>
      </w:pPr>
      <w:r>
        <w:rPr/>
        <w:t>​</w:t>
      </w:r>
    </w:p>
    <w:tbl>
      <w:tblPr>
        <w:tblW w:w="7564" w:type="dxa"/>
        <w:jc w:val="left"/>
        <w:tblInd w:w="0" w:type="dxa"/>
        <w:tblLayout w:type="fixed"/>
        <w:tblCellMar>
          <w:top w:w="0" w:type="dxa"/>
          <w:left w:w="0" w:type="dxa"/>
          <w:bottom w:w="0" w:type="dxa"/>
          <w:right w:w="0" w:type="dxa"/>
        </w:tblCellMar>
      </w:tblPr>
      <w:tblGrid>
        <w:gridCol w:w="2611"/>
        <w:gridCol w:w="346"/>
        <w:gridCol w:w="211"/>
        <w:gridCol w:w="781"/>
        <w:gridCol w:w="346"/>
        <w:gridCol w:w="109"/>
        <w:gridCol w:w="676"/>
        <w:gridCol w:w="346"/>
        <w:gridCol w:w="109"/>
        <w:gridCol w:w="676"/>
        <w:gridCol w:w="346"/>
        <w:gridCol w:w="109"/>
        <w:gridCol w:w="898"/>
      </w:tblGrid>
      <w:tr>
        <w:trPr/>
        <w:tc>
          <w:tcPr>
            <w:tcW w:w="2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657985" cy="175260"/>
                      <wp:effectExtent l="0" t="0" r="0" b="0"/>
                      <wp:wrapNone/>
                      <wp:docPr id="165" name="Frame165"/>
                      <a:graphic xmlns:a="http://schemas.openxmlformats.org/drawingml/2006/main">
                        <a:graphicData uri="http://schemas.microsoft.com/office/word/2010/wordprocessingShape">
                          <wps:wsp>
                            <wps:cNvSpPr txBox="1"/>
                            <wps:spPr>
                              <a:xfrm>
                                <a:off x="0" y="0"/>
                                <a:ext cx="1657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6" name="Frame1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33985" cy="175260"/>
                      <wp:effectExtent l="0" t="0" r="0" b="0"/>
                      <wp:wrapNone/>
                      <wp:docPr id="167" name="Frame1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495935" cy="175260"/>
                      <wp:effectExtent l="0" t="0" r="0" b="0"/>
                      <wp:wrapNone/>
                      <wp:docPr id="168" name="Frame16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175260"/>
                      <wp:effectExtent l="0" t="0" r="0" b="0"/>
                      <wp:wrapNone/>
                      <wp:docPr id="169" name="Frame1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9215" cy="175260"/>
                      <wp:effectExtent l="0" t="0" r="0" b="0"/>
                      <wp:wrapNone/>
                      <wp:docPr id="170" name="Frame1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429260" cy="175260"/>
                      <wp:effectExtent l="0" t="0" r="0" b="0"/>
                      <wp:wrapNone/>
                      <wp:docPr id="171" name="Frame17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72" name="Frame1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9215" cy="175260"/>
                      <wp:effectExtent l="0" t="0" r="0" b="0"/>
                      <wp:wrapNone/>
                      <wp:docPr id="173" name="Frame1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429260" cy="175260"/>
                      <wp:effectExtent l="0" t="0" r="0" b="0"/>
                      <wp:wrapNone/>
                      <wp:docPr id="174" name="Frame17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5"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9215" cy="175260"/>
                      <wp:effectExtent l="0" t="0" r="0" b="0"/>
                      <wp:wrapNone/>
                      <wp:docPr id="176" name="Frame1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570230" cy="175260"/>
                      <wp:effectExtent l="0" t="0" r="0" b="0"/>
                      <wp:wrapNone/>
                      <wp:docPr id="177" name="Frame177"/>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11" w:type="dxa"/>
            <w:tcBorders/>
            <w:vAlign w:val="center"/>
          </w:tcPr>
          <w:p>
            <w:pPr>
              <w:pStyle w:val="TableContents"/>
              <w:bidi w:val="0"/>
              <w:spacing w:before="0" w:after="1"/>
              <w:ind w:left="0" w:right="0" w:hanging="0"/>
              <w:jc w:val="left"/>
              <w:rPr>
                <w:rFonts w:ascii="Times New Roman;Times;serif" w:hAnsi="Times New Roman;Times;serif"/>
                <w:b/>
                <w:i/>
                <w:sz w:val="16"/>
              </w:rPr>
            </w:pPr>
            <w:r>
              <w:rPr>
                <w:rFonts w:ascii="Times New Roman;Times;serif" w:hAnsi="Times New Roman;Times;serif"/>
                <w:b/>
                <w:i/>
                <w:sz w:val="16"/>
              </w:rPr>
              <w:t>Three months ended June 30, 2025</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98" w:type="dxa"/>
            <w:tcBorders/>
            <w:vAlign w:val="center"/>
          </w:tcPr>
          <w:p>
            <w:pPr>
              <w:pStyle w:val="TableContents"/>
              <w:bidi w:val="0"/>
              <w:spacing w:before="0" w:after="1"/>
              <w:ind w:left="0" w:right="0" w:hanging="0"/>
              <w:jc w:val="center"/>
              <w:rPr/>
            </w:pPr>
            <w:r>
              <w:rPr/>
              <w:t>​</w:t>
            </w:r>
          </w:p>
        </w:tc>
      </w:tr>
      <w:tr>
        <w:trPr/>
        <w:tc>
          <w:tcPr>
            <w:tcW w:w="26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i/>
                <w:sz w:val="16"/>
              </w:rPr>
            </w:pPr>
            <w:r>
              <w:rPr>
                <w:rFonts w:ascii="Times New Roman;Times;serif" w:hAnsi="Times New Roman;Times;serif"/>
                <w:b/>
                <w:i/>
                <w:sz w:val="16"/>
              </w:rPr>
              <w:t>(In thousands)</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A&amp;D</w:t>
            </w:r>
          </w:p>
        </w:tc>
        <w:tc>
          <w:tcPr>
            <w:tcW w:w="346" w:type="dxa"/>
            <w:tcBorders/>
            <w:vAlign w:val="center"/>
          </w:tcPr>
          <w:p>
            <w:pPr>
              <w:pStyle w:val="TableContents"/>
              <w:bidi w:val="0"/>
              <w:spacing w:before="0" w:after="1"/>
              <w:ind w:left="0" w:right="0" w:hanging="0"/>
              <w:jc w:val="left"/>
              <w:rPr/>
            </w:pPr>
            <w:r>
              <w:rPr/>
              <w:t>  ​ ​ ​</w:t>
            </w:r>
          </w:p>
        </w:tc>
        <w:tc>
          <w:tcPr>
            <w:tcW w:w="7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USG</w:t>
            </w:r>
          </w:p>
        </w:tc>
        <w:tc>
          <w:tcPr>
            <w:tcW w:w="346" w:type="dxa"/>
            <w:tcBorders/>
            <w:vAlign w:val="center"/>
          </w:tcPr>
          <w:p>
            <w:pPr>
              <w:pStyle w:val="TableContents"/>
              <w:bidi w:val="0"/>
              <w:spacing w:before="0" w:after="1"/>
              <w:ind w:left="0" w:right="0" w:hanging="0"/>
              <w:jc w:val="left"/>
              <w:rPr/>
            </w:pPr>
            <w:r>
              <w:rPr/>
              <w:t>  ​ ​ ​</w:t>
            </w:r>
          </w:p>
        </w:tc>
        <w:tc>
          <w:tcPr>
            <w:tcW w:w="7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Test</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Customer type: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left"/>
              <w:rPr/>
            </w:pPr>
            <w:r>
              <w:rPr/>
              <w:t>​</w:t>
            </w:r>
          </w:p>
        </w:tc>
      </w:tr>
      <w:tr>
        <w:trPr/>
        <w:tc>
          <w:tcPr>
            <w:tcW w:w="2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57,297</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87,653</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50,591</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195,541</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Government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79,027</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4,704</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17,072</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100,803</w:t>
            </w:r>
          </w:p>
        </w:tc>
      </w:tr>
      <w:tr>
        <w:trPr/>
        <w:tc>
          <w:tcPr>
            <w:tcW w:w="2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136,324</w:t>
            </w:r>
          </w:p>
        </w:tc>
        <w:tc>
          <w:tcPr>
            <w:tcW w:w="346" w:type="dxa"/>
            <w:tcBorders/>
            <w:vAlign w:val="center"/>
          </w:tcPr>
          <w:p>
            <w:pPr>
              <w:pStyle w:val="TableContents"/>
              <w:bidi w:val="0"/>
              <w:spacing w:before="0" w:after="1"/>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92,357</w:t>
            </w:r>
          </w:p>
        </w:tc>
        <w:tc>
          <w:tcPr>
            <w:tcW w:w="346" w:type="dxa"/>
            <w:tcBorders/>
            <w:vAlign w:val="center"/>
          </w:tcPr>
          <w:p>
            <w:pPr>
              <w:pStyle w:val="TableContents"/>
              <w:bidi w:val="0"/>
              <w:spacing w:before="0" w:after="1"/>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67,663</w:t>
            </w:r>
          </w:p>
        </w:tc>
        <w:tc>
          <w:tcPr>
            <w:tcW w:w="346" w:type="dxa"/>
            <w:tcBorders/>
            <w:vAlign w:val="center"/>
          </w:tcPr>
          <w:p>
            <w:pPr>
              <w:pStyle w:val="TableContents"/>
              <w:bidi w:val="0"/>
              <w:spacing w:before="0" w:after="1"/>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89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296,344</w:t>
            </w:r>
          </w:p>
        </w:tc>
      </w:tr>
      <w:tr>
        <w:trPr/>
        <w:tc>
          <w:tcPr>
            <w:tcW w:w="26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left"/>
              <w:rPr/>
            </w:pPr>
            <w:r>
              <w:rPr/>
              <w:t>​</w:t>
            </w:r>
          </w:p>
        </w:tc>
      </w:tr>
      <w:tr>
        <w:trPr/>
        <w:tc>
          <w:tcPr>
            <w:tcW w:w="261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Geographic location: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pPr>
            <w:r>
              <w:rPr/>
              <w:t>​</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94,518</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63,062</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36,188</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193,768</w:t>
            </w:r>
          </w:p>
        </w:tc>
      </w:tr>
      <w:tr>
        <w:trPr/>
        <w:tc>
          <w:tcPr>
            <w:tcW w:w="2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International</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41,806</w:t>
            </w:r>
          </w:p>
        </w:tc>
        <w:tc>
          <w:tcPr>
            <w:tcW w:w="346" w:type="dxa"/>
            <w:tcBorders/>
            <w:vAlign w:val="center"/>
          </w:tcPr>
          <w:p>
            <w:pPr>
              <w:pStyle w:val="TableContents"/>
              <w:bidi w:val="0"/>
              <w:spacing w:before="0" w:after="1"/>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29,295</w:t>
            </w:r>
          </w:p>
        </w:tc>
        <w:tc>
          <w:tcPr>
            <w:tcW w:w="346" w:type="dxa"/>
            <w:tcBorders/>
            <w:vAlign w:val="center"/>
          </w:tcPr>
          <w:p>
            <w:pPr>
              <w:pStyle w:val="TableContents"/>
              <w:bidi w:val="0"/>
              <w:spacing w:before="0" w:after="1"/>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31,475</w:t>
            </w:r>
          </w:p>
        </w:tc>
        <w:tc>
          <w:tcPr>
            <w:tcW w:w="346" w:type="dxa"/>
            <w:tcBorders/>
            <w:vAlign w:val="center"/>
          </w:tcPr>
          <w:p>
            <w:pPr>
              <w:pStyle w:val="TableContents"/>
              <w:bidi w:val="0"/>
              <w:spacing w:before="0" w:after="1"/>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102,576</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136,324</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92,357</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67,663</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296,344</w:t>
            </w:r>
          </w:p>
        </w:tc>
      </w:tr>
      <w:tr>
        <w:trPr/>
        <w:tc>
          <w:tcPr>
            <w:tcW w:w="26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left"/>
              <w:rPr/>
            </w:pPr>
            <w:r>
              <w:rPr/>
              <w:t>​</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 recognition method: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pPr>
            <w:r>
              <w:rPr/>
              <w:t>​</w:t>
            </w:r>
          </w:p>
        </w:tc>
      </w:tr>
      <w:tr>
        <w:trPr/>
        <w:tc>
          <w:tcPr>
            <w:tcW w:w="2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Point in time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66,833</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74,143</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11,123</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152,099</w:t>
            </w:r>
          </w:p>
        </w:tc>
      </w:tr>
      <w:tr>
        <w:trPr/>
        <w:tc>
          <w:tcPr>
            <w:tcW w:w="26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Over time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69,491</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18,214</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56,540</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144,245</w:t>
            </w:r>
          </w:p>
        </w:tc>
      </w:tr>
      <w:tr>
        <w:trPr/>
        <w:tc>
          <w:tcPr>
            <w:tcW w:w="26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136,324</w:t>
            </w:r>
          </w:p>
        </w:tc>
        <w:tc>
          <w:tcPr>
            <w:tcW w:w="346" w:type="dxa"/>
            <w:tcBorders/>
            <w:vAlign w:val="center"/>
          </w:tcPr>
          <w:p>
            <w:pPr>
              <w:pStyle w:val="TableContents"/>
              <w:bidi w:val="0"/>
              <w:spacing w:before="0" w:after="1"/>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92,357</w:t>
            </w:r>
          </w:p>
        </w:tc>
        <w:tc>
          <w:tcPr>
            <w:tcW w:w="346" w:type="dxa"/>
            <w:tcBorders/>
            <w:vAlign w:val="center"/>
          </w:tcPr>
          <w:p>
            <w:pPr>
              <w:pStyle w:val="TableContents"/>
              <w:bidi w:val="0"/>
              <w:spacing w:before="0" w:after="1"/>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67,663</w:t>
            </w:r>
          </w:p>
        </w:tc>
        <w:tc>
          <w:tcPr>
            <w:tcW w:w="346" w:type="dxa"/>
            <w:tcBorders/>
            <w:vAlign w:val="center"/>
          </w:tcPr>
          <w:p>
            <w:pPr>
              <w:pStyle w:val="TableContents"/>
              <w:bidi w:val="0"/>
              <w:spacing w:before="0" w:after="1"/>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898"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296,344</w:t>
            </w:r>
          </w:p>
        </w:tc>
      </w:tr>
    </w:tbl>
    <w:p>
      <w:pPr>
        <w:pStyle w:val="TextBody"/>
        <w:bidi w:val="0"/>
        <w:spacing w:before="0" w:after="240"/>
        <w:ind w:left="0" w:right="0" w:hanging="0"/>
        <w:jc w:val="left"/>
        <w:rPr/>
      </w:pPr>
      <w:r>
        <w:rPr/>
        <w:t>​</w:t>
      </w:r>
    </w:p>
    <w:tbl>
      <w:tblPr>
        <w:tblW w:w="7759" w:type="dxa"/>
        <w:jc w:val="left"/>
        <w:tblInd w:w="0" w:type="dxa"/>
        <w:tblLayout w:type="fixed"/>
        <w:tblCellMar>
          <w:top w:w="0" w:type="dxa"/>
          <w:left w:w="0" w:type="dxa"/>
          <w:bottom w:w="0" w:type="dxa"/>
          <w:right w:w="0" w:type="dxa"/>
        </w:tblCellMar>
      </w:tblPr>
      <w:tblGrid>
        <w:gridCol w:w="2596"/>
        <w:gridCol w:w="346"/>
        <w:gridCol w:w="211"/>
        <w:gridCol w:w="781"/>
        <w:gridCol w:w="346"/>
        <w:gridCol w:w="109"/>
        <w:gridCol w:w="781"/>
        <w:gridCol w:w="346"/>
        <w:gridCol w:w="109"/>
        <w:gridCol w:w="781"/>
        <w:gridCol w:w="346"/>
        <w:gridCol w:w="109"/>
        <w:gridCol w:w="898"/>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648460" cy="175260"/>
                      <wp:effectExtent l="0" t="0" r="0" b="0"/>
                      <wp:wrapNone/>
                      <wp:docPr id="178" name="Frame178"/>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9710" cy="175260"/>
                      <wp:effectExtent l="0" t="0" r="0" b="0"/>
                      <wp:wrapNone/>
                      <wp:docPr id="179" name="Frame1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33985" cy="175260"/>
                      <wp:effectExtent l="0" t="0" r="0" b="0"/>
                      <wp:wrapNone/>
                      <wp:docPr id="180" name="Frame1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495935" cy="175260"/>
                      <wp:effectExtent l="0" t="0" r="0" b="0"/>
                      <wp:wrapNone/>
                      <wp:docPr id="181" name="Frame18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9710" cy="175260"/>
                      <wp:effectExtent l="0" t="0" r="0" b="0"/>
                      <wp:wrapNone/>
                      <wp:docPr id="182" name="Frame1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9215" cy="175260"/>
                      <wp:effectExtent l="0" t="0" r="0" b="0"/>
                      <wp:wrapNone/>
                      <wp:docPr id="183" name="Frame1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95935" cy="175260"/>
                      <wp:effectExtent l="0" t="0" r="0" b="0"/>
                      <wp:wrapNone/>
                      <wp:docPr id="184" name="Frame18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5" name="Frame1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9215" cy="175260"/>
                      <wp:effectExtent l="0" t="0" r="0" b="0"/>
                      <wp:wrapNone/>
                      <wp:docPr id="186" name="Frame1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495935" cy="175260"/>
                      <wp:effectExtent l="0" t="0" r="0" b="0"/>
                      <wp:wrapNone/>
                      <wp:docPr id="187" name="Frame18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8"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9215" cy="175260"/>
                      <wp:effectExtent l="0" t="0" r="0" b="0"/>
                      <wp:wrapNone/>
                      <wp:docPr id="189" name="Frame1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570230" cy="175260"/>
                      <wp:effectExtent l="0" t="0" r="0" b="0"/>
                      <wp:wrapNone/>
                      <wp:docPr id="190" name="Frame190"/>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i/>
                <w:sz w:val="16"/>
              </w:rPr>
            </w:pPr>
            <w:r>
              <w:rPr>
                <w:rFonts w:ascii="Times New Roman;Times;serif" w:hAnsi="Times New Roman;Times;serif"/>
                <w:b/>
                <w:i/>
                <w:sz w:val="16"/>
              </w:rPr>
              <w:t>Nine months ended June 30, 2025</w:t>
            </w:r>
          </w:p>
        </w:tc>
        <w:tc>
          <w:tcPr>
            <w:tcW w:w="34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898" w:type="dxa"/>
            <w:tcBorders/>
            <w:vAlign w:val="center"/>
          </w:tcPr>
          <w:p>
            <w:pPr>
              <w:pStyle w:val="TableContents"/>
              <w:bidi w:val="0"/>
              <w:spacing w:before="0" w:after="1"/>
              <w:ind w:left="0" w:right="0" w:hanging="0"/>
              <w:jc w:val="center"/>
              <w:rPr/>
            </w:pPr>
            <w:r>
              <w:rPr/>
              <w:t>​</w:t>
            </w:r>
          </w:p>
        </w:tc>
      </w:tr>
      <w:tr>
        <w:trPr/>
        <w:tc>
          <w:tcPr>
            <w:tcW w:w="25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i/>
                <w:sz w:val="16"/>
              </w:rPr>
            </w:pPr>
            <w:r>
              <w:rPr>
                <w:rFonts w:ascii="Times New Roman;Times;serif" w:hAnsi="Times New Roman;Times;serif"/>
                <w:b/>
                <w:i/>
                <w:sz w:val="16"/>
              </w:rPr>
              <w:t>(In thousands)</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A&amp;D</w:t>
            </w:r>
          </w:p>
        </w:tc>
        <w:tc>
          <w:tcPr>
            <w:tcW w:w="346" w:type="dxa"/>
            <w:tcBorders/>
            <w:vAlign w:val="center"/>
          </w:tcPr>
          <w:p>
            <w:pPr>
              <w:pStyle w:val="TableContents"/>
              <w:bidi w:val="0"/>
              <w:spacing w:before="0" w:after="1"/>
              <w:ind w:left="0" w:right="0" w:hanging="0"/>
              <w:jc w:val="left"/>
              <w:rPr/>
            </w:pPr>
            <w:r>
              <w:rPr/>
              <w:t>  ​ ​ ​</w:t>
            </w:r>
          </w:p>
        </w:tc>
        <w:tc>
          <w:tcPr>
            <w:tcW w:w="8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USG</w:t>
            </w:r>
          </w:p>
        </w:tc>
        <w:tc>
          <w:tcPr>
            <w:tcW w:w="346" w:type="dxa"/>
            <w:tcBorders/>
            <w:vAlign w:val="center"/>
          </w:tcPr>
          <w:p>
            <w:pPr>
              <w:pStyle w:val="TableContents"/>
              <w:bidi w:val="0"/>
              <w:spacing w:before="0" w:after="1"/>
              <w:ind w:left="0" w:right="0" w:hanging="0"/>
              <w:jc w:val="left"/>
              <w:rPr/>
            </w:pPr>
            <w:r>
              <w:rPr/>
              <w:t>  ​ ​ ​</w:t>
            </w:r>
          </w:p>
        </w:tc>
        <w:tc>
          <w:tcPr>
            <w:tcW w:w="8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Test</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Customer type:</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109"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left"/>
              <w:rPr/>
            </w:pPr>
            <w:r>
              <w:rPr/>
              <w:t>  ​</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Commercial</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151,756</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261,581</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124,831</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538,168</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Government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156,063</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8,203</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40,280</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204,546</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307,819</w:t>
            </w:r>
          </w:p>
        </w:tc>
        <w:tc>
          <w:tcPr>
            <w:tcW w:w="346" w:type="dxa"/>
            <w:tcBorders/>
            <w:vAlign w:val="center"/>
          </w:tcPr>
          <w:p>
            <w:pPr>
              <w:pStyle w:val="TableContents"/>
              <w:bidi w:val="0"/>
              <w:spacing w:before="0" w:after="1"/>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269,784</w:t>
            </w:r>
          </w:p>
        </w:tc>
        <w:tc>
          <w:tcPr>
            <w:tcW w:w="346" w:type="dxa"/>
            <w:tcBorders/>
            <w:vAlign w:val="center"/>
          </w:tcPr>
          <w:p>
            <w:pPr>
              <w:pStyle w:val="TableContents"/>
              <w:bidi w:val="0"/>
              <w:spacing w:before="0" w:after="1"/>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165,111</w:t>
            </w:r>
          </w:p>
        </w:tc>
        <w:tc>
          <w:tcPr>
            <w:tcW w:w="346" w:type="dxa"/>
            <w:tcBorders/>
            <w:vAlign w:val="center"/>
          </w:tcPr>
          <w:p>
            <w:pPr>
              <w:pStyle w:val="TableContents"/>
              <w:bidi w:val="0"/>
              <w:spacing w:before="0" w:after="1"/>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89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742,714</w:t>
            </w:r>
          </w:p>
        </w:tc>
      </w:tr>
      <w:tr>
        <w:trPr/>
        <w:tc>
          <w:tcPr>
            <w:tcW w:w="25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left"/>
              <w:rPr/>
            </w:pPr>
            <w:r>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Geographic location:</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226,444</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173,121</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97,086</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496,651</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International</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81,375</w:t>
            </w:r>
          </w:p>
        </w:tc>
        <w:tc>
          <w:tcPr>
            <w:tcW w:w="346" w:type="dxa"/>
            <w:tcBorders/>
            <w:vAlign w:val="center"/>
          </w:tcPr>
          <w:p>
            <w:pPr>
              <w:pStyle w:val="TableContents"/>
              <w:bidi w:val="0"/>
              <w:spacing w:before="0" w:after="1"/>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96,663</w:t>
            </w:r>
          </w:p>
        </w:tc>
        <w:tc>
          <w:tcPr>
            <w:tcW w:w="346" w:type="dxa"/>
            <w:tcBorders/>
            <w:vAlign w:val="center"/>
          </w:tcPr>
          <w:p>
            <w:pPr>
              <w:pStyle w:val="TableContents"/>
              <w:bidi w:val="0"/>
              <w:spacing w:before="0" w:after="1"/>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68,025</w:t>
            </w:r>
          </w:p>
        </w:tc>
        <w:tc>
          <w:tcPr>
            <w:tcW w:w="346" w:type="dxa"/>
            <w:tcBorders/>
            <w:vAlign w:val="center"/>
          </w:tcPr>
          <w:p>
            <w:pPr>
              <w:pStyle w:val="TableContents"/>
              <w:bidi w:val="0"/>
              <w:spacing w:before="0" w:after="1"/>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246,063</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307,819</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269,784</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165,111</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742,714</w: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left"/>
              <w:rPr/>
            </w:pPr>
            <w:r>
              <w:rPr/>
              <w:t>​</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 recognition method: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98" w:type="dxa"/>
            <w:tcBorders/>
            <w:shd w:fill="CCEEFF" w:val="clear"/>
            <w:vAlign w:val="center"/>
          </w:tcPr>
          <w:p>
            <w:pPr>
              <w:pStyle w:val="TableContents"/>
              <w:bidi w:val="0"/>
              <w:spacing w:before="0" w:after="1"/>
              <w:ind w:left="0" w:right="0" w:hanging="0"/>
              <w:jc w:val="right"/>
              <w:rPr/>
            </w:pPr>
            <w:r>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Point in time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166,191</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216,423</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32,522</w:t>
            </w:r>
          </w:p>
        </w:tc>
        <w:tc>
          <w:tcPr>
            <w:tcW w:w="34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415,136</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Over time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141,628</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53,361</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132,589</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327,578</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307,819</w:t>
            </w:r>
          </w:p>
        </w:tc>
        <w:tc>
          <w:tcPr>
            <w:tcW w:w="346" w:type="dxa"/>
            <w:tcBorders/>
            <w:vAlign w:val="center"/>
          </w:tcPr>
          <w:p>
            <w:pPr>
              <w:pStyle w:val="TableContents"/>
              <w:bidi w:val="0"/>
              <w:spacing w:before="0" w:after="1"/>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269,784</w:t>
            </w:r>
          </w:p>
        </w:tc>
        <w:tc>
          <w:tcPr>
            <w:tcW w:w="346" w:type="dxa"/>
            <w:tcBorders/>
            <w:vAlign w:val="center"/>
          </w:tcPr>
          <w:p>
            <w:pPr>
              <w:pStyle w:val="TableContents"/>
              <w:bidi w:val="0"/>
              <w:spacing w:before="0" w:after="1"/>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165,111</w:t>
            </w:r>
          </w:p>
        </w:tc>
        <w:tc>
          <w:tcPr>
            <w:tcW w:w="346" w:type="dxa"/>
            <w:tcBorders/>
            <w:vAlign w:val="center"/>
          </w:tcPr>
          <w:p>
            <w:pPr>
              <w:pStyle w:val="TableContents"/>
              <w:bidi w:val="0"/>
              <w:spacing w:before="0" w:after="1"/>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898"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742,714</w:t>
            </w:r>
          </w:p>
        </w:tc>
      </w:tr>
    </w:tbl>
    <w:p>
      <w:pPr>
        <w:pStyle w:val="TextBody"/>
        <w:bidi w:val="0"/>
        <w:spacing w:before="0" w:after="240"/>
        <w:ind w:left="0" w:right="0" w:hanging="0"/>
        <w:jc w:val="left"/>
        <w:rPr/>
      </w:pPr>
      <w:r>
        <w:rPr/>
        <w:t>​</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Revenue Recognition</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Payment terms with our customers vary by the type and location of the customer and the products or services offered. Arrangements with customers that include payment terms extending beyond one year are not significant. The transaction price for these contracts reflects our estimate of returns and discounts, which are based on historical, current and forecasted information to determine the expected amount to which we will be entitled in exchange for transferring the promised goods or services to the customer. The realization of variable consideration occurs within a short period of time from product delivery; therefore, the time value of money effect is not significant. We primarily provide standard warranty programs for products in our commercial businesses for periods that typically range from one to two years. These assurance-type programs typically cannot be purchased separately and do not meet the criteria to be considered a performance obligation. Under the typical payment terms of our long term fixed price contracts, the customer pays us either performance-based or progress payments. Performance-based payments represent interim payments based on quantifiable measures of performance or on the achievement of specified events or milestones. Progress payments are interim payments of costs incurred as the work progresses.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For our overtime revenue recognized using the output method of costs incurred, contract cost is estimated utilizing current contract specifications and expected engineering requirements. Contract costs typically are incurred over a period of several months to one or more years, and the estimation of these costs requires judgment. Our cost estimation process is based on the professional knowledge and experience of engineers and program managers along with finance professionals. We review and update our projections of costs quarterly or more frequently when circumstances significantly change. In addition, in the USG segment, we recognize revenue as a series of distinct services based on each day of providing services (straight-line over the contract term) for certain of our USG segment contracts. Under the typical payment terms of our service contracts, the customer pays us in advance of when services are performed. In addition, in the Test segment, we use milestones to measure progress for our Test segment contracts because it best depicts the transfer of control to the customer that occurs as we incur costs on our contracts.</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Remaining Unsatisfied Performance Obligations</w:t>
      </w:r>
    </w:p>
    <w:p>
      <w:pPr>
        <w:pStyle w:val="TextBody"/>
        <w:bidi w:val="0"/>
        <w:spacing w:before="0" w:after="240"/>
        <w:ind w:left="357" w:right="0" w:hanging="0"/>
        <w:jc w:val="left"/>
        <w:rPr>
          <w:rFonts w:ascii="Times New Roman;Times;serif" w:hAnsi="Times New Roman;Times;serif"/>
          <w:sz w:val="20"/>
        </w:rPr>
      </w:pPr>
      <w:r>
        <w:rPr>
          <w:rFonts w:ascii="Times New Roman;Times;serif" w:hAnsi="Times New Roman;Times;serif"/>
          <w:sz w:val="20"/>
        </w:rPr>
        <w:t>Remaining unsatisfied performance obligations, as defined by ASC 606 and align with our backlog, represent the expected transaction price allocated to contracts that the Company expects to recognize as revenue in future periods when the Company performs under the contracts. These remaining obligations include amounts that have been formally appropriated under contracts with the U.S. Government, and exclude unexercised contract options and potential orders under ordering-type contracts such as Indefinite Delivery, Indefinite Quantity contracts. At June 30, 2026, the Company had $1,540.5 million in remaining performance obligations of which the Company expects to recognize revenues of approximately 59% in the next twelve months.</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Contract assets, contract liabilities and accounts receivable</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Assets and liabilities related to contracts with customers are reported on a contract-by-contract basis at the end of each reporting period. At June 30, 2026, contract assets, contract liabilities and accounts receivable totaled $127.6 million, $293.4 million and $267.5 million, respectively. During the first nine months of 2026, the Company recognized approximately $74 million in revenues that were included in the contract liabilities balance at September 30, 2025. At September 30, 2025, contract assets, contract liabilities and accounts receivable from continuing operations totaled $90.7 million, $224.7 million and $253.6 million, respectively.</w:t>
      </w:r>
    </w:p>
    <w:p>
      <w:pPr>
        <w:pStyle w:val="TextBody"/>
        <w:bidi w:val="0"/>
        <w:spacing w:before="0" w:after="0"/>
        <w:ind w:left="0" w:right="0" w:hanging="0"/>
        <w:jc w:val="left"/>
        <w:rPr/>
      </w:pPr>
      <w:r>
        <w:rPr/>
        <w:t>​</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12.  LEASES</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The Company determines at lease inception whether an arrangement that provides control over the use of an asset is a lease. The Company recognizes at lease commencement a right-of-use (ROU) asset and lease liability based on the present value of the future lease payments over the lease term. The Company has elected not to recognize a ROU asset and lease liability for leases with terms of 12 months or less. Certain of the Company’s leases include options to extend the term of the lease for up to 20 years. When it is reasonably certain that the Company will exercise the option, Management includes the impact of the option in the lease term for purposes of determining total future lease payments. As most of the Company’s lease agreements do not explicitly state the discount rate implicit in the lease, Management uses the Company’s incremental borrowing rate on the commencement date to calculate the present value of future payments based on the tenor of each arrangement.</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The Company’s leases for real estate commonly include escalating payments. These variable lease payments are included in the calculation of the ROU asset and lease liability. In addition to the present value of the future lease payments, the calculation of the ROU asset also includes any deferred rent, lease pre-payments and initial direct costs of obtaining the lease.</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In addition to the base rent, real estate leases typically contain provisions for common-area maintenance and other similar services, which are considered non-lease components for accounting purposes. Non-lease components are excluded from our ROU assets and lease liabilities and expensed as incurred.</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The Company’s leases are for office space, manufacturing facilities, and selective machinery and equipment.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0"/>
        <w:ind w:left="360" w:right="0" w:hanging="0"/>
        <w:jc w:val="left"/>
        <w:rPr>
          <w:rFonts w:ascii="Times New Roman;Times;serif" w:hAnsi="Times New Roman;Times;serif"/>
          <w:sz w:val="20"/>
        </w:rPr>
      </w:pPr>
      <w:bookmarkStart w:id="1061" w:name="Tc_Mo7PpxnRtkypftip1a7nHg_8_5"/>
      <w:bookmarkStart w:id="1062" w:name="Tc_4Cav_Mo4M0er1xrRzY_iXQ_8_3"/>
      <w:bookmarkStart w:id="1063" w:name="Tc_nhFc1pwbj0q0Qxut8Mpd2A_8_0"/>
      <w:bookmarkStart w:id="1064" w:name="Tc_xsk4wyzkXE-vbMqSANwKUQ_7_5"/>
      <w:bookmarkStart w:id="1065" w:name="Tc_0px-CM_in0eCLaqp777jLg_7_3"/>
      <w:bookmarkStart w:id="1066" w:name="Tc_jt0Qnnl8LECgkyuRRAYH2w_7_0"/>
      <w:bookmarkStart w:id="1067" w:name="Tc_PK-3Qz078U6eNnkj95Fqig_6_0"/>
      <w:bookmarkStart w:id="1068" w:name="Tc_E7WjWMkYmEeIqY0zhFXoig_5_5"/>
      <w:bookmarkStart w:id="1069" w:name="Tc_MpZUpYunAkm192p9FMNoLQ_5_3"/>
      <w:bookmarkStart w:id="1070" w:name="Tc_prd-eyv4J0SQoA4z0MWKDw_5_0"/>
      <w:bookmarkStart w:id="1071" w:name="Tc_N8w-0_PJ-UScWoDBidQOEw_4_5"/>
      <w:bookmarkStart w:id="1072" w:name="Tc_P4SeJqqdtU-52aZpDFf30Q_4_3"/>
      <w:bookmarkStart w:id="1073" w:name="Tc_59HSrXgS4UmVTvCR5UOTqA_4_0"/>
      <w:bookmarkStart w:id="1074" w:name="Tc_BY70ws9IaUSPKhl7LfPsLA_3_0"/>
      <w:bookmarkStart w:id="1075" w:name="Tc_pY6rUmbTQkeGE7gia1_fxg_2_4"/>
      <w:bookmarkStart w:id="1076" w:name="Tc_3moso93kfUaQeJcLLp5qlA_2_2"/>
      <w:bookmarkStart w:id="1077" w:name="Tc_HWePqlAZSkqNT64qeCQ_UA_1_4"/>
      <w:bookmarkStart w:id="1078" w:name="Tc_Pj-FGofcpUST_esHYhnKnQ_1_2"/>
      <w:bookmarkStart w:id="1079" w:name="_f460fe34_9335_4f5f_af5a_e7a964c65f9a"/>
      <w:bookmarkStart w:id="1080" w:name="Tc_3NxHBV9S-0SQIKX0sredmQ_8_2"/>
      <w:bookmarkStart w:id="1081" w:name="Tc_Y9N-TGsew0uRs2UzICsSeg_8_0"/>
      <w:bookmarkStart w:id="1082" w:name="Tc_cIWZm-0Ml0KDMv8jossTmQ_7_2"/>
      <w:bookmarkStart w:id="1083" w:name="Tc_volIMA9Di0mLGUD-QzcpcA_7_0"/>
      <w:bookmarkStart w:id="1084" w:name="Tc_CYCcsYCIFk6eykwEdpl9nA_6_2"/>
      <w:bookmarkStart w:id="1085" w:name="Tc_Dpn-5svw0kCgyopyNUtCZw_6_0"/>
      <w:bookmarkStart w:id="1086" w:name="Tc_mIjyi8b0dUq8R9KUAk8sDg_5_2"/>
      <w:bookmarkStart w:id="1087" w:name="Tc_qEk4cq9deUqjOCUa1u2TJQ_5_0"/>
      <w:bookmarkStart w:id="1088" w:name="Tc_qYPkU2JTWk6Mm7WlBStrSA_4_0"/>
      <w:bookmarkStart w:id="1089" w:name="Tc_1NxW5HqAQ0qYGXEOHczBvw_3_5"/>
      <w:bookmarkStart w:id="1090" w:name="Tc_QP94f6uG1Ue73VfMz_ma_Q_3_2"/>
      <w:bookmarkStart w:id="1091" w:name="Tc_ocg6xz3ZO02e1rqSJ4HSJw_3_0"/>
      <w:bookmarkStart w:id="1092" w:name="Tc_unoy0NOnL0eO83jK415Ifg_2_5"/>
      <w:bookmarkStart w:id="1093" w:name="Tc_i1uTmDO--0SC8vUIEbp8-Q_2_2"/>
      <w:bookmarkStart w:id="1094" w:name="Tc_62tg78_0N065Qc40CkCPGA_1_5"/>
      <w:bookmarkStart w:id="1095" w:name="Tc_G5cMZXqmGEKsT0Nj-6pK5Q_1_2"/>
      <w:bookmarkStart w:id="1096" w:name="_6db1565b_4f2f_4db9_bf52_80240cee7e83"/>
      <w:bookmarkStart w:id="1097" w:name="Tc_zedzVOMvkEK3rcKR2FiEGg_8_3"/>
      <w:bookmarkStart w:id="1098" w:name="Tc_dVNxiKcgmkeXq2KYbxPGYw_8_2"/>
      <w:bookmarkStart w:id="1099" w:name="Tc_mCk-KWSL5kejcvNMyZDn8Q_8_0"/>
      <w:bookmarkStart w:id="1100" w:name="Tc_J4hT7EIRrEKc3NJJsYKQig_7_2"/>
      <w:bookmarkStart w:id="1101" w:name="Tc_Wp-eLYral0mohbF-VmzPWg_7_0"/>
      <w:bookmarkStart w:id="1102" w:name="Tc_5nHVkwCppUSeTgOlYUtAnQ_6_2"/>
      <w:bookmarkStart w:id="1103" w:name="Tc_KH7aGFRyl0aZNLpBpuMeXQ_6_0"/>
      <w:bookmarkStart w:id="1104" w:name="Tc_WfnG0lVIwUurLpUq6JPe3Q_5_2"/>
      <w:bookmarkStart w:id="1105" w:name="Tc_1BIed-xq2kqkbj2oq3T47w_5_0"/>
      <w:bookmarkStart w:id="1106" w:name="Tc_2lZdWhBzy0WXziRQDF5fVw_4_0"/>
      <w:bookmarkStart w:id="1107" w:name="Tc_AfRDiKJDMUCtP3i0eRySIw_3_5"/>
      <w:bookmarkStart w:id="1108" w:name="Tc_KWrS_KbUjUuJiYF0ahzDEg_3_2"/>
      <w:bookmarkStart w:id="1109" w:name="Tc_SnmmqxfAbkeLboyREv9oSA_3_0"/>
      <w:bookmarkStart w:id="1110" w:name="Tc_CaTU6pu5pUWEqiKMci4f5A_2_5"/>
      <w:bookmarkStart w:id="1111" w:name="Tc_XG4MskwmjkeIBK9jm5evvQ_2_2"/>
      <w:bookmarkStart w:id="1112" w:name="Tc_i4nuitIJfkOP4w3KvqPrHQ_1_5"/>
      <w:bookmarkStart w:id="1113" w:name="Tc_AYCPXc2AqUOUOAalBPAfXw_1_2"/>
      <w:bookmarkStart w:id="1114" w:name="_416013f9_db29_4d27_8351_a2f27bd4969c"/>
      <w:bookmarkStart w:id="1115" w:name="Tc_WVzevzGd-UahskCDyIEmvw_8_2"/>
      <w:bookmarkStart w:id="1116" w:name="Tc_0OZPenp-1UKp_d7yqjQZdA_8_0"/>
      <w:bookmarkStart w:id="1117" w:name="Tc_3aZTH9Lt_UeU92Th8VyWzw_7_0"/>
      <w:bookmarkStart w:id="1118" w:name="Tc_h6UZGcOm80uDz5bWy9-hzQ_6_0"/>
      <w:bookmarkStart w:id="1119" w:name="Tc_5rHSmi5WsE-m8Ho4HrleZA_5_2"/>
      <w:bookmarkStart w:id="1120" w:name="Tc_9aDRNY_sgUWhljCtf9dMVA_5_0"/>
      <w:bookmarkStart w:id="1121" w:name="Tc_KM4zJthIZ0iTLKNXLxZF0w_4_0"/>
      <w:bookmarkStart w:id="1122" w:name="Tc_Fz_NgX5TLUqwHf6eaDhEQQ_3_5"/>
      <w:bookmarkStart w:id="1123" w:name="Tc_hFfswTzSdk27kbkwmLQhQw_3_2"/>
      <w:bookmarkStart w:id="1124" w:name="Tc_oHV7uRt0x0Kjs9OQVE0Xgw_3_0"/>
      <w:bookmarkStart w:id="1125" w:name="Tc_bjsqnR6CBU2dNLlxRzLFrQ_2_5"/>
      <w:bookmarkStart w:id="1126" w:name="Tc_nFLeX-JKB0ypTn1bfLKXCA_2_2"/>
      <w:bookmarkStart w:id="1127" w:name="Tc_Tln40azKQ0KI2lT26tiOVQ_1_5"/>
      <w:bookmarkStart w:id="1128" w:name="Tc_ikTrbUu7Bk2zHRQo-QfK5w_1_2"/>
      <w:bookmarkStart w:id="1129" w:name="_14e4d248_787c_450f_b654_c2dbba29eb01"/>
      <w:bookmarkStart w:id="1130" w:name="Tc_ifMxAlCaVUmvg5JbTvd2Dg_8_2"/>
      <w:bookmarkStart w:id="1131" w:name="Tc_0YOrkbixFkmgWomPjXcTqg_8_0"/>
      <w:bookmarkStart w:id="1132" w:name="Tc_T_Pe4xjD8E-Bqq4ZeX4fpw_7_0"/>
      <w:bookmarkStart w:id="1133" w:name="Tc_SIHEO6VW2Uut7AORo7c52Q_6_0"/>
      <w:bookmarkStart w:id="1134" w:name="Tc_pVJI-tkSlU2a_LeD-KqhZg_5_2"/>
      <w:bookmarkStart w:id="1135" w:name="Tc_AyNnw-dz10OfYeK-plLd5Q_5_0"/>
      <w:bookmarkStart w:id="1136" w:name="Tc_IetoF_aqf0OvWqAwCjitcA_4_0"/>
      <w:bookmarkStart w:id="1137" w:name="Tc_qIiDP8AzUk2bg9BmbG8EwA_3_5"/>
      <w:bookmarkStart w:id="1138" w:name="Tc_-GE4cpDpDEyted9yHLwi8w_3_2"/>
      <w:bookmarkStart w:id="1139" w:name="Tc_ivii47IKW0OBnDtU8OMr_Q_3_0"/>
      <w:bookmarkStart w:id="1140" w:name="Tc_X9eyt3tuB0C-_h8nih1xNQ_2_5"/>
      <w:bookmarkStart w:id="1141" w:name="Tc_Fgi__uZ4iUu_zVDAKvNX0g_2_2"/>
      <w:bookmarkStart w:id="1142" w:name="Tc_x8S2j8Lvf06eSWux-yG8UQ_1_5"/>
      <w:bookmarkStart w:id="1143" w:name="Tc_e1mLw3Cpdk2TDNRJy1vvTQ_1_2"/>
      <w:bookmarkStart w:id="1144" w:name="_de25d1dc_1825_4f38_8b51_5c059fae279c"/>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r>
        <w:rPr>
          <w:rFonts w:ascii="Times New Roman;Times;serif" w:hAnsi="Times New Roman;Times;serif"/>
          <w:sz w:val="20"/>
        </w:rPr>
        <w:t>The components of lease costs are shown below:</w:t>
      </w:r>
    </w:p>
    <w:p>
      <w:pPr>
        <w:pStyle w:val="TextBody"/>
        <w:bidi w:val="0"/>
        <w:spacing w:before="0" w:after="0"/>
        <w:ind w:left="360" w:right="0" w:hanging="0"/>
        <w:jc w:val="left"/>
        <w:rPr/>
      </w:pPr>
      <w:r>
        <w:rPr/>
        <w:t>​</w:t>
      </w:r>
    </w:p>
    <w:tbl>
      <w:tblPr>
        <w:tblW w:w="6948" w:type="dxa"/>
        <w:jc w:val="left"/>
        <w:tblInd w:w="0" w:type="dxa"/>
        <w:tblLayout w:type="fixed"/>
        <w:tblCellMar>
          <w:top w:w="0" w:type="dxa"/>
          <w:left w:w="0" w:type="dxa"/>
          <w:bottom w:w="0" w:type="dxa"/>
          <w:right w:w="0" w:type="dxa"/>
        </w:tblCellMar>
      </w:tblPr>
      <w:tblGrid>
        <w:gridCol w:w="2911"/>
        <w:gridCol w:w="346"/>
        <w:gridCol w:w="445"/>
        <w:gridCol w:w="1205"/>
        <w:gridCol w:w="346"/>
        <w:gridCol w:w="231"/>
        <w:gridCol w:w="1464"/>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848485" cy="175260"/>
                      <wp:effectExtent l="0" t="0" r="0" b="0"/>
                      <wp:wrapNone/>
                      <wp:docPr id="191" name="Frame191"/>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19710" cy="175260"/>
                      <wp:effectExtent l="0" t="0" r="0" b="0"/>
                      <wp:wrapNone/>
                      <wp:docPr id="192"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82575" cy="175260"/>
                      <wp:effectExtent l="0" t="0" r="0" b="0"/>
                      <wp:wrapNone/>
                      <wp:docPr id="193" name="Frame193"/>
                      <a:graphic xmlns:a="http://schemas.openxmlformats.org/drawingml/2006/main">
                        <a:graphicData uri="http://schemas.microsoft.com/office/word/2010/wordprocessingShape">
                          <wps:wsp>
                            <wps:cNvSpPr txBox="1"/>
                            <wps:spPr>
                              <a:xfrm>
                                <a:off x="0" y="0"/>
                                <a:ext cx="282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765175" cy="175260"/>
                      <wp:effectExtent l="0" t="0" r="0" b="0"/>
                      <wp:wrapNone/>
                      <wp:docPr id="194" name="Frame194"/>
                      <a:graphic xmlns:a="http://schemas.openxmlformats.org/drawingml/2006/main">
                        <a:graphicData uri="http://schemas.microsoft.com/office/word/2010/wordprocessingShape">
                          <wps:wsp>
                            <wps:cNvSpPr txBox="1"/>
                            <wps:spPr>
                              <a:xfrm>
                                <a:off x="0" y="0"/>
                                <a:ext cx="765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95"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46685" cy="175260"/>
                      <wp:effectExtent l="0" t="0" r="0" b="0"/>
                      <wp:wrapNone/>
                      <wp:docPr id="196" name="Frame196"/>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929640" cy="175260"/>
                      <wp:effectExtent l="0" t="0" r="0" b="0"/>
                      <wp:wrapNone/>
                      <wp:docPr id="197" name="Frame197"/>
                      <a:graphic xmlns:a="http://schemas.openxmlformats.org/drawingml/2006/main">
                        <a:graphicData uri="http://schemas.microsoft.com/office/word/2010/wordprocessingShape">
                          <wps:wsp>
                            <wps:cNvSpPr txBox="1"/>
                            <wps:spPr>
                              <a:xfrm>
                                <a:off x="0" y="0"/>
                                <a:ext cx="929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16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29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6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6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9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46" w:type="dxa"/>
            <w:tcBorders/>
            <w:vAlign w:val="center"/>
          </w:tcPr>
          <w:p>
            <w:pPr>
              <w:pStyle w:val="TableContents"/>
              <w:bidi w:val="0"/>
              <w:spacing w:before="0" w:after="0"/>
              <w:ind w:left="0" w:right="0" w:hanging="0"/>
              <w:jc w:val="center"/>
              <w:rPr/>
            </w:pPr>
            <w:r>
              <w:rPr/>
              <w:t>  ​ ​ ​</w:t>
            </w:r>
          </w:p>
        </w:tc>
        <w:tc>
          <w:tcPr>
            <w:tcW w:w="1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cost</w:t>
            </w:r>
          </w:p>
        </w:tc>
        <w:tc>
          <w:tcPr>
            <w:tcW w:w="346" w:type="dxa"/>
            <w:tcBorders/>
            <w:shd w:fill="CCEEFF" w:val="clear"/>
            <w:vAlign w:val="center"/>
          </w:tcPr>
          <w:p>
            <w:pPr>
              <w:pStyle w:val="TableContents"/>
              <w:bidi w:val="0"/>
              <w:spacing w:before="0" w:after="0"/>
              <w:ind w:left="0" w:right="0" w:hanging="0"/>
              <w:jc w:val="left"/>
              <w:rPr/>
            </w:pPr>
            <w:r>
              <w:rPr/>
              <w:t>​</w:t>
            </w:r>
          </w:p>
        </w:tc>
        <w:tc>
          <w:tcPr>
            <w:tcW w:w="445" w:type="dxa"/>
            <w:tcBorders/>
            <w:shd w:fill="CCEEFF" w:val="clear"/>
            <w:vAlign w:val="center"/>
          </w:tcPr>
          <w:p>
            <w:pPr>
              <w:pStyle w:val="TableContents"/>
              <w:bidi w:val="0"/>
              <w:spacing w:before="0" w:after="0"/>
              <w:ind w:left="0" w:right="0" w:hanging="0"/>
              <w:jc w:val="left"/>
              <w:rPr/>
            </w:pPr>
            <w:r>
              <w:rPr/>
              <w:t>​</w:t>
            </w:r>
          </w:p>
        </w:tc>
        <w:tc>
          <w:tcPr>
            <w:tcW w:w="120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464" w:type="dxa"/>
            <w:tcBorders/>
            <w:shd w:fill="CCEEFF" w:val="clear"/>
            <w:vAlign w:val="center"/>
          </w:tcPr>
          <w:p>
            <w:pPr>
              <w:pStyle w:val="TableContents"/>
              <w:bidi w:val="0"/>
              <w:spacing w:before="0" w:after="0"/>
              <w:ind w:left="0" w:right="0" w:hanging="0"/>
              <w:jc w:val="right"/>
              <w:rPr/>
            </w:pPr>
            <w:r>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right-of-use assets</w:t>
            </w:r>
          </w:p>
        </w:tc>
        <w:tc>
          <w:tcPr>
            <w:tcW w:w="346"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w:t>
            </w:r>
          </w:p>
        </w:tc>
        <w:tc>
          <w:tcPr>
            <w:tcW w:w="34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4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on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445" w:type="dxa"/>
            <w:tcBorders/>
            <w:shd w:fill="CCEEFF" w:val="clear"/>
            <w:vAlign w:val="center"/>
          </w:tcPr>
          <w:p>
            <w:pPr>
              <w:pStyle w:val="TableContents"/>
              <w:bidi w:val="0"/>
              <w:spacing w:before="0" w:after="0"/>
              <w:ind w:left="0" w:right="0" w:hanging="0"/>
              <w:jc w:val="left"/>
              <w:rPr/>
            </w:pPr>
            <w:r>
              <w:rPr/>
              <w:t>​</w:t>
            </w:r>
          </w:p>
        </w:tc>
        <w:tc>
          <w:tcPr>
            <w:tcW w:w="12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4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46" w:type="dxa"/>
            <w:tcBorders/>
            <w:vAlign w:val="center"/>
          </w:tcPr>
          <w:p>
            <w:pPr>
              <w:pStyle w:val="TableContents"/>
              <w:bidi w:val="0"/>
              <w:spacing w:before="0" w:after="0"/>
              <w:ind w:left="0" w:right="0" w:hanging="0"/>
              <w:jc w:val="left"/>
              <w:rPr/>
            </w:pPr>
            <w:r>
              <w:rPr/>
              <w:t>​</w:t>
            </w:r>
          </w:p>
        </w:tc>
        <w:tc>
          <w:tcPr>
            <w:tcW w:w="4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0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2,233</w:t>
            </w:r>
          </w:p>
        </w:tc>
        <w:tc>
          <w:tcPr>
            <w:tcW w:w="34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4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2,067</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costs</w:t>
            </w:r>
          </w:p>
        </w:tc>
        <w:tc>
          <w:tcPr>
            <w:tcW w:w="346" w:type="dxa"/>
            <w:tcBorders/>
            <w:shd w:fill="CCEEFF" w:val="clear"/>
            <w:vAlign w:val="center"/>
          </w:tcPr>
          <w:p>
            <w:pPr>
              <w:pStyle w:val="TableContents"/>
              <w:bidi w:val="0"/>
              <w:spacing w:before="0" w:after="0"/>
              <w:ind w:left="0" w:right="0" w:hanging="0"/>
              <w:jc w:val="left"/>
              <w:rPr/>
            </w:pPr>
            <w:r>
              <w:rPr/>
              <w:t>​</w:t>
            </w:r>
          </w:p>
        </w:tc>
        <w:tc>
          <w:tcPr>
            <w:tcW w:w="4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2,789</w:t>
            </w:r>
          </w:p>
        </w:tc>
        <w:tc>
          <w:tcPr>
            <w:tcW w:w="346" w:type="dxa"/>
            <w:tcBorders/>
            <w:shd w:fill="CCEEFF" w:val="clear"/>
            <w:vAlign w:val="center"/>
          </w:tcPr>
          <w:p>
            <w:pPr>
              <w:pStyle w:val="TableContents"/>
              <w:bidi w:val="0"/>
              <w:spacing w:before="0" w:after="0"/>
              <w:ind w:left="0" w:right="0" w:hanging="0"/>
              <w:jc w:val="left"/>
              <w:rPr/>
            </w:pPr>
            <w:r>
              <w:rPr/>
              <w:t>​</w:t>
            </w:r>
          </w:p>
        </w:tc>
        <w:tc>
          <w:tcPr>
            <w:tcW w:w="2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64"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2,638</w:t>
            </w:r>
          </w:p>
        </w:tc>
      </w:tr>
    </w:tbl>
    <w:p>
      <w:pPr>
        <w:pStyle w:val="TextBody"/>
        <w:bidi w:val="0"/>
        <w:spacing w:before="0" w:after="0"/>
        <w:ind w:left="360" w:right="0" w:hanging="0"/>
        <w:jc w:val="left"/>
        <w:rPr/>
      </w:pPr>
      <w:r>
        <w:rPr/>
        <w:t>​</w:t>
      </w:r>
    </w:p>
    <w:tbl>
      <w:tblPr>
        <w:tblW w:w="6768" w:type="dxa"/>
        <w:jc w:val="left"/>
        <w:tblInd w:w="0" w:type="dxa"/>
        <w:tblLayout w:type="fixed"/>
        <w:tblCellMar>
          <w:top w:w="0" w:type="dxa"/>
          <w:left w:w="0" w:type="dxa"/>
          <w:bottom w:w="0" w:type="dxa"/>
          <w:right w:w="0" w:type="dxa"/>
        </w:tblCellMar>
      </w:tblPr>
      <w:tblGrid>
        <w:gridCol w:w="2911"/>
        <w:gridCol w:w="346"/>
        <w:gridCol w:w="421"/>
        <w:gridCol w:w="1139"/>
        <w:gridCol w:w="346"/>
        <w:gridCol w:w="219"/>
        <w:gridCol w:w="1386"/>
      </w:tblGrid>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67335" cy="175260"/>
                      <wp:effectExtent l="0" t="0" r="0" b="0"/>
                      <wp:wrapNone/>
                      <wp:docPr id="198" name="Frame19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723265" cy="175260"/>
                      <wp:effectExtent l="0" t="0" r="0" b="0"/>
                      <wp:wrapNone/>
                      <wp:docPr id="199" name="Frame199"/>
                      <a:graphic xmlns:a="http://schemas.openxmlformats.org/drawingml/2006/main">
                        <a:graphicData uri="http://schemas.microsoft.com/office/word/2010/wordprocessingShape">
                          <wps:wsp>
                            <wps:cNvSpPr txBox="1"/>
                            <wps:spPr>
                              <a:xfrm>
                                <a:off x="0" y="0"/>
                                <a:ext cx="723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200"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39065" cy="175260"/>
                      <wp:effectExtent l="0" t="0" r="0" b="0"/>
                      <wp:wrapNone/>
                      <wp:docPr id="201" name="Frame201"/>
                      <a:graphic xmlns:a="http://schemas.openxmlformats.org/drawingml/2006/main">
                        <a:graphicData uri="http://schemas.microsoft.com/office/word/2010/wordprocessingShape">
                          <wps:wsp>
                            <wps:cNvSpPr txBox="1"/>
                            <wps:spPr>
                              <a:xfrm>
                                <a:off x="0" y="0"/>
                                <a:ext cx="139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880110" cy="175260"/>
                      <wp:effectExtent l="0" t="0" r="0" b="0"/>
                      <wp:wrapNone/>
                      <wp:docPr id="202" name="Frame202"/>
                      <a:graphic xmlns:a="http://schemas.openxmlformats.org/drawingml/2006/main">
                        <a:graphicData uri="http://schemas.microsoft.com/office/word/2010/wordprocessingShape">
                          <wps:wsp>
                            <wps:cNvSpPr txBox="1"/>
                            <wps:spPr>
                              <a:xfrm>
                                <a:off x="0" y="0"/>
                                <a:ext cx="880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46" w:type="dxa"/>
            <w:tcBorders/>
            <w:vAlign w:val="center"/>
          </w:tcPr>
          <w:p>
            <w:pPr>
              <w:pStyle w:val="TableContents"/>
              <w:bidi w:val="0"/>
              <w:spacing w:before="0" w:after="0"/>
              <w:ind w:left="0" w:right="0" w:hanging="0"/>
              <w:jc w:val="center"/>
              <w:rPr/>
            </w:pPr>
            <w:r>
              <w:rPr/>
              <w:t>​</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29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9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46" w:type="dxa"/>
            <w:tcBorders/>
            <w:vAlign w:val="center"/>
          </w:tcPr>
          <w:p>
            <w:pPr>
              <w:pStyle w:val="TableContents"/>
              <w:bidi w:val="0"/>
              <w:spacing w:before="0" w:after="0"/>
              <w:ind w:left="0" w:right="0" w:hanging="0"/>
              <w:jc w:val="center"/>
              <w:rPr/>
            </w:pPr>
            <w:r>
              <w:rPr/>
              <w:t>  ​ ​ ​</w:t>
            </w:r>
          </w:p>
        </w:tc>
        <w:tc>
          <w:tcPr>
            <w:tcW w:w="15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cost</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113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1386" w:type="dxa"/>
            <w:tcBorders/>
            <w:shd w:fill="CCEEFF" w:val="clear"/>
            <w:vAlign w:val="center"/>
          </w:tcPr>
          <w:p>
            <w:pPr>
              <w:pStyle w:val="TableContents"/>
              <w:bidi w:val="0"/>
              <w:spacing w:before="0" w:after="0"/>
              <w:ind w:left="0" w:right="0" w:hanging="0"/>
              <w:jc w:val="left"/>
              <w:rPr/>
            </w:pPr>
            <w:r>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right-of-use assets</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1,116</w:t>
            </w:r>
          </w:p>
        </w:tc>
        <w:tc>
          <w:tcPr>
            <w:tcW w:w="346" w:type="dxa"/>
            <w:tcBorders/>
            <w:vAlign w:val="center"/>
          </w:tcPr>
          <w:p>
            <w:pPr>
              <w:pStyle w:val="TableContents"/>
              <w:bidi w:val="0"/>
              <w:spacing w:before="0" w:after="0"/>
              <w:ind w:left="0" w:right="0" w:hanging="0"/>
              <w:jc w:val="left"/>
              <w:rPr/>
            </w:pPr>
            <w:r>
              <w:rPr/>
              <w:t>​</w:t>
            </w:r>
          </w:p>
        </w:tc>
        <w:tc>
          <w:tcPr>
            <w:tcW w:w="219" w:type="dxa"/>
            <w:tcBorders/>
            <w:vAlign w:val="center"/>
          </w:tcPr>
          <w:p>
            <w:pPr>
              <w:pStyle w:val="TableContents"/>
              <w:bidi w:val="0"/>
              <w:spacing w:before="0" w:after="0"/>
              <w:ind w:left="0" w:right="0" w:hanging="0"/>
              <w:jc w:val="left"/>
              <w:rPr/>
            </w:pPr>
            <w:r>
              <w:rPr/>
              <w:t>​</w:t>
            </w:r>
          </w:p>
        </w:tc>
        <w:tc>
          <w:tcPr>
            <w:tcW w:w="13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1,116</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on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 </w:t>
            </w:r>
          </w:p>
        </w:tc>
        <w:tc>
          <w:tcPr>
            <w:tcW w:w="11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shd w:fill="CCEEFF" w:val="clear"/>
            <w:vAlign w:val="center"/>
          </w:tcPr>
          <w:p>
            <w:pPr>
              <w:pStyle w:val="TableContents"/>
              <w:bidi w:val="0"/>
              <w:spacing w:before="0" w:after="0"/>
              <w:ind w:left="0" w:right="0" w:hanging="0"/>
              <w:jc w:val="left"/>
              <w:rPr/>
            </w:pPr>
            <w:r>
              <w:rPr/>
              <w:t>​</w:t>
            </w:r>
          </w:p>
        </w:tc>
        <w:tc>
          <w:tcPr>
            <w:tcW w:w="13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4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6,665</w:t>
            </w:r>
          </w:p>
        </w:tc>
        <w:tc>
          <w:tcPr>
            <w:tcW w:w="346" w:type="dxa"/>
            <w:tcBorders/>
            <w:vAlign w:val="center"/>
          </w:tcPr>
          <w:p>
            <w:pPr>
              <w:pStyle w:val="TableContents"/>
              <w:bidi w:val="0"/>
              <w:spacing w:before="0" w:after="0"/>
              <w:ind w:left="0" w:right="0" w:hanging="0"/>
              <w:jc w:val="left"/>
              <w:rPr/>
            </w:pPr>
            <w:r>
              <w:rPr/>
              <w:t>​</w:t>
            </w:r>
          </w:p>
        </w:tc>
        <w:tc>
          <w:tcPr>
            <w:tcW w:w="21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5,528</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costs</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8,344</w:t>
            </w:r>
          </w:p>
        </w:tc>
        <w:tc>
          <w:tcPr>
            <w:tcW w:w="346" w:type="dxa"/>
            <w:tcBorders/>
            <w:shd w:fill="CCEEFF" w:val="clear"/>
            <w:vAlign w:val="center"/>
          </w:tcPr>
          <w:p>
            <w:pPr>
              <w:pStyle w:val="TableContents"/>
              <w:bidi w:val="0"/>
              <w:spacing w:before="0" w:after="0"/>
              <w:ind w:left="0" w:right="0" w:hanging="0"/>
              <w:jc w:val="left"/>
              <w:rPr/>
            </w:pPr>
            <w:r>
              <w:rPr/>
              <w:t>​</w:t>
            </w:r>
          </w:p>
        </w:tc>
        <w:tc>
          <w:tcPr>
            <w:tcW w:w="2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86"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7,251</w:t>
            </w:r>
          </w:p>
        </w:tc>
      </w:tr>
    </w:tbl>
    <w:p>
      <w:pPr>
        <w:pStyle w:val="TextBody"/>
        <w:bidi w:val="0"/>
        <w:spacing w:before="0" w:after="0"/>
        <w:ind w:left="36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Additional information related to leases are shown below:</w:t>
      </w:r>
    </w:p>
    <w:p>
      <w:pPr>
        <w:pStyle w:val="TextBody"/>
        <w:bidi w:val="0"/>
        <w:spacing w:before="0" w:after="0"/>
        <w:ind w:left="0" w:right="0" w:hanging="0"/>
        <w:jc w:val="left"/>
        <w:rPr/>
      </w:pPr>
      <w:r>
        <w:rPr/>
        <w:t>​</w:t>
      </w:r>
    </w:p>
    <w:tbl>
      <w:tblPr>
        <w:tblW w:w="9858" w:type="dxa"/>
        <w:jc w:val="left"/>
        <w:tblInd w:w="0" w:type="dxa"/>
        <w:tblLayout w:type="fixed"/>
        <w:tblCellMar>
          <w:top w:w="0" w:type="dxa"/>
          <w:left w:w="0" w:type="dxa"/>
          <w:bottom w:w="0" w:type="dxa"/>
          <w:right w:w="0" w:type="dxa"/>
        </w:tblCellMar>
      </w:tblPr>
      <w:tblGrid>
        <w:gridCol w:w="5821"/>
        <w:gridCol w:w="346"/>
        <w:gridCol w:w="445"/>
        <w:gridCol w:w="1205"/>
        <w:gridCol w:w="346"/>
        <w:gridCol w:w="204"/>
        <w:gridCol w:w="1491"/>
      </w:tblGrid>
      <w:tr>
        <w:trPr/>
        <w:tc>
          <w:tcPr>
            <w:tcW w:w="5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3696335" cy="175260"/>
                      <wp:effectExtent l="0" t="0" r="0" b="0"/>
                      <wp:wrapNone/>
                      <wp:docPr id="203" name="Frame203"/>
                      <a:graphic xmlns:a="http://schemas.openxmlformats.org/drawingml/2006/main">
                        <a:graphicData uri="http://schemas.microsoft.com/office/word/2010/wordprocessingShape">
                          <wps:wsp>
                            <wps:cNvSpPr txBox="1"/>
                            <wps:spPr>
                              <a:xfrm>
                                <a:off x="0" y="0"/>
                                <a:ext cx="3696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204"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82575" cy="175260"/>
                      <wp:effectExtent l="0" t="0" r="0" b="0"/>
                      <wp:wrapNone/>
                      <wp:docPr id="205" name="Frame205"/>
                      <a:graphic xmlns:a="http://schemas.openxmlformats.org/drawingml/2006/main">
                        <a:graphicData uri="http://schemas.microsoft.com/office/word/2010/wordprocessingShape">
                          <wps:wsp>
                            <wps:cNvSpPr txBox="1"/>
                            <wps:spPr>
                              <a:xfrm>
                                <a:off x="0" y="0"/>
                                <a:ext cx="282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765175" cy="175260"/>
                      <wp:effectExtent l="0" t="0" r="0" b="0"/>
                      <wp:wrapNone/>
                      <wp:docPr id="206" name="Frame206"/>
                      <a:graphic xmlns:a="http://schemas.openxmlformats.org/drawingml/2006/main">
                        <a:graphicData uri="http://schemas.microsoft.com/office/word/2010/wordprocessingShape">
                          <wps:wsp>
                            <wps:cNvSpPr txBox="1"/>
                            <wps:spPr>
                              <a:xfrm>
                                <a:off x="0" y="0"/>
                                <a:ext cx="765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9710" cy="175260"/>
                      <wp:effectExtent l="0" t="0" r="0" b="0"/>
                      <wp:wrapNone/>
                      <wp:docPr id="207"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29540" cy="175260"/>
                      <wp:effectExtent l="0" t="0" r="0" b="0"/>
                      <wp:wrapNone/>
                      <wp:docPr id="208" name="Frame208"/>
                      <a:graphic xmlns:a="http://schemas.openxmlformats.org/drawingml/2006/main">
                        <a:graphicData uri="http://schemas.microsoft.com/office/word/2010/wordprocessingShape">
                          <wps:wsp>
                            <wps:cNvSpPr txBox="1"/>
                            <wps:spPr>
                              <a:xfrm>
                                <a:off x="0" y="0"/>
                                <a:ext cx="129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946785" cy="175260"/>
                      <wp:effectExtent l="0" t="0" r="0" b="0"/>
                      <wp:wrapNone/>
                      <wp:docPr id="209" name="Frame209"/>
                      <a:graphic xmlns:a="http://schemas.openxmlformats.org/drawingml/2006/main">
                        <a:graphicData uri="http://schemas.microsoft.com/office/word/2010/wordprocessingShape">
                          <wps:wsp>
                            <wps:cNvSpPr txBox="1"/>
                            <wps:spPr>
                              <a:xfrm>
                                <a:off x="0" y="0"/>
                                <a:ext cx="946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16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5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16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8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46" w:type="dxa"/>
            <w:tcBorders/>
            <w:vAlign w:val="center"/>
          </w:tcPr>
          <w:p>
            <w:pPr>
              <w:pStyle w:val="TableContents"/>
              <w:bidi w:val="0"/>
              <w:spacing w:before="0" w:after="0"/>
              <w:ind w:left="0" w:right="0" w:hanging="0"/>
              <w:jc w:val="center"/>
              <w:rPr/>
            </w:pPr>
            <w:r>
              <w:rPr/>
              <w:t>  ​ ​ ​</w:t>
            </w:r>
          </w:p>
        </w:tc>
        <w:tc>
          <w:tcPr>
            <w:tcW w:w="1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445" w:type="dxa"/>
            <w:tcBorders/>
            <w:shd w:fill="CCEEFF" w:val="clear"/>
            <w:vAlign w:val="center"/>
          </w:tcPr>
          <w:p>
            <w:pPr>
              <w:pStyle w:val="TableContents"/>
              <w:bidi w:val="0"/>
              <w:spacing w:before="0" w:after="0"/>
              <w:ind w:left="0" w:right="0" w:hanging="0"/>
              <w:jc w:val="left"/>
              <w:rPr/>
            </w:pPr>
            <w:r>
              <w:rPr/>
              <w:t>​</w:t>
            </w:r>
          </w:p>
        </w:tc>
        <w:tc>
          <w:tcPr>
            <w:tcW w:w="1205"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1491" w:type="dxa"/>
            <w:tcBorders/>
            <w:shd w:fill="CCEEFF" w:val="clear"/>
            <w:vAlign w:val="center"/>
          </w:tcPr>
          <w:p>
            <w:pPr>
              <w:pStyle w:val="TableContents"/>
              <w:bidi w:val="0"/>
              <w:spacing w:before="0" w:after="0"/>
              <w:ind w:left="0" w:right="0" w:hanging="0"/>
              <w:jc w:val="left"/>
              <w:rPr/>
            </w:pPr>
            <w:r>
              <w:rPr/>
              <w:t>​</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flows from operating leases</w:t>
            </w:r>
          </w:p>
        </w:tc>
        <w:tc>
          <w:tcPr>
            <w:tcW w:w="346"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2,149</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14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1,958</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flows from finance leases</w:t>
            </w:r>
          </w:p>
        </w:tc>
        <w:tc>
          <w:tcPr>
            <w:tcW w:w="346" w:type="dxa"/>
            <w:tcBorders/>
            <w:shd w:fill="CCEEFF" w:val="clear"/>
            <w:vAlign w:val="center"/>
          </w:tcPr>
          <w:p>
            <w:pPr>
              <w:pStyle w:val="TableContents"/>
              <w:bidi w:val="0"/>
              <w:spacing w:before="0" w:after="0"/>
              <w:ind w:left="0" w:right="0" w:hanging="0"/>
              <w:jc w:val="left"/>
              <w:rPr/>
            </w:pPr>
            <w:r>
              <w:rPr/>
              <w:t>​</w:t>
            </w:r>
          </w:p>
        </w:tc>
        <w:tc>
          <w:tcPr>
            <w:tcW w:w="4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34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14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cash flows from finance leases</w:t>
            </w:r>
          </w:p>
        </w:tc>
        <w:tc>
          <w:tcPr>
            <w:tcW w:w="346" w:type="dxa"/>
            <w:tcBorders/>
            <w:vAlign w:val="center"/>
          </w:tcPr>
          <w:p>
            <w:pPr>
              <w:pStyle w:val="TableContents"/>
              <w:bidi w:val="0"/>
              <w:spacing w:before="0" w:after="0"/>
              <w:ind w:left="0" w:right="0" w:hanging="0"/>
              <w:jc w:val="left"/>
              <w:rPr/>
            </w:pPr>
            <w:r>
              <w:rPr/>
              <w:t>​</w:t>
            </w:r>
          </w:p>
        </w:tc>
        <w:tc>
          <w:tcPr>
            <w:tcW w:w="4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w:t>
            </w:r>
          </w:p>
        </w:tc>
        <w:tc>
          <w:tcPr>
            <w:tcW w:w="346" w:type="dxa"/>
            <w:tcBorders/>
            <w:vAlign w:val="center"/>
          </w:tcPr>
          <w:p>
            <w:pPr>
              <w:pStyle w:val="TableContents"/>
              <w:bidi w:val="0"/>
              <w:spacing w:before="0" w:after="0"/>
              <w:ind w:left="0" w:right="0" w:hanging="0"/>
              <w:jc w:val="left"/>
              <w:rPr/>
            </w:pPr>
            <w:r>
              <w:rPr/>
              <w:t>​</w:t>
            </w:r>
          </w:p>
        </w:tc>
        <w:tc>
          <w:tcPr>
            <w:tcW w:w="204" w:type="dxa"/>
            <w:tcBorders/>
            <w:vAlign w:val="center"/>
          </w:tcPr>
          <w:p>
            <w:pPr>
              <w:pStyle w:val="TableContents"/>
              <w:bidi w:val="0"/>
              <w:spacing w:before="0" w:after="0"/>
              <w:ind w:left="0" w:right="0" w:hanging="0"/>
              <w:jc w:val="left"/>
              <w:rPr/>
            </w:pPr>
            <w:r>
              <w:rPr/>
              <w:t>​</w:t>
            </w:r>
          </w:p>
        </w:tc>
        <w:tc>
          <w:tcPr>
            <w:tcW w:w="14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4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1491"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10,259</w:t>
            </w:r>
          </w:p>
        </w:tc>
      </w:tr>
    </w:tbl>
    <w:p>
      <w:pPr>
        <w:pStyle w:val="TextBody"/>
        <w:bidi w:val="0"/>
        <w:spacing w:before="0" w:after="0"/>
        <w:ind w:left="0" w:right="0" w:hanging="0"/>
        <w:jc w:val="left"/>
        <w:rPr/>
      </w:pPr>
      <w:r>
        <w:rPr/>
        <w:t>​</w:t>
      </w:r>
    </w:p>
    <w:tbl>
      <w:tblPr>
        <w:tblW w:w="9678" w:type="dxa"/>
        <w:jc w:val="left"/>
        <w:tblInd w:w="0" w:type="dxa"/>
        <w:tblLayout w:type="fixed"/>
        <w:tblCellMar>
          <w:top w:w="0" w:type="dxa"/>
          <w:left w:w="0" w:type="dxa"/>
          <w:bottom w:w="0" w:type="dxa"/>
          <w:right w:w="0" w:type="dxa"/>
        </w:tblCellMar>
      </w:tblPr>
      <w:tblGrid>
        <w:gridCol w:w="5821"/>
        <w:gridCol w:w="346"/>
        <w:gridCol w:w="421"/>
        <w:gridCol w:w="1139"/>
        <w:gridCol w:w="346"/>
        <w:gridCol w:w="249"/>
        <w:gridCol w:w="1356"/>
      </w:tblGrid>
      <w:tr>
        <w:trPr/>
        <w:tc>
          <w:tcPr>
            <w:tcW w:w="5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3696335" cy="175260"/>
                      <wp:effectExtent l="0" t="0" r="0" b="0"/>
                      <wp:wrapNone/>
                      <wp:docPr id="210" name="Frame210"/>
                      <a:graphic xmlns:a="http://schemas.openxmlformats.org/drawingml/2006/main">
                        <a:graphicData uri="http://schemas.microsoft.com/office/word/2010/wordprocessingShape">
                          <wps:wsp>
                            <wps:cNvSpPr txBox="1"/>
                            <wps:spPr>
                              <a:xfrm>
                                <a:off x="0" y="0"/>
                                <a:ext cx="3696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11" name="Frame2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67335" cy="175260"/>
                      <wp:effectExtent l="0" t="0" r="0" b="0"/>
                      <wp:wrapNone/>
                      <wp:docPr id="212" name="Frame212"/>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723265" cy="175260"/>
                      <wp:effectExtent l="0" t="0" r="0" b="0"/>
                      <wp:wrapNone/>
                      <wp:docPr id="213" name="Frame213"/>
                      <a:graphic xmlns:a="http://schemas.openxmlformats.org/drawingml/2006/main">
                        <a:graphicData uri="http://schemas.microsoft.com/office/word/2010/wordprocessingShape">
                          <wps:wsp>
                            <wps:cNvSpPr txBox="1"/>
                            <wps:spPr>
                              <a:xfrm>
                                <a:off x="0" y="0"/>
                                <a:ext cx="723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14" name="Frame2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58115" cy="175260"/>
                      <wp:effectExtent l="0" t="0" r="0" b="0"/>
                      <wp:wrapNone/>
                      <wp:docPr id="215" name="Frame215"/>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861060" cy="175260"/>
                      <wp:effectExtent l="0" t="0" r="0" b="0"/>
                      <wp:wrapNone/>
                      <wp:docPr id="216" name="Frame216"/>
                      <a:graphic xmlns:a="http://schemas.openxmlformats.org/drawingml/2006/main">
                        <a:graphicData uri="http://schemas.microsoft.com/office/word/2010/wordprocessingShape">
                          <wps:wsp>
                            <wps:cNvSpPr txBox="1"/>
                            <wps:spPr>
                              <a:xfrm>
                                <a:off x="0" y="0"/>
                                <a:ext cx="861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46" w:type="dxa"/>
            <w:tcBorders/>
            <w:vAlign w:val="center"/>
          </w:tcPr>
          <w:p>
            <w:pPr>
              <w:pStyle w:val="TableContents"/>
              <w:bidi w:val="0"/>
              <w:spacing w:before="0" w:after="0"/>
              <w:ind w:left="0" w:right="0" w:hanging="0"/>
              <w:jc w:val="center"/>
              <w:rPr/>
            </w:pPr>
            <w:r>
              <w:rPr/>
              <w:t>​</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5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8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46" w:type="dxa"/>
            <w:tcBorders/>
            <w:vAlign w:val="center"/>
          </w:tcPr>
          <w:p>
            <w:pPr>
              <w:pStyle w:val="TableContents"/>
              <w:bidi w:val="0"/>
              <w:spacing w:before="0" w:after="0"/>
              <w:ind w:left="0" w:right="0" w:hanging="0"/>
              <w:jc w:val="left"/>
              <w:rPr/>
            </w:pPr>
            <w:r>
              <w:rPr/>
              <w:t>  ​ ​ ​</w:t>
            </w:r>
          </w:p>
        </w:tc>
        <w:tc>
          <w:tcPr>
            <w:tcW w:w="15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1139"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1356" w:type="dxa"/>
            <w:tcBorders/>
            <w:shd w:fill="CCEEFF" w:val="clear"/>
            <w:vAlign w:val="center"/>
          </w:tcPr>
          <w:p>
            <w:pPr>
              <w:pStyle w:val="TableContents"/>
              <w:bidi w:val="0"/>
              <w:spacing w:before="0" w:after="0"/>
              <w:ind w:left="0" w:right="0" w:hanging="0"/>
              <w:jc w:val="left"/>
              <w:rPr/>
            </w:pPr>
            <w:r>
              <w:rPr/>
              <w:t>​</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flows from operating leases</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6,266</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5,271</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flows from finance leases</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 </w:t>
            </w:r>
          </w:p>
        </w:tc>
        <w:tc>
          <w:tcPr>
            <w:tcW w:w="13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607</w:t>
            </w:r>
          </w:p>
        </w:tc>
      </w:tr>
      <w:tr>
        <w:trPr/>
        <w:tc>
          <w:tcPr>
            <w:tcW w:w="5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cash flows from finance leases</w:t>
            </w:r>
          </w:p>
        </w:tc>
        <w:tc>
          <w:tcPr>
            <w:tcW w:w="34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1,157</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left"/>
              <w:rPr/>
            </w:pPr>
            <w:r>
              <w:rPr/>
              <w:t> </w:t>
            </w:r>
          </w:p>
        </w:tc>
        <w:tc>
          <w:tcPr>
            <w:tcW w:w="13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w:t>
            </w:r>
          </w:p>
        </w:tc>
      </w:tr>
      <w:tr>
        <w:trPr/>
        <w:tc>
          <w:tcPr>
            <w:tcW w:w="5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operating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4,609</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pPr>
            <w:r>
              <w:rPr/>
              <w:t>​</w:t>
            </w:r>
          </w:p>
        </w:tc>
        <w:tc>
          <w:tcPr>
            <w:tcW w:w="1356" w:type="dxa"/>
            <w:tcBorders/>
            <w:shd w:fill="CCEEFF" w:val="cle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14,232</w:t>
            </w:r>
          </w:p>
        </w:tc>
      </w:tr>
    </w:tbl>
    <w:p>
      <w:pPr>
        <w:pStyle w:val="TextBody"/>
        <w:bidi w:val="0"/>
        <w:spacing w:before="0" w:after="0"/>
        <w:ind w:left="0" w:right="0" w:hanging="0"/>
        <w:jc w:val="left"/>
        <w:rPr/>
      </w:pPr>
      <w:r>
        <w:rPr/>
        <w:t>​</w:t>
      </w:r>
    </w:p>
    <w:tbl>
      <w:tblPr>
        <w:tblW w:w="6306" w:type="dxa"/>
        <w:jc w:val="left"/>
        <w:tblInd w:w="0" w:type="dxa"/>
        <w:tblLayout w:type="fixed"/>
        <w:tblCellMar>
          <w:top w:w="0" w:type="dxa"/>
          <w:left w:w="0" w:type="dxa"/>
          <w:bottom w:w="0" w:type="dxa"/>
          <w:right w:w="0" w:type="dxa"/>
        </w:tblCellMar>
      </w:tblPr>
      <w:tblGrid>
        <w:gridCol w:w="3331"/>
        <w:gridCol w:w="346"/>
        <w:gridCol w:w="766"/>
        <w:gridCol w:w="526"/>
        <w:gridCol w:w="766"/>
        <w:gridCol w:w="571"/>
      </w:tblGrid>
      <w:tr>
        <w:trPr/>
        <w:tc>
          <w:tcPr>
            <w:tcW w:w="3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19710" cy="175260"/>
                      <wp:effectExtent l="0" t="0" r="0" b="0"/>
                      <wp:wrapNone/>
                      <wp:docPr id="217" name="Frame2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486410" cy="175260"/>
                      <wp:effectExtent l="0" t="0" r="0" b="0"/>
                      <wp:wrapNone/>
                      <wp:docPr id="218" name="Frame218"/>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334010" cy="175260"/>
                      <wp:effectExtent l="0" t="0" r="0" b="0"/>
                      <wp:wrapNone/>
                      <wp:docPr id="219" name="Frame219"/>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486410" cy="175260"/>
                      <wp:effectExtent l="0" t="0" r="0" b="0"/>
                      <wp:wrapNone/>
                      <wp:docPr id="220" name="Frame220"/>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362585" cy="175260"/>
                      <wp:effectExtent l="0" t="0" r="0" b="0"/>
                      <wp:wrapNone/>
                      <wp:docPr id="221" name="Frame22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526" w:type="dxa"/>
            <w:tcBorders/>
            <w:vAlign w:val="center"/>
          </w:tcPr>
          <w:p>
            <w:pPr>
              <w:pStyle w:val="TableContents"/>
              <w:bidi w:val="0"/>
              <w:spacing w:before="0" w:after="0"/>
              <w:ind w:left="0" w:right="0" w:hanging="0"/>
              <w:jc w:val="center"/>
              <w:rPr/>
            </w:pPr>
            <w:r>
              <w:rPr/>
              <w:t>  ​ ​ ​</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571" w:type="dxa"/>
            <w:tcBorders/>
            <w:vAlign w:val="center"/>
          </w:tcPr>
          <w:p>
            <w:pPr>
              <w:pStyle w:val="TableContents"/>
              <w:bidi w:val="0"/>
              <w:spacing w:before="0" w:after="0"/>
              <w:ind w:left="0" w:right="0" w:hanging="0"/>
              <w:jc w:val="left"/>
              <w:rPr/>
            </w:pPr>
            <w:r>
              <w:rPr/>
              <w:t>​</w:t>
            </w:r>
          </w:p>
        </w:tc>
      </w:tr>
      <w:tr>
        <w:trPr/>
        <w:tc>
          <w:tcPr>
            <w:tcW w:w="333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26" w:type="dxa"/>
            <w:tcBorders/>
            <w:vAlign w:val="center"/>
          </w:tcPr>
          <w:p>
            <w:pPr>
              <w:pStyle w:val="TableContents"/>
              <w:bidi w:val="0"/>
              <w:spacing w:before="0" w:after="0"/>
              <w:ind w:left="0" w:right="0" w:hanging="0"/>
              <w:jc w:val="center"/>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71" w:type="dxa"/>
            <w:tcBorders/>
            <w:vAlign w:val="center"/>
          </w:tcPr>
          <w:p>
            <w:pPr>
              <w:pStyle w:val="TableContents"/>
              <w:bidi w:val="0"/>
              <w:spacing w:before="0" w:after="0"/>
              <w:ind w:left="0" w:right="0" w:hanging="0"/>
              <w:jc w:val="left"/>
              <w:rPr/>
            </w:pPr>
            <w:r>
              <w:rPr/>
              <w:t>​</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remaining lease term</w:t>
            </w:r>
          </w:p>
        </w:tc>
        <w:tc>
          <w:tcPr>
            <w:tcW w:w="346" w:type="dxa"/>
            <w:tcBorders/>
            <w:shd w:fill="CCEEFF" w:val="clear"/>
            <w:vAlign w:val="center"/>
          </w:tcPr>
          <w:p>
            <w:pPr>
              <w:pStyle w:val="TableContents"/>
              <w:bidi w:val="0"/>
              <w:spacing w:before="0" w:after="0"/>
              <w:ind w:left="0" w:right="0" w:hanging="0"/>
              <w:jc w:val="center"/>
              <w:rPr/>
            </w:pPr>
            <w:r>
              <w:rPr/>
              <w:t>​</w:t>
            </w:r>
          </w:p>
        </w:tc>
        <w:tc>
          <w:tcPr>
            <w:tcW w:w="766" w:type="dxa"/>
            <w:tcBorders/>
            <w:shd w:fill="CCEEFF" w:val="clear"/>
            <w:vAlign w:val="center"/>
          </w:tcPr>
          <w:p>
            <w:pPr>
              <w:pStyle w:val="TableContents"/>
              <w:bidi w:val="0"/>
              <w:spacing w:before="0" w:after="0"/>
              <w:ind w:left="0" w:right="0" w:hanging="0"/>
              <w:jc w:val="center"/>
              <w:rPr/>
            </w:pPr>
            <w:r>
              <w:rPr/>
              <w:t>  ​</w:t>
            </w:r>
          </w:p>
        </w:tc>
        <w:tc>
          <w:tcPr>
            <w:tcW w:w="52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center"/>
              <w:rPr/>
            </w:pPr>
            <w:r>
              <w:rPr/>
              <w:t>  ​</w:t>
            </w:r>
          </w:p>
        </w:tc>
        <w:tc>
          <w:tcPr>
            <w:tcW w:w="571" w:type="dxa"/>
            <w:tcBorders/>
            <w:shd w:fill="CCEEFF" w:val="clear"/>
            <w:vAlign w:val="center"/>
          </w:tcPr>
          <w:p>
            <w:pPr>
              <w:pStyle w:val="TableContents"/>
              <w:bidi w:val="0"/>
              <w:spacing w:before="0" w:after="0"/>
              <w:ind w:left="0" w:right="0" w:hanging="0"/>
              <w:jc w:val="left"/>
              <w:rPr/>
            </w:pPr>
            <w:r>
              <w:rPr/>
              <w:t>​</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years</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discount rate</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5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left"/>
              <w:rPr/>
            </w:pPr>
            <w:r>
              <w:rPr/>
              <w:t> </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4.86</w:t>
            </w:r>
          </w:p>
        </w:tc>
        <w:tc>
          <w:tcPr>
            <w:tcW w:w="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w:t>
            </w:r>
          </w:p>
        </w:tc>
        <w:tc>
          <w:tcPr>
            <w:tcW w:w="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w:t>
            </w:r>
          </w:p>
        </w:tc>
        <w:tc>
          <w:tcPr>
            <w:tcW w:w="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w:t>
            </w:r>
          </w:p>
        </w:tc>
        <w:tc>
          <w:tcPr>
            <w:tcW w:w="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36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0"/>
        <w:ind w:left="360" w:right="0" w:hanging="0"/>
        <w:jc w:val="left"/>
        <w:rPr>
          <w:rFonts w:ascii="Times New Roman;Times;serif" w:hAnsi="Times New Roman;Times;serif"/>
          <w:sz w:val="20"/>
        </w:rPr>
      </w:pPr>
      <w:bookmarkStart w:id="1145" w:name="Tc_9anycrFQa0yFa-Uw243NlQ_14_2"/>
      <w:bookmarkStart w:id="1146" w:name="Tc_Ij2TO8B1UEi8VAkXwBSpoQ_14_0"/>
      <w:bookmarkStart w:id="1147" w:name="Tc_bi2WZMRTKUeUSBdvIXc5ow_12_0"/>
      <w:bookmarkStart w:id="1148" w:name="Tc_J_AqY52ijkeT29UwZ0I-mg_10_2"/>
      <w:bookmarkStart w:id="1149" w:name="Tc_cDWVUf2Dd0avyqrbScahow_10_0"/>
      <w:bookmarkStart w:id="1150" w:name="Tc_sx-QSTCWh0q-S12iCyVy_Q_9_0"/>
      <w:bookmarkStart w:id="1151" w:name="Tc_yfB5d2v5G0a5LPY36XnxoQ_8_0"/>
      <w:bookmarkStart w:id="1152" w:name="Tc_rxIBCp8jU0KHEymTS97hMg_7_0"/>
      <w:bookmarkStart w:id="1153" w:name="Tc_w2kyecdd5Uyn3STzhwu6-A_6_0"/>
      <w:bookmarkStart w:id="1154" w:name="Tc_VhuBHANdA0Wwg-xlb23lfw_5_0"/>
      <w:bookmarkStart w:id="1155" w:name="Tc_S9Tx98nnK0KZqRQivNOkpw_4_0"/>
      <w:bookmarkStart w:id="1156" w:name="Tc_Xs1-iW2Qv0Cs9L7XDa-6Dw_3_2"/>
      <w:bookmarkStart w:id="1157" w:name="Tc_llw2fy97a0KLZNOSfYrw6A_3_0"/>
      <w:bookmarkStart w:id="1158" w:name="Tc_BEs_UVL7ok6YgcybIuovTQ_2_5"/>
      <w:bookmarkStart w:id="1159" w:name="Tc_ybNhaQATpUGu3U0PLSzb3A_2_2"/>
      <w:bookmarkStart w:id="1160" w:name="Tc_Xd7jGWEXCUmtlLxxPubQWA_2_0"/>
      <w:bookmarkStart w:id="1161" w:name="Tc_qTjFvNBqN0CUj43h-5pqhA_1_5"/>
      <w:bookmarkStart w:id="1162" w:name="Tc_LvVATX15NUW6bJmY2RSwMA_1_2"/>
      <w:bookmarkStart w:id="1163" w:name="Tc_geT6A2uRkk6XB3Wu7Z36iQ_1_0"/>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r>
        <w:rPr>
          <w:rFonts w:ascii="Times New Roman;Times;serif" w:hAnsi="Times New Roman;Times;serif"/>
          <w:sz w:val="20"/>
        </w:rPr>
        <w:t>The following is a reconciliation of future undiscounted cash flows to the operating and finance lease liabilities, and the related ROU assets, presented on our condensed Consolidated Balance Sheet on June 30, 2026:</w:t>
      </w:r>
    </w:p>
    <w:p>
      <w:pPr>
        <w:pStyle w:val="TextBody"/>
        <w:bidi w:val="0"/>
        <w:spacing w:before="0" w:after="0"/>
        <w:ind w:left="360" w:right="0" w:hanging="0"/>
        <w:jc w:val="left"/>
        <w:rPr/>
      </w:pPr>
      <w:r>
        <w:rPr/>
        <w:t>​</w:t>
      </w:r>
    </w:p>
    <w:tbl>
      <w:tblPr>
        <w:tblW w:w="6978" w:type="dxa"/>
        <w:jc w:val="left"/>
        <w:tblInd w:w="0" w:type="dxa"/>
        <w:tblLayout w:type="fixed"/>
        <w:tblCellMar>
          <w:top w:w="0" w:type="dxa"/>
          <w:left w:w="0" w:type="dxa"/>
          <w:bottom w:w="0" w:type="dxa"/>
          <w:right w:w="0" w:type="dxa"/>
        </w:tblCellMar>
      </w:tblPr>
      <w:tblGrid>
        <w:gridCol w:w="4606"/>
        <w:gridCol w:w="346"/>
        <w:gridCol w:w="211"/>
        <w:gridCol w:w="676"/>
        <w:gridCol w:w="346"/>
        <w:gridCol w:w="793"/>
      </w:tblGrid>
      <w:tr>
        <w:trPr/>
        <w:tc>
          <w:tcPr>
            <w:tcW w:w="46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924810" cy="175260"/>
                      <wp:effectExtent l="0" t="0" r="0" b="0"/>
                      <wp:wrapNone/>
                      <wp:docPr id="222" name="Frame222"/>
                      <a:graphic xmlns:a="http://schemas.openxmlformats.org/drawingml/2006/main">
                        <a:graphicData uri="http://schemas.microsoft.com/office/word/2010/wordprocessingShape">
                          <wps:wsp>
                            <wps:cNvSpPr txBox="1"/>
                            <wps:spPr>
                              <a:xfrm>
                                <a:off x="0" y="0"/>
                                <a:ext cx="2924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19710" cy="175260"/>
                      <wp:effectExtent l="0" t="0" r="0" b="0"/>
                      <wp:wrapNone/>
                      <wp:docPr id="223" name="Frame2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33985" cy="175260"/>
                      <wp:effectExtent l="0" t="0" r="0" b="0"/>
                      <wp:wrapNone/>
                      <wp:docPr id="224" name="Frame2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429260" cy="175260"/>
                      <wp:effectExtent l="0" t="0" r="0" b="0"/>
                      <wp:wrapNone/>
                      <wp:docPr id="225" name="Frame22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6" name="Frame2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503555" cy="175260"/>
                      <wp:effectExtent l="0" t="0" r="0" b="0"/>
                      <wp:wrapNone/>
                      <wp:docPr id="227" name="Frame227"/>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0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4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46" w:type="dxa"/>
            <w:tcBorders/>
            <w:vAlign w:val="center"/>
          </w:tcPr>
          <w:p>
            <w:pPr>
              <w:pStyle w:val="TableContents"/>
              <w:bidi w:val="0"/>
              <w:spacing w:before="0" w:after="0"/>
              <w:ind w:left="0" w:right="0" w:hanging="0"/>
              <w:jc w:val="center"/>
              <w:rPr/>
            </w:pPr>
            <w:r>
              <w:rPr/>
              <w:t>​</w:t>
            </w:r>
          </w:p>
        </w:tc>
        <w:tc>
          <w:tcPr>
            <w:tcW w:w="79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Finance</w:t>
            </w:r>
          </w:p>
        </w:tc>
      </w:tr>
      <w:tr>
        <w:trPr/>
        <w:tc>
          <w:tcPr>
            <w:tcW w:w="46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Years Ending September 30:</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46" w:type="dxa"/>
            <w:tcBorders/>
            <w:vAlign w:val="center"/>
          </w:tcPr>
          <w:p>
            <w:pPr>
              <w:pStyle w:val="TableContents"/>
              <w:bidi w:val="0"/>
              <w:spacing w:before="0" w:after="0"/>
              <w:ind w:left="0" w:right="0" w:hanging="0"/>
              <w:jc w:val="left"/>
              <w:rPr/>
            </w:pPr>
            <w:r>
              <w:rPr/>
              <w:t>  ​ ​ ​</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Leases</w:t>
            </w:r>
          </w:p>
        </w:tc>
      </w:tr>
      <w:tr>
        <w:trPr/>
        <w:tc>
          <w:tcPr>
            <w:tcW w:w="4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(excluding the nine months ended 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2,089</w:t>
            </w:r>
          </w:p>
        </w:tc>
        <w:tc>
          <w:tcPr>
            <w:tcW w:w="346"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w:t>
            </w:r>
          </w:p>
        </w:tc>
      </w:tr>
      <w:tr>
        <w:trPr/>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8,292</w:t>
            </w:r>
          </w:p>
        </w:tc>
        <w:tc>
          <w:tcPr>
            <w:tcW w:w="346"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2,357</w:t>
            </w:r>
          </w:p>
        </w:tc>
      </w:tr>
      <w:tr>
        <w:trPr/>
        <w:tc>
          <w:tcPr>
            <w:tcW w:w="4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8,124</w:t>
            </w:r>
          </w:p>
        </w:tc>
        <w:tc>
          <w:tcPr>
            <w:tcW w:w="346"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2,417</w:t>
            </w:r>
          </w:p>
        </w:tc>
      </w:tr>
      <w:tr>
        <w:trPr/>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6,643</w:t>
            </w:r>
          </w:p>
        </w:tc>
        <w:tc>
          <w:tcPr>
            <w:tcW w:w="346"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2,478</w:t>
            </w:r>
          </w:p>
        </w:tc>
      </w:tr>
      <w:tr>
        <w:trPr/>
        <w:tc>
          <w:tcPr>
            <w:tcW w:w="4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 and thereafter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37,584</w:t>
            </w:r>
          </w:p>
        </w:tc>
        <w:tc>
          <w:tcPr>
            <w:tcW w:w="346" w:type="dxa"/>
            <w:tcBorders/>
            <w:shd w:fill="CCEEFF" w:val="cle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11,575</w:t>
            </w:r>
          </w:p>
        </w:tc>
      </w:tr>
      <w:tr>
        <w:trPr/>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minimum lease payments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62,732</w:t>
            </w:r>
          </w:p>
        </w:tc>
        <w:tc>
          <w:tcPr>
            <w:tcW w:w="346"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19,404</w:t>
            </w:r>
          </w:p>
        </w:tc>
      </w:tr>
      <w:tr>
        <w:trPr/>
        <w:tc>
          <w:tcPr>
            <w:tcW w:w="46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amounts representing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12,472</w:t>
            </w:r>
          </w:p>
        </w:tc>
        <w:tc>
          <w:tcPr>
            <w:tcW w:w="346" w:type="dxa"/>
            <w:tcBorders/>
            <w:shd w:fill="CCEEFF" w:val="cle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4,008</w:t>
            </w:r>
          </w:p>
        </w:tc>
      </w:tr>
      <w:tr>
        <w:trPr/>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of net minimum lease payments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50,260</w:t>
            </w:r>
          </w:p>
        </w:tc>
        <w:tc>
          <w:tcPr>
            <w:tcW w:w="346" w:type="dxa"/>
            <w:tcBorders/>
            <w:vAlign w:val="center"/>
          </w:tcPr>
          <w:p>
            <w:pPr>
              <w:pStyle w:val="TableContents"/>
              <w:bidi w:val="0"/>
              <w:spacing w:before="0" w:after="0"/>
              <w:ind w:left="0" w:right="0" w:hanging="0"/>
              <w:jc w:val="left"/>
              <w:rPr/>
            </w:pPr>
            <w:r>
              <w:rPr/>
              <w:t>​</w:t>
            </w:r>
          </w:p>
        </w:tc>
        <w:tc>
          <w:tcPr>
            <w:tcW w:w="7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15,396</w:t>
            </w:r>
          </w:p>
        </w:tc>
      </w:tr>
      <w:tr>
        <w:trPr/>
        <w:tc>
          <w:tcPr>
            <w:tcW w:w="4606"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current portion of lease obligations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6,153</w:t>
            </w:r>
          </w:p>
        </w:tc>
        <w:tc>
          <w:tcPr>
            <w:tcW w:w="346" w:type="dxa"/>
            <w:tcBorders/>
            <w:shd w:fill="CCEEFF" w:val="clear"/>
            <w:vAlign w:val="center"/>
          </w:tcPr>
          <w:p>
            <w:pPr>
              <w:pStyle w:val="TableContents"/>
              <w:bidi w:val="0"/>
              <w:spacing w:before="0" w:after="0"/>
              <w:ind w:left="0" w:right="0" w:hanging="0"/>
              <w:jc w:val="left"/>
              <w:rPr/>
            </w:pPr>
            <w:r>
              <w:rPr/>
              <w:t>​</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1,647</w:t>
            </w:r>
          </w:p>
        </w:tc>
      </w:tr>
      <w:tr>
        <w:trPr/>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portion of lease obligations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44,107</w:t>
            </w:r>
          </w:p>
        </w:tc>
        <w:tc>
          <w:tcPr>
            <w:tcW w:w="346" w:type="dxa"/>
            <w:tcBorders/>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13,749</w:t>
            </w:r>
          </w:p>
        </w:tc>
      </w:tr>
      <w:tr>
        <w:trPr/>
        <w:tc>
          <w:tcPr>
            <w:tcW w:w="460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93" w:type="dxa"/>
            <w:tcBorders/>
            <w:shd w:fill="CCEEFF" w:val="clear"/>
            <w:vAlign w:val="center"/>
          </w:tcPr>
          <w:p>
            <w:pPr>
              <w:pStyle w:val="TableContents"/>
              <w:bidi w:val="0"/>
              <w:spacing w:before="0" w:after="0"/>
              <w:ind w:left="0" w:right="0" w:hanging="0"/>
              <w:jc w:val="right"/>
              <w:rPr/>
            </w:pPr>
            <w:r>
              <w:rPr/>
              <w:t>​</w:t>
            </w:r>
          </w:p>
        </w:tc>
      </w:tr>
      <w:tr>
        <w:trPr/>
        <w:tc>
          <w:tcPr>
            <w:tcW w:w="46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ROU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47,271</w:t>
            </w:r>
          </w:p>
        </w:tc>
        <w:tc>
          <w:tcPr>
            <w:tcW w:w="346" w:type="dxa"/>
            <w:tcBorders/>
            <w:vAlign w:val="center"/>
          </w:tcPr>
          <w:p>
            <w:pPr>
              <w:pStyle w:val="TableContents"/>
              <w:bidi w:val="0"/>
              <w:spacing w:before="0" w:after="0"/>
              <w:ind w:left="0" w:right="0" w:hanging="0"/>
              <w:jc w:val="left"/>
              <w:rPr/>
            </w:pPr>
            <w:r>
              <w:rPr/>
              <w:t>​</w:t>
            </w:r>
          </w:p>
        </w:tc>
        <w:tc>
          <w:tcPr>
            <w:tcW w:w="793" w:type="dxa"/>
            <w:tcBorders>
              <w:bottom w:val="single" w:sz="2"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11,078</w:t>
            </w:r>
          </w:p>
        </w:tc>
      </w:tr>
    </w:tbl>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 xml:space="preserve">Operating lease liabilities are included in the condensed Consolidated Balance Sheet in accrued other expenses (current portion) and as a caption on the Consolidated Balance Sheet (long-term portion). Finance lease liabilities are included on the Consolidated </w:t>
      </w:r>
      <w:r>
        <w:rPr>
          <w:rFonts w:ascii="Times New Roman;Times;serif" w:hAnsi="Times New Roman;Times;serif"/>
          <w:b w:val="false"/>
          <w:i w:val="false"/>
          <w:caps w:val="false"/>
          <w:smallCaps w:val="false"/>
          <w:sz w:val="20"/>
        </w:rPr>
        <w:t>Balance Sheet</w:t>
      </w:r>
      <w:r>
        <w:rPr>
          <w:rFonts w:ascii="Times New Roman;Times;serif" w:hAnsi="Times New Roman;Times;serif"/>
          <w:sz w:val="20"/>
        </w:rPr>
        <w:t xml:space="preserve"> in accrued other expenses (current portion) and other liabilities (long-term portion). Operating lease ROU assets are included as a caption on the Consolidated Balance Sheet and finance lease </w:t>
      </w:r>
      <w:r>
        <w:rPr>
          <w:rFonts w:ascii="Times New Roman;Times;serif" w:hAnsi="Times New Roman;Times;serif"/>
          <w:b w:val="false"/>
          <w:i w:val="false"/>
          <w:caps w:val="false"/>
          <w:smallCaps w:val="false"/>
          <w:sz w:val="20"/>
        </w:rPr>
        <w:t>ROU</w:t>
      </w:r>
      <w:r>
        <w:rPr>
          <w:rFonts w:ascii="Times New Roman;Times;serif" w:hAnsi="Times New Roman;Times;serif"/>
          <w:sz w:val="20"/>
        </w:rPr>
        <w:t xml:space="preserve"> assets are included in property, plant and equipment on the Consolidated Balance sheet.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13.  NEW ACCOUNTING PRONOUNCEMENTS</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sz w:val="20"/>
        </w:rPr>
        <w:t>In November 2024, the FASB issued ASU 2024-03, “</w:t>
      </w:r>
      <w:r>
        <w:rPr>
          <w:rFonts w:ascii="Times New Roman;Times;serif" w:hAnsi="Times New Roman;Times;serif"/>
          <w:i/>
          <w:sz w:val="20"/>
        </w:rPr>
        <w:t>Disaggregation of Income Statement Expenses</w:t>
      </w:r>
      <w:r>
        <w:rPr>
          <w:rFonts w:ascii="Times New Roman;Times;serif" w:hAnsi="Times New Roman;Times;serif"/>
          <w:sz w:val="20"/>
        </w:rPr>
        <w:t>,” which requires disaggregated disclosure of income statement expenses for public business entities. The ASU does not change the expense captions an entity presents on the face of the income statement, rather, it requires disaggregation of certain expense captions into specified categories in disclosures within the footnotes to the financial statements. This ASU will be effective for fiscal years beginning after December 15, 2026 and interim periods within fiscal years beginning after December 15, 2027. Other than additional disclosure, we do not expect a change to our consolidated statements of operations, financial position, or cash flows.</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In December 2023, the FASB issued ASU 2023-09, “</w:t>
      </w:r>
      <w:r>
        <w:rPr>
          <w:rFonts w:ascii="Times New Roman;Times;serif" w:hAnsi="Times New Roman;Times;serif"/>
          <w:i/>
          <w:sz w:val="20"/>
        </w:rPr>
        <w:t>Income Taxes (Topic 740): Improvements to Income Tax Disclosures</w:t>
      </w:r>
      <w:r>
        <w:rPr>
          <w:rFonts w:ascii="Times New Roman;Times;serif" w:hAnsi="Times New Roman;Times;serif"/>
          <w:sz w:val="20"/>
        </w:rPr>
        <w:t>,” which provides qualitative and quantitative updates to the rate reconciliation and income taxes paid disclosures. This ASU will be effective for fiscal years beginning after December 15, 2024. Other than additional disclosure, we do not expect a change to our consolidated statements of operations, financial position, or cash flows.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14.  RELATED PARTIES</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Two of the Company’s directors are officers at two customers of the Company’s Doble subsidiary. Doble sells products, leases equipment and provides testing services in the ordinary course of Doble’s business. The total amount of these sales to these two customers was approximately $1.7 million and $3.9 million for the three and nine-month periods ending June 30, 2026. All transactions between Doble and the two customers are intended to be and have been consistent with Doble’s normal commercial terms offered to its customers, and the Company’s Board of Directors has determined that the relationships between the Company and the customers are not material and did not impair the Company’s or the directors’ independence.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15.  ACQUISITION</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On April 15, 2026, the Company signed a definitive agreement to acquire the Megger Group Limited (Megger) business of TBG AG. Megger is a global provider of testing, monitoring, and data-driven solutions for utilities and critical electric infrastructure, including industrial, transportation, data center and renewable end markets. Under the terms of the agreement, ESCO will acquire Megger for total consideration of approximately $2.35 billion, consisting of $0.9 billion in cash and ESCO equity valued at approximately $1.4 billion. The cash portion will be funded through existing cash on hand and incremental debt, with committed financing in place. The Company expects to complete the acquisition in the first quarter of fiscal 2027. Megger will become part of the Company’s USG segment. See further discussion of the transaction and financing arrangements in the Company’s Form 8-K’s filed April 15, 2026 and April 16, 2026.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160"/>
        <w:ind w:left="0" w:right="0" w:hanging="0"/>
        <w:jc w:val="left"/>
        <w:rPr>
          <w:rFonts w:ascii="Times New Roman;Times;serif" w:hAnsi="Times New Roman;Times;serif"/>
          <w:sz w:val="20"/>
        </w:rPr>
      </w:pPr>
      <w:bookmarkStart w:id="1164" w:name="_875c08a4_8e82_40aa_bdea_a9f851222c5d"/>
      <w:bookmarkEnd w:id="1164"/>
      <w:r>
        <w:rPr>
          <w:rFonts w:ascii="Times New Roman;Times;serif" w:hAnsi="Times New Roman;Times;serif"/>
          <w:sz w:val="20"/>
        </w:rPr>
        <w:t>ITEM 2. MANAGEMENT’S DISCUSSION AND ANALYSIS OF FINANCIAL CONDITION AND RESULTS OF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RESULTS OF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discussion refers to the Company’s results from continuing operations, except where noted. References to the third quarters of 2026 and 2025 represent the three-month periods ended June 30, 2026 and 2025,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OVERVIEW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third quarter of 2026, sales, net earnings and diluted earnings per share from continuing operations were $339.0 million, $32.7 million and $1.26 per share, respectively, compared to $296.3 million, $24.8 million and $0.96 per share, respectively, in the third quarter of 2025. In the first nine months of 2026, sales, net earnings and diluted earnings per share were $938.0 million, $95.0 million and $3.66 per share, respectively, compared to $742.7 million, $71.4 million and $2.76 per share, respectively, in the first nine months of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NET SALES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third quarter of 2026, net sales of $339.0 million were $42.7 million, or 14.4%, higher than the $296.3 million in the third quarter of 2025. In the first nine months of 2026, net sales of $938.0 million were $195.3 million, or 26.3%, higher than the $742.7 million in the first nine months of 2025. The increase in net sales in the third quarter of 2026 as compared to the third quarter of 2025 was due to a $31.9 million increase in the A&amp;D segment, a $7.6 million increase in the USG segment and a $3.2 million increase in the Test segment. The increase in net sales in the first nine months of 2026 as compared to the first nine months of 2025 was due to a $154.5 million increase in the A&amp;D segment, a $29.6 million increase in the Test segment and a $11.2 million increase in the USG segment.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A&amp;D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third quarter of 2026, net sales of $168.2 million were $31.9 million, or 23.4%, higher than the $136.3 million in the third quarter of 2025. In the first nine months of 2026, net sales of $462.3 million were $154.5 million, or 50.2%, higher than the $307.8 million in the first nine months of 2025. The sales increase in the third quarter of 2026 compared to the third quarter of 2025 was mainly due to a $22.3 million increase in navy revenues and a $7.9 million increase in aerospace revenues (defense and commercial). Maritime contributed $22.7 million of revenue growth in the third quarter of 2026. The sales increase in the first nine months of 2026 compared to the first nine months of 2025 was mainly due to a $110.9 million increase in navy revenues and a $37.7 million increase in aerospace revenues (defense and commercial). Maritime contributed $121.1 million of revenue growth in the first nine months of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USG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third quarter of 2026, net sales of $100.0 million were $7.6 million, or 8.2%, higher than the $92.4 million in the third quarter of 2025. In the first nine months of 2026, net sales of $281.0 million were $11.2 million, or 4.2%, higher than the $269.8 million in the first nine months of 2025. The increase in the third quarter of 2026 compared to the third quarter of 2025 was due to an $12.9 million increase in net sales at Doble driven by higher sales of protection testing, offline test equipment and services, partially offset by a $5.3 million decrease in net sales at NRG driven by lower shipments of solar and wind products due to weakness in the renewables market. The increase in the first nine months of 2026 compared to the corresponding period of 2025 was due to a $25.5 million increase in net sales at Doble driven by higher sales of condition monitoring, offline, protection testing products and services, partially offset by a $14.3 million decrease in net sales at NRG for the reasons mentioned above.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-Test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the third quarter of 2026, net sales of $70.9 million were $3.2 million, or 4.7%, higher than the $67.7 million in the third quarter of 2025. In the first nine months of 2026, net sales of $194.7 million were $29.6 million, or 17.9%, higher than the $165.1 million in the first nine months of 2025. The increase in the third quarter of 2026 as compared to the third quarter of 2025 was due to a $7.1 million increase in sales from the segment’s U.S. and European operations due to higher Test and Measurement, medical and industrial shielding, and filters volumes, partially offset by a $3.9 million decrease from the segment’s Asian operations. The increase in the first nine months of 2026 compared to the first nine months of 2025 was due to a $27.2 million increase in sales from the segment’s U.S. operations, a $4.3 million increase from the segment’s European operations for the reasons mentioned above, partially offset by a $1.9 million decrease in sales from the segment’s Asian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ORDERS AND BACKLOG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Backlog was $1,540.5 million at June 30, 2026 compared with $1,133.6 million at September 30, 2025. The Company received new orders totaling $409.5 million in the third quarter of 2026 compared to $749.1 million in the third quarter of 2025. Of the new orders received in the third quarter of 2026, $195.6 million related to A&amp;D products, $126.9 million related to USG products, and $87.0 million related to Test products. Of the new orders received in the third quarter of 2025, $582.4 million related to A&amp;D products (including $364.2 million of Maritime acquired backlog), $105.5 million related to USG products, and $61.2 million related to Test products.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received new orders totaling $1,344.9 million in the first nine months of 2026 compared to $1,243.9 million in the first nine months of 2025. Of the new orders received in the first nine months of 2026, $761.8 million related to A&amp;D products, $326.9 million related to USG products, and $256.2 million related to Test products. Of the new orders received in the first nine months of 2025, $753.7 million related to A&amp;D products (including $364.2 million of Maritime acquired backlog), $287.3 million related to USG products, and $202.9 million related to Test products.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Selling, general and administrative (SG&amp;A) expenses for the third quarter of 2026 were $71.0 million (20.9% of net sales), compared with $62.0 million (20.9% of net sales) for the third quarter of 2025. For the first nine months of 2026, SG&amp;A expenses were $195.0 million (20.8% of net sales) compared to $171.3 million (23.1% of net sales) for the first nine months of 2025. The increase in SG&amp;A in the third quarter and first nine months of 2026 compared to the corresponding periods of 2025 was mainly due to an increase within the A&amp;D segment due to the Maritime acquisition; increased expenses at all three business segments primarily related to higher sales and inflationary impacts and an increase at Corporate mainly due to acquisition costs related to the pending Megger acquisition.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Amortization of intangible assets was $20.3 million and $61.1 million for the third quarter and first nine months of 2026, respectively, compared to $16.8 million and $32.7 million for the corresponding periods of 2025. Amortization expenses consist of amortization of acquired intangible assets from acquisitions and other identifiable intangible assets (primarily software). The increase in amortization expense in the third quarter and first nine months of 2026 compared to the corresponding periods of 2025 was mainly due to an increase in amortization of intangible assets related to the Maritime acquisition.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OTHER EXPENSES (INCOME), NET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Other expenses, net, was $0.5 million in the third quarter of 2026 compared with $2.2 million in the third quarter of 2025. Other expenses, net, was $2.3 million in the first nine months of 2026 compared with $1.9 million in the first nine months of 2025. The principal components of other expenses, net, in the third quarter of 2026 included $0.7 million of restructuring charges within the Test segment due to the exit of the acoustics product line (primarily asset write-offs), and $0.3 million of restructuring charges (primarily severance) within the USG segment. The principal components of other expenses, net, in the first nine months of 2026 included $2.0 million of restructuring charges within the Test segment due to the exit of the acoustics product line and $0.9 million of restructuring charges (primarily severance) within the USG segment. The principal component of other expenses, net, in the third quarter and first nine months of 2025 was $1.3 million of UK stamp duties on the Maritime acquisition.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EBIT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evaluates the performance of its operating segments based on EBIT, and provides EBIT on a consolidated basis. EBIT is a non-GAAP financial measure. Please refer to the discussion of non-GAAP financial measures in Note 6 to the condensed Consolidated Financial Statements, above. EBIT was $49.7 million (14.6% of net sales) for the third quarter of 2026 compared to $41.0 million (13.8% of net sales) for the third quarter of 2025. For the first nine months of 2026, EBIT was $134.3 million (14.3% of net sales) compared to $105.7 million (14.2% of net sales) for the first nine months of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presents a reconciliation of EBIT from continuing operations to net earnings from continuing operations.</w:t>
      </w:r>
    </w:p>
    <w:p>
      <w:pPr>
        <w:pStyle w:val="TextBody"/>
        <w:bidi w:val="0"/>
        <w:spacing w:before="0" w:after="240"/>
        <w:ind w:left="0" w:right="0" w:hanging="0"/>
        <w:jc w:val="left"/>
        <w:rPr/>
      </w:pPr>
      <w:r>
        <w:rPr/>
        <w:t>​</w:t>
      </w:r>
    </w:p>
    <w:tbl>
      <w:tblPr>
        <w:tblW w:w="8696" w:type="dxa"/>
        <w:jc w:val="left"/>
        <w:tblInd w:w="0" w:type="dxa"/>
        <w:tblLayout w:type="fixed"/>
        <w:tblCellMar>
          <w:top w:w="0" w:type="dxa"/>
          <w:left w:w="0" w:type="dxa"/>
          <w:bottom w:w="0" w:type="dxa"/>
          <w:right w:w="0" w:type="dxa"/>
        </w:tblCellMar>
      </w:tblPr>
      <w:tblGrid>
        <w:gridCol w:w="3961"/>
        <w:gridCol w:w="346"/>
        <w:gridCol w:w="211"/>
        <w:gridCol w:w="676"/>
        <w:gridCol w:w="346"/>
        <w:gridCol w:w="109"/>
        <w:gridCol w:w="676"/>
        <w:gridCol w:w="346"/>
        <w:gridCol w:w="781"/>
        <w:gridCol w:w="346"/>
        <w:gridCol w:w="898"/>
      </w:tblGrid>
      <w:tr>
        <w:trP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515235" cy="175260"/>
                      <wp:effectExtent l="0" t="0" r="0" b="0"/>
                      <wp:wrapNone/>
                      <wp:docPr id="228" name="Frame228"/>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19710" cy="175260"/>
                      <wp:effectExtent l="0" t="0" r="0" b="0"/>
                      <wp:wrapNone/>
                      <wp:docPr id="229" name="Frame2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33985" cy="175260"/>
                      <wp:effectExtent l="0" t="0" r="0" b="0"/>
                      <wp:wrapNone/>
                      <wp:docPr id="230" name="Frame2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429260" cy="175260"/>
                      <wp:effectExtent l="0" t="0" r="0" b="0"/>
                      <wp:wrapNone/>
                      <wp:docPr id="231" name="Frame23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19710" cy="175260"/>
                      <wp:effectExtent l="0" t="0" r="0" b="0"/>
                      <wp:wrapNone/>
                      <wp:docPr id="232" name="Frame2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9215" cy="175260"/>
                      <wp:effectExtent l="0" t="0" r="0" b="0"/>
                      <wp:wrapNone/>
                      <wp:docPr id="233" name="Frame2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429260" cy="175260"/>
                      <wp:effectExtent l="0" t="0" r="0" b="0"/>
                      <wp:wrapNone/>
                      <wp:docPr id="234" name="Frame23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5"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495935" cy="175260"/>
                      <wp:effectExtent l="0" t="0" r="0" b="0"/>
                      <wp:wrapNone/>
                      <wp:docPr id="236" name="Frame23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7"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570230" cy="175260"/>
                      <wp:effectExtent l="0" t="0" r="0" b="0"/>
                      <wp:wrapNone/>
                      <wp:docPr id="238" name="Frame238"/>
                      <a:graphic xmlns:a="http://schemas.openxmlformats.org/drawingml/2006/main">
                        <a:graphicData uri="http://schemas.microsoft.com/office/word/2010/wordprocessingShape">
                          <wps:wsp>
                            <wps:cNvSpPr txBox="1"/>
                            <wps:spPr>
                              <a:xfrm>
                                <a:off x="0" y="0"/>
                                <a:ext cx="570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18"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0"/>
              <w:ind w:left="0" w:right="0" w:hanging="0"/>
              <w:jc w:val="left"/>
              <w:rPr/>
            </w:pPr>
            <w:r>
              <w:rPr/>
              <w:t>​</w:t>
            </w:r>
          </w:p>
        </w:tc>
        <w:tc>
          <w:tcPr>
            <w:tcW w:w="2025"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3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01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202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96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7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89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earnings from continuing operations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32,735</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24,755</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94,982</w:t>
            </w:r>
          </w:p>
        </w:tc>
        <w:tc>
          <w:tcPr>
            <w:tcW w:w="346" w:type="dxa"/>
            <w:tcBorders/>
            <w:shd w:fill="CCEEFF" w:val="clear"/>
            <w:vAlign w:val="center"/>
          </w:tcPr>
          <w:p>
            <w:pPr>
              <w:pStyle w:val="TableContents"/>
              <w:bidi w:val="0"/>
              <w:spacing w:before="0" w:after="0"/>
              <w:ind w:left="0" w:right="0" w:hanging="0"/>
              <w:jc w:val="left"/>
              <w:rPr/>
            </w:pPr>
            <w:r>
              <w:rPr/>
              <w:t>​</w:t>
            </w:r>
          </w:p>
        </w:tc>
        <w:tc>
          <w:tcPr>
            <w:tcW w:w="8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71,445</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Interest expense,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8,713</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7,921</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13,992</w:t>
            </w:r>
          </w:p>
        </w:tc>
        <w:tc>
          <w:tcPr>
            <w:tcW w:w="346" w:type="dxa"/>
            <w:tcBorders/>
            <w:vAlign w:val="center"/>
          </w:tcPr>
          <w:p>
            <w:pPr>
              <w:pStyle w:val="TableContents"/>
              <w:bidi w:val="0"/>
              <w:spacing w:before="0" w:after="0"/>
              <w:ind w:left="0" w:right="0" w:hanging="0"/>
              <w:jc w:val="left"/>
              <w:rPr/>
            </w:pPr>
            <w:r>
              <w:rPr/>
              <w:t>​</w:t>
            </w:r>
          </w:p>
        </w:tc>
        <w:tc>
          <w:tcPr>
            <w:tcW w:w="89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12,373</w:t>
            </w:r>
          </w:p>
        </w:tc>
      </w:tr>
      <w:tr>
        <w:trPr/>
        <w:tc>
          <w:tcPr>
            <w:tcW w:w="39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Plus: Income tax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8,219</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8,314</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25,314</w:t>
            </w:r>
          </w:p>
        </w:tc>
        <w:tc>
          <w:tcPr>
            <w:tcW w:w="346" w:type="dxa"/>
            <w:tcBorders/>
            <w:shd w:fill="CCEEFF" w:val="clear"/>
            <w:vAlign w:val="center"/>
          </w:tcPr>
          <w:p>
            <w:pPr>
              <w:pStyle w:val="TableContents"/>
              <w:bidi w:val="0"/>
              <w:spacing w:before="0" w:after="0"/>
              <w:ind w:left="0" w:right="0" w:hanging="0"/>
              <w:jc w:val="left"/>
              <w:rPr/>
            </w:pPr>
            <w:r>
              <w:rPr/>
              <w:t>​</w:t>
            </w:r>
          </w:p>
        </w:tc>
        <w:tc>
          <w:tcPr>
            <w:tcW w:w="8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21,841</w:t>
            </w:r>
          </w:p>
        </w:tc>
      </w:tr>
      <w:tr>
        <w:trPr/>
        <w:tc>
          <w:tcPr>
            <w:tcW w:w="39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 EBIT from continuing operations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49,667</w:t>
            </w:r>
          </w:p>
        </w:tc>
        <w:tc>
          <w:tcPr>
            <w:tcW w:w="346" w:type="dxa"/>
            <w:tcBorders/>
            <w:vAlign w:val="center"/>
          </w:tcPr>
          <w:p>
            <w:pPr>
              <w:pStyle w:val="TableContents"/>
              <w:bidi w:val="0"/>
              <w:spacing w:before="0" w:after="0"/>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40,990</w:t>
            </w:r>
          </w:p>
        </w:tc>
        <w:tc>
          <w:tcPr>
            <w:tcW w:w="346" w:type="dxa"/>
            <w:tcBorders/>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134,288</w:t>
            </w:r>
          </w:p>
        </w:tc>
        <w:tc>
          <w:tcPr>
            <w:tcW w:w="346" w:type="dxa"/>
            <w:tcBorders/>
            <w:vAlign w:val="center"/>
          </w:tcPr>
          <w:p>
            <w:pPr>
              <w:pStyle w:val="TableContents"/>
              <w:bidi w:val="0"/>
              <w:spacing w:before="0" w:after="0"/>
              <w:ind w:left="0" w:right="0" w:hanging="0"/>
              <w:jc w:val="left"/>
              <w:rPr/>
            </w:pPr>
            <w:r>
              <w:rPr/>
              <w:t>​</w:t>
            </w:r>
          </w:p>
        </w:tc>
        <w:tc>
          <w:tcPr>
            <w:tcW w:w="898" w:type="dxa"/>
            <w:tcBorders>
              <w:bottom w:val="double" w:sz="6" w:space="0" w:color="000000"/>
            </w:tcBorders>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105,659</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A&amp;D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EBIT in the third quarter of 2026 was $50.4 million (30.0% of net sales) compared to $36.6 million (26.8% of net sales) in the third quarter of 2025. EBIT in the first nine months of 2026 was $131.4 million (28.4% of net sales) compared to $78.2 million (25.4% of net sales) in the first nine months of 2025. The increase in EBIT in the third quarter and first nine months of 2026 compared to the corresponding periods of 2025 was mainly driven by leverage on higher sales volumes as mentioned above, and price increases, partially offset by inflationary pressures and unfavorable mix. EBIT in the third quarter and first nine months of 2025 was negatively impacted by $2.7 million of inventory step-up charges and stamp duty charges related to the Maritime acquisition.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USG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EBIT in the third quarter of 2026 was $22.0 million (22.0% of net sales) compared to $21.5 million (23.3% of net sales) in the third quarter of 2025. EBIT in the first nine months of 2026 was $64.0 million (22.8% of net sales) compared to $62.8 million (23.2% of net sales) in the first nine months of 2025. The increase in EBIT in the third quarter and first nine months of 2026 compared to the corresponding periods of 2025 was mainly driven by leverage on higher sales volumes at Doble and price increases and mix, partially offset by lower sales volumes at NRG, and inflationary pressures. EBIT was negatively impacted by $0.9 million and $0.3 million in the first nine months of 2026 and 2025, respectively, by restructuring charges (primarily severance) and acquisition costs.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Test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EBIT in the third quarter of 2026 was $10.9 million (15.4% of net sales) compared to $10.7 million (15.9% of net sales) in the third quarter of 2025. EBIT in the first nine months of 2026 was $27.7 million (14.2% of net sales) compared to $21.5 million (13.0% of net sales) in the first nine months of 2025. The increase in EBIT in the third quarter and first nine months of 2026 compared to the corresponding periods of 2025 was mainly due to higher sales volumes and price increases partially offset by inflationary pressures. EBIT was negatively impacted by $2.1 million and $0.4 million in the first nine months of 2026 and 2025, respectively, by restructuring charges (primarily asset write-offs, contract termination charges and severance).</w:t>
      </w:r>
    </w:p>
    <w:p>
      <w:pPr>
        <w:pStyle w:val="TextBody"/>
        <w:bidi w:val="0"/>
        <w:spacing w:before="0" w:after="240"/>
        <w:ind w:left="0" w:right="0" w:hanging="0"/>
        <w:jc w:val="left"/>
        <w:rPr/>
      </w:pPr>
      <w:r>
        <w:rPr/>
        <w:t>–</w:t>
      </w:r>
      <w:r>
        <w:rPr>
          <w:rFonts w:ascii="Times New Roman;Times;serif" w:hAnsi="Times New Roman;Times;serif"/>
          <w:i/>
          <w:sz w:val="20"/>
        </w:rPr>
        <w:t>Corporate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Corporate costs included in EBIT were $33.6 million and $88.8 million in the third quarter and first nine months of 2026, respectively, compared to $27.9 million and $56.9 million in the corresponding periods of 2025. The increase in Corporate costs in the third quarter and first nine months of 2026 compared to the corresponding periods of 2025 was mainly due to an increase in acquisition related amortization due to the Maritime acquisition, and an increase in share-based compensation costs and acquisition related costs related to the pending Megger acquisition.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INTEREST EXPENSE, NET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Interest expense was $8.7 million and $14.0 million in the third quarter and first nine months of 2026, respectively, and $7.9 million and $12.4 million in the corresponding periods of 2025. The increase in interest expense in the third quarter and first nine months of 2026 compared to the corresponding periods of 2025 was mainly due to approximately $7 million of debt financing costs incurred in the third quarter of 2026 related to the pending Megger acquisition, partially offset by lower average outstanding borrowings due to the prior year Maritime acquisition and lower average interest rates.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INCOME TAX EXPENSE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third quarter 2026 effective income tax rate from continuing operations was 20.1% compared to 25.1% in the third quarter of 2025. The effective income tax rate from continuing operations in the first nine months of 2026 was 21.0% compared to 23.4% for the first nine months of 2025. Income tax expense in the third quarter and first nine months of 2026 was favorably impacted by return-to-provision adjustments recognized upon finalization of the 2025 federal income tax return, including an increase to the federal research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credit. Income tax expense in the third quarter and first nine months of 2025 was unfavorably impacted by income tax consequences associated with the acquisition of Maritime, including non-deductible transaction costs.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CAPITAL RESOURCES AND LIQUIDITY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Company’s overall financial position and liquidity remain strong. Working capital (current assets less current liabilities) increased to $208.8 million at June 30, 2026 from $180.4 million at September 30, 2025. Inventories increased $22.7 million during this period due to a $14.9 million increase within the A&amp;D segment, and a $9.2 million increase within the USG segment; both increases due to higher work-in-process and raw materials inventories due to timing of manufacturing existing orders, partially offset by a $1.4 million decrease within the Test segment. Contract assets increased $36.9 million primarily within the A&amp;D segment (Maritime) due to timing. Contract liabilities increased $71.5 million primarily within the A&amp;D segment (Globe and Maritime) due to timing of payments received from customers.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Net cash provided by operating activities from continuing operations was $193.4 million and $88.3 million in the first nine months of 2026 and 2025, respectively. The increase in net cash provided by operating activities in the first nine months of 2026 as compared to the first nine months of 2025 was mainly driven by lower working capital requirements and higher earnings.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Capital expenditures for continuing operations were $24.6 million and $24.2 million in the first nine months of 2026 and 2025, respectively. In addition, the Company incurred expenditures for capitalized software and other intangible assets from continuing operations of $7.9 million and $13.0 million in the first nine months of 2026 and 2025, respectively.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Credit Facility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June 30, 2026, the Company had approximately $442 million available to borrow under its bank credit facility, a $250 million increase option, and $73.2 million cash on hand. At June 30, 2026, the Company had $85 million of outstanding borrowings under the Credit Facility and Incremental Facility in addition to outstanding letters of credit of $12.7 million. Cash flow from operations and borrowings under the Company’s credit facility are expected to meet the Company’s capital requirements and operational needs for the foreseeable future. The Company’s ability to access the additional $250 million increase option of the credit facility is subject to acceptance by participating or other outside banks.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Acquisitions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first nine months of fiscal 2026, the Company paid $10.2 million consisting of a $5.1 million working capital settlement and a $5.1 million group tax relief payment, both related to the Maritime acquisition.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April 15, 2026, the Company signed a definitive agreement to acquire the Megger business of TBG AG. Megger is a global provider of testing, monitoring, and data-driven solutions for utilities and critical electric infrastructure, including industrial, transportation, data center and renewable end markets. Under the terms of the agreement, ESCO will acquire Megger for total consideration of approximately $2.35 billion, consisting of $0.9 billion in cash and ESCO equity valued at approximately $1.4 billion. The cash portion will be funded through existing cash on hand and incremental debt, with committed financing in place. The Company expects to complete the acquisition in the first quarter of fiscal 2027. Megger will become part of the Company’s USG segment. See further discussion of the transaction and financing arrangements in the Company’s Form 8-K’s filed April 15, 2026 and April 16, 2026.</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Divestiture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second quarter of 2026, the Company received a $1.5 million, net, working capital settlement related to the sale of VACCO. In addition, during the second quarter of 2026, the Company paid approximately $59 million in cash taxes related to the gain on sale of VACCO.</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Dividends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 dividend of $0.08 per share, totaling $2.1 million, was paid on October 16, 2025 to stockholders of record as of October 2, 2025. A dividend of $0.08 per share, totaling $2.1 million, was paid on January 16, 2026 to stockholders of record as of January 2, 2026. A dividend of $0.08 per share, totaling $2.1 million, was paid on April 17, 2026 to stockholders of record as of April 2, 2026. Subsequent to June 30, 2026, a quarterly dividend of $0.08 per share, totaling $2.1 million, was paid on July 17, 2026 to stockholders of record as of July 2, 2026.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CRITICAL ACCOUNTING POLICIES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Management has evaluated the accounting policies used in the preparation of the Company’s financial statements and related notes and believes those policies to be reasonable and appropriate. Certain of these accounting policies require the application of significant judgment by Management in selecting appropriate assumptions for calculating financial estimates. By their nature, these judgments are subject to an inherent degree of uncertainty. These judgments are based on historical experience, trends in the industry, information provided by customers and information available from other outside sources, as appropriate. The most significant areas involving Management judgments and estimates may be found in the Critical Accounting Policies section of Management’s Discussion and Analysis and in Note 1 to the condensed Consolidated Financial Statements contained in the Company’s Annual Report on Form 10-K for the fiscal year ended September 30,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OTHER MATTERS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Contingencies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a normal incident of the business in which the Company is engaged, various claims, charges and litigation are asserted or commenced against the Company. Additionally, the Company is currently involved in various stages of investigation and remediation relating to environmental matters. In the opinion of Management, the aggregate costs involved in the resolution of these matters, and final judgments, if any, which might be rendered against the Company, are adequately reserved, are covered by insurance, or would not have a material adverse effect on the Company’s results from operations, capital expenditures, or competitive position.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FORWARD LOOKING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Statements contained in this Form 10-Q regarding future events and the Company’s future results that reflect or are based on current expectations, estimates, forecasts, projections or assumptions about the Company’s performance and the industries in which the Company operates are considered “forward-looking statements” within the meaning of the safe harbor provisions of the Federal securities laws. These may include, but are not necessarily limited to, statements about: the strength of certain end markets served by the Company, and the timing of the recovery of certain end markets which the Company serves; the adequacy of the Company’s credit facility and the Company’s ability to increase it; the outcome of current litigation, claims and charges; the determination of the current portion of the Company’s long-term debt and the timing of its repayment; future revenues from remaining performance obligations; fair values of reporting units; the deductibility of goodwill; estimates and assumptions that affect the reported values of assets and liabilities; the future recognition of compensation cost related to share-based compensation arrangements; the Company’s ability to hedge against or otherwise manage market risks through the use of derivative financial instruments; the extent to which hedging gains or losses will be offset by losses or gains on related underlying exposures; and any other statements contained herein which are not strictly historical. Words such as expects, anticipates, targets, goals, projects, intends, plans, believes, estimates, variations of such words, and similar expressions are intended to identify such forward-looking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Investors are cautioned that such statements are only predictions and speak only as of the date of this Form 10-Q, and the Company undertakes no duty to update them except as may be required by applicable laws or regulations. The Company’s actual results in the future may differ materially from those projected in the forward-looking statements due to risks and uncertainties that exist in the Company’s operations and business environment, including but not limited to those described in Item 1A, “Risk Factors,” of the Company’s Annual Report on Form 10-K for the fiscal year ended September 30, 2025, and the following: the impacts of climate change and related regulation of greenhouse gases; the impacts of labor disputes, civil disorder, wars including the conflicts involving Iran and Lebanon, elections, political changes, tariffs and trade disputes, terrorist activities, cyberattacks or natural disasters on the Company’s operations and those of the Company’s customers and suppliers; disruptions in manufacturing or delivery arrangements due to shortages or unavailability of materials or components; restrictions or closures of critical supply routes such as the Strait of Hormuz; other supply chain disruptions; inability to access work sites; the timing and content of future contract awards or customer orders; the timely appropriation, allocation and availability of Government funds; the termination for convenience of Government and other customer contracts or orders; weakening of economic conditions in served markets; the success of the Company’s competitors; changes in customer demands or customer insolvencies; competition; intellectual property rights; technical difficulties or data breaches; the availability of selected acquisitions; delivery delays or defaults by customers; performance issues with key customers, suppliers and subcontractors; material changes in the costs and availability of certain raw materials; material changes in the cost of credit; changes in laws and regulations including but not limited to changes in accounting standards and taxation; changes in interest, inflation and employment rates; costs relating to environmental matters arising from current or former facilities; uncertainty regarding the ultimate resolution of current disputes, claims, litigation or arbitration; and the integration and performance of recently acquired businesses.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240"/>
        <w:ind w:left="0" w:right="0" w:hanging="0"/>
        <w:jc w:val="left"/>
        <w:rPr>
          <w:rFonts w:ascii="Times New Roman;Times;serif" w:hAnsi="Times New Roman;Times;serif"/>
          <w:sz w:val="20"/>
        </w:rPr>
      </w:pPr>
      <w:bookmarkStart w:id="1165" w:name="_7d299560_b4ca_4f07_b9fe_bb0f7b8c4561"/>
      <w:bookmarkEnd w:id="1165"/>
      <w:r>
        <w:rPr>
          <w:rFonts w:ascii="Times New Roman;Times;serif" w:hAnsi="Times New Roman;Times;serif"/>
          <w:sz w:val="20"/>
        </w:rPr>
        <w:t>ITEM 3. QUANTITATIVE AND QUALITATIVE DISCLOSURES ABOUT MARKET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Market risks relating to the Company’s operations result primarily from changes in interest rates and changes in foreign currency exchange rates. The Company is exposed to market risk related to changes in interest rates and selectively uses derivative financial instruments, including forward contracts and swaps, to manage these risks. The Company’s Canadian subsidiary Morgan Schaffer enters into foreign exchange contracts to manage foreign currency risk as a portion of their revenue is denominated in U.S. dollars. All derivative instruments are reported on the balance sheet at fair value. For derivative instruments designated as cash flow hedges, the gain or loss on the respective derivative is deferred in accumulated other comprehensive income until recognized in earnings with the underlying hedged item. There has been no material change to the Company’s market risks since September 30, 2025.</w:t>
      </w:r>
    </w:p>
    <w:p>
      <w:pPr>
        <w:pStyle w:val="TextBody"/>
        <w:bidi w:val="0"/>
        <w:spacing w:before="0" w:after="240"/>
        <w:ind w:left="0" w:right="0" w:hanging="0"/>
        <w:jc w:val="left"/>
        <w:rPr>
          <w:rFonts w:ascii="Times New Roman;Times;serif" w:hAnsi="Times New Roman;Times;serif"/>
          <w:sz w:val="20"/>
        </w:rPr>
      </w:pPr>
      <w:bookmarkStart w:id="1166" w:name="_208ebb40_301a_4c93_a0dc_b0734dfc725e"/>
      <w:bookmarkEnd w:id="1166"/>
      <w:r>
        <w:rPr>
          <w:rFonts w:ascii="Times New Roman;Times;serif" w:hAnsi="Times New Roman;Times;serif"/>
          <w:sz w:val="20"/>
        </w:rPr>
        <w:t>ITEM 4. CONTROLS AND PROCEDURES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carried out an evaluation, under the supervision and with the participation of Management, including the Company’s Chief Executive Officer and Chief Financial Officer, of the effectiveness of the design and operation of the Company’s disclosure controls and procedures as of the end of the period covered by this report. Based upon that evaluation, the Company’s Chief Executive Officer and Chief Financial Officer concluded that the Company’s disclosure controls and procedures were effective as of that date. Disclosure controls and procedures are controls and procedures that are designed to ensure that information required to be disclosed in Company reports filed or submitted under the Securities Exchange Act of 1934 (the Exchange Act) is recorded, processed, summarized and reported within the time periods specified in the Securities and Exchange Commission’s rules and forms. There has been no change in the Company’s internal control over financial reporting (as defined in Rule 13a-15(f) under the Exchange Act) during the period covered by this report that has materially affected, or is reasonably likely to materially affect, the Company’s internal control over financial reporting.</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240"/>
        <w:ind w:left="0" w:right="0" w:hanging="0"/>
        <w:jc w:val="left"/>
        <w:rPr>
          <w:rFonts w:ascii="Times New Roman;Times;serif" w:hAnsi="Times New Roman;Times;serif"/>
          <w:sz w:val="20"/>
        </w:rPr>
      </w:pPr>
      <w:bookmarkStart w:id="1167" w:name="_bc419849_4d7b_466b_8a4a_af36f2076be4"/>
      <w:bookmarkEnd w:id="1167"/>
      <w:r>
        <w:rPr>
          <w:rFonts w:ascii="Times New Roman;Times;serif" w:hAnsi="Times New Roman;Times;serif"/>
          <w:sz w:val="20"/>
        </w:rPr>
        <w:t>PART II. OTHER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ITEM 2. UNREGISTERED SALES OF EQUITY SECURITIES AND USE OF PROCEEDS</w:t>
      </w:r>
    </w:p>
    <w:p>
      <w:pPr>
        <w:pStyle w:val="TextBody"/>
        <w:pBdr/>
        <w:bidi w:val="0"/>
        <w:spacing w:before="0" w:after="0"/>
        <w:ind w:left="0" w:right="0" w:hanging="360"/>
        <w:jc w:val="left"/>
        <w:rPr>
          <w:rFonts w:ascii="Times New Roman;Times;serif" w:hAnsi="Times New Roman;Times;serif"/>
          <w:sz w:val="20"/>
        </w:rPr>
      </w:pPr>
      <w:r>
        <w:rPr>
          <w:rFonts w:ascii="Times New Roman;Times;serif" w:hAnsi="Times New Roman;Times;serif"/>
          <w:sz w:val="20"/>
        </w:rPr>
        <w:t>The Company did not repurchase any shares during the third quarter of 2026.</w:t>
      </w:r>
    </w:p>
    <w:p>
      <w:pPr>
        <w:pStyle w:val="TextBody"/>
        <w:bidi w:val="0"/>
        <w:spacing w:before="0" w:after="0"/>
        <w:ind w:left="0" w:right="0" w:hanging="0"/>
        <w:jc w:val="left"/>
        <w:rPr/>
      </w:pPr>
      <w:r>
        <w:rPr/>
        <w:t>​</w:t>
      </w:r>
    </w:p>
    <w:p>
      <w:pPr>
        <w:pStyle w:val="TextBody"/>
        <w:pBdr/>
        <w:bidi w:val="0"/>
        <w:spacing w:before="0" w:after="240"/>
        <w:ind w:left="0" w:right="0" w:hanging="360"/>
        <w:jc w:val="left"/>
        <w:rPr>
          <w:rFonts w:ascii="Times New Roman;Times;serif" w:hAnsi="Times New Roman;Times;serif"/>
          <w:sz w:val="20"/>
        </w:rPr>
      </w:pPr>
      <w:bookmarkStart w:id="1168" w:name="_354f42e6_ec26_4194_9dd6_12c33aadcd60"/>
      <w:bookmarkEnd w:id="1168"/>
      <w:r>
        <w:rPr>
          <w:rFonts w:ascii="Times New Roman;Times;serif" w:hAnsi="Times New Roman;Times;serif"/>
          <w:sz w:val="20"/>
        </w:rPr>
        <w:t>ITEM 5. OTHER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third quarter of fiscal 2026, no director or officer (as defined in Securities and Exchange Commission Rule 16-a-1(f)) of the Company adopted or terminated:</w:t>
      </w:r>
    </w:p>
    <w:tbl>
      <w:tblPr>
        <w:tblW w:w="10205" w:type="dxa"/>
        <w:jc w:val="left"/>
        <w:tblInd w:w="0" w:type="dxa"/>
        <w:tblLayout w:type="fixed"/>
        <w:tblCellMar>
          <w:top w:w="28" w:type="dxa"/>
          <w:left w:w="28" w:type="dxa"/>
          <w:bottom w:w="28" w:type="dxa"/>
          <w:right w:w="28" w:type="dxa"/>
        </w:tblCellMar>
      </w:tblPr>
      <w:tblGrid>
        <w:gridCol w:w="124"/>
        <w:gridCol w:w="258"/>
        <w:gridCol w:w="9823"/>
      </w:tblGrid>
      <w:tr>
        <w:trPr/>
        <w:tc>
          <w:tcPr>
            <w:tcW w:w="124" w:type="dxa"/>
            <w:tcBorders/>
            <w:vAlign w:val="center"/>
          </w:tcPr>
          <w:p>
            <w:pPr>
              <w:pStyle w:val="TableContents"/>
              <w:bidi w:val="0"/>
              <w:spacing w:before="0" w:after="283"/>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23"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Any contract, instruction or written plan for the purchase or sale of Company securities intended to satisfy the affirmative defense conditions of SEC Rule</w:t>
            </w:r>
            <w:r>
              <w:rPr>
                <w:caps w:val="false"/>
                <w:smallCaps w:val="false"/>
              </w:rPr>
              <w:t xml:space="preserve"> </w:t>
            </w:r>
            <w:r>
              <w:rPr>
                <w:rFonts w:ascii="Times New Roman;Times;serif" w:hAnsi="Times New Roman;Times;serif"/>
                <w:b w:val="false"/>
                <w:i w:val="false"/>
                <w:caps w:val="false"/>
                <w:smallCaps w:val="false"/>
                <w:sz w:val="20"/>
              </w:rPr>
              <w:t>10b5-1(c) (a “Rule 10b5-1 trading arrangement”); or</w:t>
            </w:r>
          </w:p>
        </w:tc>
      </w:tr>
    </w:tbl>
    <w:tbl>
      <w:tblPr>
        <w:tblW w:w="8361" w:type="dxa"/>
        <w:jc w:val="left"/>
        <w:tblInd w:w="0" w:type="dxa"/>
        <w:tblLayout w:type="fixed"/>
        <w:tblCellMar>
          <w:top w:w="28" w:type="dxa"/>
          <w:left w:w="28" w:type="dxa"/>
          <w:bottom w:w="28" w:type="dxa"/>
          <w:right w:w="28" w:type="dxa"/>
        </w:tblCellMar>
      </w:tblPr>
      <w:tblGrid>
        <w:gridCol w:w="124"/>
        <w:gridCol w:w="346"/>
        <w:gridCol w:w="7891"/>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789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Any “non-Rule</w:t>
            </w:r>
            <w:r>
              <w:rPr>
                <w:caps w:val="false"/>
                <w:smallCaps w:val="false"/>
              </w:rPr>
              <w:t xml:space="preserve"> </w:t>
            </w:r>
            <w:r>
              <w:rPr>
                <w:rFonts w:ascii="Times New Roman;Times;serif" w:hAnsi="Times New Roman;Times;serif"/>
                <w:b w:val="false"/>
                <w:i w:val="false"/>
                <w:caps w:val="false"/>
                <w:smallCaps w:val="false"/>
                <w:sz w:val="20"/>
              </w:rPr>
              <w:t>10-b5-1 trading arrangement” as defined in Item 408(c) of SEC Regulation S-K.</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0"/>
        <w:ind w:left="0" w:right="0" w:hanging="0"/>
        <w:jc w:val="left"/>
        <w:rPr>
          <w:rFonts w:ascii="Times New Roman;Times;serif" w:hAnsi="Times New Roman;Times;serif"/>
          <w:sz w:val="20"/>
        </w:rPr>
      </w:pPr>
      <w:bookmarkStart w:id="1169" w:name="_7695f9e1_17e4_464e_bb2c_d86b59a6aae2"/>
      <w:bookmarkEnd w:id="1169"/>
      <w:r>
        <w:rPr>
          <w:rFonts w:ascii="Times New Roman;Times;serif" w:hAnsi="Times New Roman;Times;serif"/>
          <w:sz w:val="20"/>
        </w:rPr>
        <w:t>ITEM 6. EXHIBITS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28" w:type="dxa"/>
          <w:right w:w="0" w:type="dxa"/>
        </w:tblCellMar>
      </w:tblPr>
      <w:tblGrid>
        <w:gridCol w:w="1276"/>
        <w:gridCol w:w="286"/>
        <w:gridCol w:w="6317"/>
        <w:gridCol w:w="346"/>
        <w:gridCol w:w="1980"/>
      </w:tblGrid>
      <w:tr>
        <w:trPr/>
        <w:tc>
          <w:tcPr>
            <w:tcW w:w="127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 Number</w:t>
            </w:r>
          </w:p>
        </w:tc>
        <w:tc>
          <w:tcPr>
            <w:tcW w:w="286" w:type="dxa"/>
            <w:tcBorders>
              <w:bottom w:val="single" w:sz="2" w:space="0" w:color="000000"/>
            </w:tcBorders>
            <w:vAlign w:val="center"/>
          </w:tcPr>
          <w:p>
            <w:pPr>
              <w:pStyle w:val="TableContents"/>
              <w:bidi w:val="0"/>
              <w:spacing w:before="0" w:after="0"/>
              <w:ind w:left="0" w:right="0" w:hanging="0"/>
              <w:jc w:val="left"/>
              <w:rPr/>
            </w:pPr>
            <w:r>
              <w:rPr/>
              <w:t>  ​ ​</w:t>
            </w:r>
          </w:p>
        </w:tc>
        <w:tc>
          <w:tcPr>
            <w:tcW w:w="6317"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198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Document Location</w:t>
            </w:r>
          </w:p>
        </w:tc>
      </w:tr>
      <w:tr>
        <w:trPr/>
        <w:tc>
          <w:tcPr>
            <w:tcW w:w="127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317"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980"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r>
      <w:tr>
        <w:trPr/>
        <w:tc>
          <w:tcPr>
            <w:tcW w:w="12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3.1(a)</w:t>
            </w:r>
          </w:p>
        </w:tc>
        <w:tc>
          <w:tcPr>
            <w:tcW w:w="286" w:type="dxa"/>
            <w:tcBorders/>
            <w:tcMar>
              <w:bottom w:w="0" w:type="dxa"/>
            </w:tcMar>
            <w:vAlign w:val="center"/>
          </w:tcPr>
          <w:p>
            <w:pPr>
              <w:pStyle w:val="TableContents"/>
              <w:bidi w:val="0"/>
              <w:spacing w:before="0" w:after="0"/>
              <w:ind w:left="0" w:right="0" w:hanging="0"/>
              <w:jc w:val="left"/>
              <w:rPr/>
            </w:pPr>
            <w:r>
              <w:rPr/>
              <w:t> </w:t>
            </w:r>
          </w:p>
        </w:tc>
        <w:tc>
          <w:tcPr>
            <w:tcW w:w="6317" w:type="dxa"/>
            <w:tcBorders/>
            <w:tcMar>
              <w:bottom w:w="0" w:type="dxa"/>
            </w:tcM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Restated Articles of Incorporation</w:t>
              </w:r>
            </w:hyperlink>
          </w:p>
        </w:tc>
        <w:tc>
          <w:tcPr>
            <w:tcW w:w="346" w:type="dxa"/>
            <w:tcBorders/>
            <w:tcMar>
              <w:bottom w:w="0" w:type="dxa"/>
            </w:tcMar>
            <w:vAlign w:val="center"/>
          </w:tcPr>
          <w:p>
            <w:pPr>
              <w:pStyle w:val="TableContents"/>
              <w:bidi w:val="0"/>
              <w:spacing w:before="0" w:after="0"/>
              <w:ind w:left="0" w:right="0" w:hanging="0"/>
              <w:jc w:val="left"/>
              <w:rPr/>
            </w:pPr>
            <w:r>
              <w:rPr/>
              <w:t> </w:t>
            </w:r>
          </w:p>
        </w:tc>
        <w:tc>
          <w:tcPr>
            <w:tcW w:w="19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3(a) to the Company’s Form 10-K for the fiscal year ended September 30, 1999</w:t>
            </w:r>
          </w:p>
        </w:tc>
      </w:tr>
      <w:tr>
        <w:trPr/>
        <w:tc>
          <w:tcPr>
            <w:tcW w:w="1276" w:type="dxa"/>
            <w:tcBorders/>
            <w:tcMar>
              <w:bottom w:w="0" w:type="dxa"/>
            </w:tcMar>
            <w:vAlign w:val="center"/>
          </w:tcPr>
          <w:p>
            <w:pPr>
              <w:pStyle w:val="TableContents"/>
              <w:bidi w:val="0"/>
              <w:spacing w:before="0" w:after="0"/>
              <w:ind w:left="0" w:right="0" w:hanging="0"/>
              <w:jc w:val="left"/>
              <w:rPr/>
            </w:pPr>
            <w:r>
              <w:rPr/>
              <w:t> </w:t>
            </w:r>
          </w:p>
        </w:tc>
        <w:tc>
          <w:tcPr>
            <w:tcW w:w="286" w:type="dxa"/>
            <w:tcBorders/>
            <w:tcMar>
              <w:bottom w:w="0" w:type="dxa"/>
            </w:tcMar>
            <w:vAlign w:val="center"/>
          </w:tcPr>
          <w:p>
            <w:pPr>
              <w:pStyle w:val="TableContents"/>
              <w:bidi w:val="0"/>
              <w:spacing w:before="0" w:after="0"/>
              <w:ind w:left="0" w:right="0" w:hanging="0"/>
              <w:jc w:val="left"/>
              <w:rPr/>
            </w:pPr>
            <w:r>
              <w:rPr/>
              <w:t> </w:t>
            </w:r>
          </w:p>
        </w:tc>
        <w:tc>
          <w:tcPr>
            <w:tcW w:w="6317" w:type="dxa"/>
            <w:tcBorders/>
            <w:tcMar>
              <w:bottom w:w="0" w:type="dxa"/>
            </w:tcMar>
            <w:vAlign w:val="center"/>
          </w:tcPr>
          <w:p>
            <w:pPr>
              <w:pStyle w:val="TableContents"/>
              <w:bidi w:val="0"/>
              <w:spacing w:before="0" w:after="0"/>
              <w:ind w:left="0" w:right="0" w:hanging="0"/>
              <w:jc w:val="left"/>
              <w:rPr/>
            </w:pPr>
            <w:r>
              <w:rPr/>
              <w:t> </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1980" w:type="dxa"/>
            <w:tcBorders/>
            <w:tcMar>
              <w:bottom w:w="0" w:type="dxa"/>
            </w:tcMar>
            <w:vAlign w:val="center"/>
          </w:tcPr>
          <w:p>
            <w:pPr>
              <w:pStyle w:val="TableContents"/>
              <w:bidi w:val="0"/>
              <w:spacing w:before="0" w:after="0"/>
              <w:ind w:left="0" w:right="0" w:hanging="0"/>
              <w:jc w:val="left"/>
              <w:rPr/>
            </w:pPr>
            <w:r>
              <w:rPr/>
              <w:t> </w:t>
            </w:r>
          </w:p>
        </w:tc>
      </w:tr>
      <w:tr>
        <w:trPr/>
        <w:tc>
          <w:tcPr>
            <w:tcW w:w="12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3.1(b)</w:t>
            </w:r>
          </w:p>
        </w:tc>
        <w:tc>
          <w:tcPr>
            <w:tcW w:w="286" w:type="dxa"/>
            <w:tcBorders/>
            <w:tcMar>
              <w:bottom w:w="0" w:type="dxa"/>
            </w:tcMar>
            <w:vAlign w:val="center"/>
          </w:tcPr>
          <w:p>
            <w:pPr>
              <w:pStyle w:val="TableContents"/>
              <w:bidi w:val="0"/>
              <w:spacing w:before="0" w:after="0"/>
              <w:ind w:left="0" w:right="0" w:hanging="0"/>
              <w:jc w:val="left"/>
              <w:rPr/>
            </w:pPr>
            <w:r>
              <w:rPr/>
              <w:t> </w:t>
            </w:r>
          </w:p>
        </w:tc>
        <w:tc>
          <w:tcPr>
            <w:tcW w:w="6317"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Amended Certificate of Designation, Preferences and Rights of Series A Participating Cumulative Preferred Stock of the Registrant</w:t>
              </w:r>
            </w:hyperlink>
          </w:p>
        </w:tc>
        <w:tc>
          <w:tcPr>
            <w:tcW w:w="346" w:type="dxa"/>
            <w:tcBorders/>
            <w:tcMar>
              <w:bottom w:w="0" w:type="dxa"/>
            </w:tcMar>
            <w:vAlign w:val="center"/>
          </w:tcPr>
          <w:p>
            <w:pPr>
              <w:pStyle w:val="TableContents"/>
              <w:bidi w:val="0"/>
              <w:spacing w:before="0" w:after="0"/>
              <w:ind w:left="0" w:right="0" w:hanging="0"/>
              <w:jc w:val="left"/>
              <w:rPr/>
            </w:pPr>
            <w:r>
              <w:rPr/>
              <w:t> </w:t>
            </w:r>
          </w:p>
        </w:tc>
        <w:tc>
          <w:tcPr>
            <w:tcW w:w="19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4(e) to the Company’s Form 10-Q for the fiscal quarter ended March 31, 2000</w:t>
            </w:r>
          </w:p>
        </w:tc>
      </w:tr>
      <w:tr>
        <w:trPr/>
        <w:tc>
          <w:tcPr>
            <w:tcW w:w="1276" w:type="dxa"/>
            <w:tcBorders/>
            <w:tcMar>
              <w:bottom w:w="0" w:type="dxa"/>
            </w:tcMar>
            <w:vAlign w:val="center"/>
          </w:tcPr>
          <w:p>
            <w:pPr>
              <w:pStyle w:val="TableContents"/>
              <w:bidi w:val="0"/>
              <w:spacing w:before="0" w:after="0"/>
              <w:ind w:left="0" w:right="0" w:hanging="0"/>
              <w:jc w:val="left"/>
              <w:rPr/>
            </w:pPr>
            <w:r>
              <w:rPr/>
              <w:t> </w:t>
            </w:r>
          </w:p>
        </w:tc>
        <w:tc>
          <w:tcPr>
            <w:tcW w:w="286" w:type="dxa"/>
            <w:tcBorders/>
            <w:tcMar>
              <w:bottom w:w="0" w:type="dxa"/>
            </w:tcMar>
            <w:vAlign w:val="center"/>
          </w:tcPr>
          <w:p>
            <w:pPr>
              <w:pStyle w:val="TableContents"/>
              <w:bidi w:val="0"/>
              <w:spacing w:before="0" w:after="0"/>
              <w:ind w:left="0" w:right="0" w:hanging="0"/>
              <w:jc w:val="left"/>
              <w:rPr/>
            </w:pPr>
            <w:r>
              <w:rPr/>
              <w:t> </w:t>
            </w:r>
          </w:p>
        </w:tc>
        <w:tc>
          <w:tcPr>
            <w:tcW w:w="6317" w:type="dxa"/>
            <w:tcBorders/>
            <w:tcMar>
              <w:bottom w:w="0" w:type="dxa"/>
            </w:tcMar>
            <w:vAlign w:val="center"/>
          </w:tcPr>
          <w:p>
            <w:pPr>
              <w:pStyle w:val="TableContents"/>
              <w:bidi w:val="0"/>
              <w:spacing w:before="0" w:after="0"/>
              <w:ind w:left="0" w:right="0" w:hanging="0"/>
              <w:jc w:val="left"/>
              <w:rPr/>
            </w:pPr>
            <w:r>
              <w:rPr/>
              <w:t> </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1980" w:type="dxa"/>
            <w:tcBorders/>
            <w:tcMar>
              <w:bottom w:w="0" w:type="dxa"/>
            </w:tcMar>
            <w:vAlign w:val="center"/>
          </w:tcPr>
          <w:p>
            <w:pPr>
              <w:pStyle w:val="TableContents"/>
              <w:bidi w:val="0"/>
              <w:spacing w:before="0" w:after="0"/>
              <w:ind w:left="0" w:right="0" w:hanging="0"/>
              <w:jc w:val="left"/>
              <w:rPr/>
            </w:pPr>
            <w:r>
              <w:rPr/>
              <w:t> </w:t>
            </w:r>
          </w:p>
        </w:tc>
      </w:tr>
      <w:tr>
        <w:trPr/>
        <w:tc>
          <w:tcPr>
            <w:tcW w:w="12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3.1(c)</w:t>
            </w:r>
          </w:p>
        </w:tc>
        <w:tc>
          <w:tcPr>
            <w:tcW w:w="286" w:type="dxa"/>
            <w:tcBorders/>
            <w:tcMar>
              <w:bottom w:w="0" w:type="dxa"/>
            </w:tcMar>
            <w:vAlign w:val="center"/>
          </w:tcPr>
          <w:p>
            <w:pPr>
              <w:pStyle w:val="TableContents"/>
              <w:bidi w:val="0"/>
              <w:spacing w:before="0" w:after="0"/>
              <w:ind w:left="0" w:right="0" w:hanging="0"/>
              <w:jc w:val="left"/>
              <w:rPr/>
            </w:pPr>
            <w:r>
              <w:rPr/>
              <w:t> </w:t>
            </w:r>
          </w:p>
        </w:tc>
        <w:tc>
          <w:tcPr>
            <w:tcW w:w="6317" w:type="dxa"/>
            <w:tcBorders/>
            <w:tcMar>
              <w:bottom w:w="0" w:type="dxa"/>
            </w:tcMar>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Articles of Merger effective July 10, 2000</w:t>
              </w:r>
            </w:hyperlink>
          </w:p>
        </w:tc>
        <w:tc>
          <w:tcPr>
            <w:tcW w:w="346" w:type="dxa"/>
            <w:tcBorders/>
            <w:tcMar>
              <w:bottom w:w="0" w:type="dxa"/>
            </w:tcMar>
            <w:vAlign w:val="center"/>
          </w:tcPr>
          <w:p>
            <w:pPr>
              <w:pStyle w:val="TableContents"/>
              <w:bidi w:val="0"/>
              <w:spacing w:before="0" w:after="0"/>
              <w:ind w:left="0" w:right="0" w:hanging="0"/>
              <w:jc w:val="left"/>
              <w:rPr/>
            </w:pPr>
            <w:r>
              <w:rPr/>
              <w:t> </w:t>
            </w:r>
          </w:p>
        </w:tc>
        <w:tc>
          <w:tcPr>
            <w:tcW w:w="19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3(c) to the Company’s Form 10-Q for the fiscal quarter ended June 30, 2000</w:t>
            </w:r>
          </w:p>
        </w:tc>
      </w:tr>
      <w:tr>
        <w:trPr/>
        <w:tc>
          <w:tcPr>
            <w:tcW w:w="1276" w:type="dxa"/>
            <w:tcBorders/>
            <w:tcMar>
              <w:bottom w:w="0" w:type="dxa"/>
            </w:tcMar>
            <w:vAlign w:val="center"/>
          </w:tcPr>
          <w:p>
            <w:pPr>
              <w:pStyle w:val="TableContents"/>
              <w:bidi w:val="0"/>
              <w:spacing w:before="0" w:after="0"/>
              <w:ind w:left="0" w:right="0" w:hanging="0"/>
              <w:jc w:val="left"/>
              <w:rPr/>
            </w:pPr>
            <w:r>
              <w:rPr/>
              <w:t> </w:t>
            </w:r>
          </w:p>
        </w:tc>
        <w:tc>
          <w:tcPr>
            <w:tcW w:w="286" w:type="dxa"/>
            <w:tcBorders/>
            <w:tcMar>
              <w:bottom w:w="0" w:type="dxa"/>
            </w:tcMar>
            <w:vAlign w:val="center"/>
          </w:tcPr>
          <w:p>
            <w:pPr>
              <w:pStyle w:val="TableContents"/>
              <w:bidi w:val="0"/>
              <w:spacing w:before="0" w:after="0"/>
              <w:ind w:left="0" w:right="0" w:hanging="0"/>
              <w:jc w:val="left"/>
              <w:rPr/>
            </w:pPr>
            <w:r>
              <w:rPr/>
              <w:t> </w:t>
            </w:r>
          </w:p>
        </w:tc>
        <w:tc>
          <w:tcPr>
            <w:tcW w:w="6317" w:type="dxa"/>
            <w:tcBorders/>
            <w:tcMar>
              <w:bottom w:w="0" w:type="dxa"/>
            </w:tcMar>
            <w:vAlign w:val="center"/>
          </w:tcPr>
          <w:p>
            <w:pPr>
              <w:pStyle w:val="TableContents"/>
              <w:bidi w:val="0"/>
              <w:spacing w:before="0" w:after="0"/>
              <w:ind w:left="0" w:right="0" w:hanging="0"/>
              <w:jc w:val="left"/>
              <w:rPr/>
            </w:pPr>
            <w:r>
              <w:rPr/>
              <w:t> </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1980" w:type="dxa"/>
            <w:tcBorders/>
            <w:tcMar>
              <w:bottom w:w="0" w:type="dxa"/>
            </w:tcMar>
            <w:vAlign w:val="center"/>
          </w:tcPr>
          <w:p>
            <w:pPr>
              <w:pStyle w:val="TableContents"/>
              <w:bidi w:val="0"/>
              <w:spacing w:before="0" w:after="0"/>
              <w:ind w:left="0" w:right="0" w:hanging="0"/>
              <w:jc w:val="left"/>
              <w:rPr/>
            </w:pPr>
            <w:r>
              <w:rPr/>
              <w:t> </w:t>
            </w:r>
          </w:p>
        </w:tc>
      </w:tr>
      <w:tr>
        <w:trPr/>
        <w:tc>
          <w:tcPr>
            <w:tcW w:w="12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3.1(d)</w:t>
            </w:r>
          </w:p>
        </w:tc>
        <w:tc>
          <w:tcPr>
            <w:tcW w:w="286" w:type="dxa"/>
            <w:tcBorders/>
            <w:tcMar>
              <w:bottom w:w="0" w:type="dxa"/>
            </w:tcMar>
            <w:vAlign w:val="center"/>
          </w:tcPr>
          <w:p>
            <w:pPr>
              <w:pStyle w:val="TableContents"/>
              <w:bidi w:val="0"/>
              <w:spacing w:before="0" w:after="0"/>
              <w:ind w:left="0" w:right="0" w:hanging="0"/>
              <w:jc w:val="left"/>
              <w:rPr/>
            </w:pPr>
            <w:r>
              <w:rPr/>
              <w:t> </w:t>
            </w:r>
          </w:p>
        </w:tc>
        <w:tc>
          <w:tcPr>
            <w:tcW w:w="6317" w:type="dxa"/>
            <w:tcBorders/>
            <w:tcMar>
              <w:bottom w:w="0" w:type="dxa"/>
            </w:tcMar>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Amendment of Articles of Incorporation effective February 5, 2018</w:t>
              </w:r>
            </w:hyperlink>
          </w:p>
        </w:tc>
        <w:tc>
          <w:tcPr>
            <w:tcW w:w="346" w:type="dxa"/>
            <w:tcBorders/>
            <w:tcMar>
              <w:bottom w:w="0" w:type="dxa"/>
            </w:tcMar>
            <w:vAlign w:val="center"/>
          </w:tcPr>
          <w:p>
            <w:pPr>
              <w:pStyle w:val="TableContents"/>
              <w:bidi w:val="0"/>
              <w:spacing w:before="0" w:after="0"/>
              <w:ind w:left="0" w:right="0" w:hanging="0"/>
              <w:jc w:val="left"/>
              <w:rPr/>
            </w:pPr>
            <w:r>
              <w:rPr/>
              <w:t> </w:t>
            </w:r>
          </w:p>
        </w:tc>
        <w:tc>
          <w:tcPr>
            <w:tcW w:w="19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3.1 to the Company’s Form 8-K filed February 7, 2018</w:t>
            </w:r>
          </w:p>
        </w:tc>
      </w:tr>
      <w:tr>
        <w:trPr/>
        <w:tc>
          <w:tcPr>
            <w:tcW w:w="1276"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317"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980" w:type="dxa"/>
            <w:tcBorders/>
            <w:tcMar>
              <w:bottom w:w="0" w:type="dxa"/>
            </w:tcMar>
            <w:vAlign w:val="center"/>
          </w:tcPr>
          <w:p>
            <w:pPr>
              <w:pStyle w:val="TableContents"/>
              <w:bidi w:val="0"/>
              <w:spacing w:before="0" w:after="0"/>
              <w:ind w:left="0" w:right="0" w:hanging="0"/>
              <w:jc w:val="left"/>
              <w:rPr/>
            </w:pPr>
            <w:r>
              <w:rPr/>
              <w:t>​</w:t>
            </w:r>
          </w:p>
        </w:tc>
      </w:tr>
      <w:tr>
        <w:trPr/>
        <w:tc>
          <w:tcPr>
            <w:tcW w:w="12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317" w:type="dxa"/>
            <w:tcBorders/>
            <w:tcMar>
              <w:bottom w:w="0" w:type="dxa"/>
            </w:tcMar>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Bylaws</w:t>
              </w:r>
            </w:hyperlink>
          </w:p>
        </w:tc>
        <w:tc>
          <w:tcPr>
            <w:tcW w:w="346" w:type="dxa"/>
            <w:tcBorders/>
            <w:tcMar>
              <w:bottom w:w="0" w:type="dxa"/>
            </w:tcMar>
            <w:vAlign w:val="center"/>
          </w:tcPr>
          <w:p>
            <w:pPr>
              <w:pStyle w:val="TableContents"/>
              <w:bidi w:val="0"/>
              <w:spacing w:before="0" w:after="0"/>
              <w:ind w:left="0" w:right="0" w:hanging="0"/>
              <w:jc w:val="left"/>
              <w:rPr/>
            </w:pPr>
            <w:r>
              <w:rPr/>
              <w:t>​</w:t>
            </w:r>
          </w:p>
        </w:tc>
        <w:tc>
          <w:tcPr>
            <w:tcW w:w="19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3.1 to the Company’s Form 8-K filed November 22, 2022</w:t>
            </w:r>
          </w:p>
        </w:tc>
      </w:tr>
      <w:tr>
        <w:trPr/>
        <w:tc>
          <w:tcPr>
            <w:tcW w:w="1276"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317"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980" w:type="dxa"/>
            <w:tcBorders/>
            <w:tcMar>
              <w:bottom w:w="0" w:type="dxa"/>
            </w:tcMar>
            <w:vAlign w:val="center"/>
          </w:tcPr>
          <w:p>
            <w:pPr>
              <w:pStyle w:val="TableContents"/>
              <w:bidi w:val="0"/>
              <w:spacing w:before="0" w:after="0"/>
              <w:ind w:left="0" w:right="0" w:hanging="0"/>
              <w:jc w:val="left"/>
              <w:rPr/>
            </w:pPr>
            <w:r>
              <w:rPr/>
              <w:t>​</w:t>
            </w:r>
          </w:p>
        </w:tc>
      </w:tr>
      <w:tr>
        <w:trPr/>
        <w:tc>
          <w:tcPr>
            <w:tcW w:w="12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4.1(a)</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317" w:type="dxa"/>
            <w:tcBorders/>
            <w:tcMar>
              <w:bottom w:w="0" w:type="dxa"/>
            </w:tcMar>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Amended and Restated Credit Agreement dated August 30, 2023</w:t>
              </w:r>
            </w:hyperlink>
          </w:p>
        </w:tc>
        <w:tc>
          <w:tcPr>
            <w:tcW w:w="346" w:type="dxa"/>
            <w:tcBorders/>
            <w:tcMar>
              <w:bottom w:w="0" w:type="dxa"/>
            </w:tcMar>
            <w:vAlign w:val="center"/>
          </w:tcPr>
          <w:p>
            <w:pPr>
              <w:pStyle w:val="TableContents"/>
              <w:bidi w:val="0"/>
              <w:spacing w:before="0" w:after="0"/>
              <w:ind w:left="0" w:right="0" w:hanging="0"/>
              <w:jc w:val="left"/>
              <w:rPr/>
            </w:pPr>
            <w:r>
              <w:rPr/>
              <w:t>​</w:t>
            </w:r>
          </w:p>
        </w:tc>
        <w:tc>
          <w:tcPr>
            <w:tcW w:w="19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 to the Company’s Form 8-K filed September 6, 2023</w:t>
            </w:r>
          </w:p>
        </w:tc>
      </w:tr>
      <w:tr>
        <w:trPr/>
        <w:tc>
          <w:tcPr>
            <w:tcW w:w="1276"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317"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980" w:type="dxa"/>
            <w:tcBorders/>
            <w:tcMar>
              <w:bottom w:w="0" w:type="dxa"/>
            </w:tcMar>
            <w:vAlign w:val="center"/>
          </w:tcPr>
          <w:p>
            <w:pPr>
              <w:pStyle w:val="TableContents"/>
              <w:bidi w:val="0"/>
              <w:spacing w:before="0" w:after="0"/>
              <w:ind w:left="0" w:right="0" w:hanging="0"/>
              <w:jc w:val="left"/>
              <w:rPr/>
            </w:pPr>
            <w:r>
              <w:rPr/>
              <w:t>​</w:t>
            </w:r>
          </w:p>
        </w:tc>
      </w:tr>
      <w:tr>
        <w:trPr/>
        <w:tc>
          <w:tcPr>
            <w:tcW w:w="12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4.1(b)</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317" w:type="dxa"/>
            <w:tcBorders/>
            <w:tcMar>
              <w:bottom w:w="0" w:type="dxa"/>
            </w:tcMar>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Amendment No. 1 dated as of August 5, 2024 to the Amended and Restated Credit Agreement dated August 30, 2023</w:t>
              </w:r>
            </w:hyperlink>
          </w:p>
        </w:tc>
        <w:tc>
          <w:tcPr>
            <w:tcW w:w="346" w:type="dxa"/>
            <w:tcBorders/>
            <w:tcMar>
              <w:bottom w:w="0" w:type="dxa"/>
            </w:tcMar>
            <w:vAlign w:val="center"/>
          </w:tcPr>
          <w:p>
            <w:pPr>
              <w:pStyle w:val="TableContents"/>
              <w:bidi w:val="0"/>
              <w:spacing w:before="0" w:after="0"/>
              <w:ind w:left="0" w:right="0" w:hanging="0"/>
              <w:jc w:val="left"/>
              <w:rPr/>
            </w:pPr>
            <w:r>
              <w:rPr/>
              <w:t>​</w:t>
            </w:r>
          </w:p>
        </w:tc>
        <w:tc>
          <w:tcPr>
            <w:tcW w:w="19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10.1(c) to the Company’s Form 10-K for the fiscal year ended September 30, 2024</w:t>
            </w:r>
          </w:p>
        </w:tc>
      </w:tr>
      <w:tr>
        <w:trPr/>
        <w:tc>
          <w:tcPr>
            <w:tcW w:w="1276"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317"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980" w:type="dxa"/>
            <w:tcBorders/>
            <w:tcMar>
              <w:bottom w:w="0" w:type="dxa"/>
            </w:tcMar>
            <w:vAlign w:val="center"/>
          </w:tcPr>
          <w:p>
            <w:pPr>
              <w:pStyle w:val="TableContents"/>
              <w:bidi w:val="0"/>
              <w:spacing w:before="0" w:after="0"/>
              <w:ind w:left="0" w:right="0" w:hanging="0"/>
              <w:jc w:val="left"/>
              <w:rPr/>
            </w:pPr>
            <w:r>
              <w:rPr/>
              <w:t>​</w:t>
            </w:r>
          </w:p>
        </w:tc>
      </w:tr>
      <w:tr>
        <w:trPr/>
        <w:tc>
          <w:tcPr>
            <w:tcW w:w="12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4.2(c)</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317" w:type="dxa"/>
            <w:tcBorders/>
            <w:tcMar>
              <w:bottom w:w="0" w:type="dxa"/>
            </w:tcMar>
            <w:vAlign w:val="center"/>
          </w:tcPr>
          <w:p>
            <w:pPr>
              <w:pStyle w:val="TableContents"/>
              <w:bidi w:val="0"/>
              <w:spacing w:before="0" w:after="0"/>
              <w:ind w:left="0" w:right="0" w:hanging="0"/>
              <w:jc w:val="left"/>
              <w:rPr/>
            </w:pPr>
            <w:hyperlink r:id="rId9">
              <w:r>
                <w:rPr>
                  <w:rStyle w:val="InternetLink"/>
                  <w:rFonts w:ascii="Times New Roman;Times;serif" w:hAnsi="Times New Roman;Times;serif"/>
                  <w:b w:val="false"/>
                  <w:i w:val="false"/>
                  <w:caps w:val="false"/>
                  <w:smallCaps w:val="false"/>
                  <w:sz w:val="20"/>
                </w:rPr>
                <w:t>Agreement dated April 15, 2026 between TBG AG as Seller and ESCO Technologies Inc. as Buyer, incorporated by reference to Exhibit 10.1 hereto</w:t>
              </w:r>
            </w:hyperlink>
          </w:p>
        </w:tc>
        <w:tc>
          <w:tcPr>
            <w:tcW w:w="346" w:type="dxa"/>
            <w:tcBorders/>
            <w:tcMar>
              <w:bottom w:w="0" w:type="dxa"/>
            </w:tcMar>
            <w:vAlign w:val="center"/>
          </w:tcPr>
          <w:p>
            <w:pPr>
              <w:pStyle w:val="TableContents"/>
              <w:bidi w:val="0"/>
              <w:spacing w:before="0" w:after="0"/>
              <w:ind w:left="0" w:right="0" w:hanging="0"/>
              <w:jc w:val="left"/>
              <w:rPr/>
            </w:pPr>
            <w:r>
              <w:rPr/>
              <w:t>​</w:t>
            </w:r>
          </w:p>
        </w:tc>
        <w:tc>
          <w:tcPr>
            <w:tcW w:w="19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 hereto</w:t>
            </w:r>
          </w:p>
        </w:tc>
      </w:tr>
      <w:tr>
        <w:trPr/>
        <w:tc>
          <w:tcPr>
            <w:tcW w:w="1276"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317"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980" w:type="dxa"/>
            <w:tcBorders/>
            <w:tcMar>
              <w:bottom w:w="0" w:type="dxa"/>
            </w:tcMar>
            <w:vAlign w:val="center"/>
          </w:tcPr>
          <w:p>
            <w:pPr>
              <w:pStyle w:val="TableContents"/>
              <w:bidi w:val="0"/>
              <w:spacing w:before="0" w:after="0"/>
              <w:ind w:left="0" w:right="0" w:hanging="0"/>
              <w:jc w:val="left"/>
              <w:rPr/>
            </w:pPr>
            <w:r>
              <w:rPr/>
              <w:t>​</w:t>
            </w:r>
          </w:p>
        </w:tc>
      </w:tr>
      <w:tr>
        <w:trPr/>
        <w:tc>
          <w:tcPr>
            <w:tcW w:w="12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4.2(d)</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317" w:type="dxa"/>
            <w:tcBorders/>
            <w:tcMar>
              <w:bottom w:w="0" w:type="dxa"/>
            </w:tcMar>
            <w:vAlign w:val="center"/>
          </w:tcPr>
          <w:p>
            <w:pPr>
              <w:pStyle w:val="TableContents"/>
              <w:bidi w:val="0"/>
              <w:spacing w:before="0" w:after="0"/>
              <w:ind w:left="0" w:right="0" w:hanging="0"/>
              <w:jc w:val="left"/>
              <w:rPr/>
            </w:pPr>
            <w:hyperlink r:id="rId10">
              <w:r>
                <w:rPr>
                  <w:rStyle w:val="InternetLink"/>
                  <w:rFonts w:ascii="Times New Roman;Times;serif" w:hAnsi="Times New Roman;Times;serif"/>
                  <w:b w:val="false"/>
                  <w:i w:val="false"/>
                  <w:caps w:val="false"/>
                  <w:smallCaps w:val="false"/>
                  <w:sz w:val="20"/>
                </w:rPr>
                <w:t>Shareholder Agreement between ESCO Technologies Inc. and TBG AG, incorporated by reference to Exhibit 10.2 hereto</w:t>
              </w:r>
            </w:hyperlink>
          </w:p>
        </w:tc>
        <w:tc>
          <w:tcPr>
            <w:tcW w:w="346" w:type="dxa"/>
            <w:tcBorders/>
            <w:tcMar>
              <w:bottom w:w="0" w:type="dxa"/>
            </w:tcMar>
            <w:vAlign w:val="center"/>
          </w:tcPr>
          <w:p>
            <w:pPr>
              <w:pStyle w:val="TableContents"/>
              <w:bidi w:val="0"/>
              <w:spacing w:before="0" w:after="0"/>
              <w:ind w:left="0" w:right="0" w:hanging="0"/>
              <w:jc w:val="left"/>
              <w:rPr/>
            </w:pPr>
            <w:r>
              <w:rPr/>
              <w:t>​</w:t>
            </w:r>
          </w:p>
        </w:tc>
        <w:tc>
          <w:tcPr>
            <w:tcW w:w="19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10.2 hereto</w:t>
            </w:r>
          </w:p>
        </w:tc>
      </w:tr>
      <w:tr>
        <w:trPr/>
        <w:tc>
          <w:tcPr>
            <w:tcW w:w="1276"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317"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980" w:type="dxa"/>
            <w:tcBorders/>
            <w:tcMar>
              <w:bottom w:w="0" w:type="dxa"/>
            </w:tcMar>
            <w:vAlign w:val="center"/>
          </w:tcPr>
          <w:p>
            <w:pPr>
              <w:pStyle w:val="TableContents"/>
              <w:bidi w:val="0"/>
              <w:spacing w:before="0" w:after="0"/>
              <w:ind w:left="0" w:right="0" w:hanging="0"/>
              <w:jc w:val="left"/>
              <w:rPr/>
            </w:pPr>
            <w:r>
              <w:rPr/>
              <w:t>​</w:t>
            </w:r>
          </w:p>
        </w:tc>
      </w:tr>
      <w:tr>
        <w:trPr/>
        <w:tc>
          <w:tcPr>
            <w:tcW w:w="12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4.2(e)</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317" w:type="dxa"/>
            <w:tcBorders/>
            <w:tcMar>
              <w:bottom w:w="0" w:type="dxa"/>
            </w:tcMar>
            <w:vAlign w:val="center"/>
          </w:tcPr>
          <w:p>
            <w:pPr>
              <w:pStyle w:val="TableContents"/>
              <w:bidi w:val="0"/>
              <w:spacing w:before="0" w:after="0"/>
              <w:ind w:left="0" w:right="0" w:hanging="0"/>
              <w:jc w:val="left"/>
              <w:rPr/>
            </w:pPr>
            <w:hyperlink r:id="rId11">
              <w:r>
                <w:rPr>
                  <w:rStyle w:val="InternetLink"/>
                  <w:rFonts w:ascii="Times New Roman;Times;serif" w:hAnsi="Times New Roman;Times;serif"/>
                  <w:b w:val="false"/>
                  <w:i w:val="false"/>
                  <w:caps w:val="false"/>
                  <w:smallCaps w:val="false"/>
                  <w:sz w:val="20"/>
                </w:rPr>
                <w:t>Credit Agreement dated as of May 29, 2026, incorporated by reference to Exhibit 10.3 hereto</w:t>
              </w:r>
            </w:hyperlink>
          </w:p>
        </w:tc>
        <w:tc>
          <w:tcPr>
            <w:tcW w:w="346" w:type="dxa"/>
            <w:tcBorders/>
            <w:tcMar>
              <w:bottom w:w="0" w:type="dxa"/>
            </w:tcMar>
            <w:vAlign w:val="center"/>
          </w:tcPr>
          <w:p>
            <w:pPr>
              <w:pStyle w:val="TableContents"/>
              <w:bidi w:val="0"/>
              <w:spacing w:before="0" w:after="0"/>
              <w:ind w:left="0" w:right="0" w:hanging="0"/>
              <w:jc w:val="left"/>
              <w:rPr/>
            </w:pPr>
            <w:r>
              <w:rPr/>
              <w:t>​</w:t>
            </w:r>
          </w:p>
        </w:tc>
        <w:tc>
          <w:tcPr>
            <w:tcW w:w="19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10.3 hereto</w:t>
            </w:r>
          </w:p>
        </w:tc>
      </w:tr>
      <w:tr>
        <w:trPr/>
        <w:tc>
          <w:tcPr>
            <w:tcW w:w="1276"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317"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980" w:type="dxa"/>
            <w:tcBorders/>
            <w:tcMar>
              <w:bottom w:w="0" w:type="dxa"/>
            </w:tcMar>
            <w:vAlign w:val="center"/>
          </w:tcPr>
          <w:p>
            <w:pPr>
              <w:pStyle w:val="TableContents"/>
              <w:bidi w:val="0"/>
              <w:spacing w:before="0" w:after="0"/>
              <w:ind w:left="0" w:right="0" w:hanging="0"/>
              <w:jc w:val="left"/>
              <w:rPr/>
            </w:pPr>
            <w:r>
              <w:rPr/>
              <w:t>​</w:t>
            </w:r>
          </w:p>
        </w:tc>
      </w:tr>
      <w:tr>
        <w:trPr/>
        <w:tc>
          <w:tcPr>
            <w:tcW w:w="12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317" w:type="dxa"/>
            <w:tcBorders/>
            <w:tcMar>
              <w:bottom w:w="0" w:type="dxa"/>
            </w:tcMar>
            <w:vAlign w:val="center"/>
          </w:tcPr>
          <w:p>
            <w:pPr>
              <w:pStyle w:val="TableContents"/>
              <w:bidi w:val="0"/>
              <w:spacing w:before="0" w:after="0"/>
              <w:ind w:left="0" w:right="0" w:hanging="0"/>
              <w:jc w:val="left"/>
              <w:rPr/>
            </w:pPr>
            <w:hyperlink r:id="rId12">
              <w:r>
                <w:rPr>
                  <w:rStyle w:val="InternetLink"/>
                  <w:rFonts w:ascii="Times New Roman;Times;serif" w:hAnsi="Times New Roman;Times;serif"/>
                  <w:b w:val="false"/>
                  <w:i w:val="false"/>
                  <w:caps w:val="false"/>
                  <w:smallCaps w:val="false"/>
                  <w:sz w:val="20"/>
                </w:rPr>
                <w:t>Agreement dated April 15, 2026 between TBG AG as Seller and ESCO Technologies Inc. as Buyer for the sale and purchase of the share capital of Megger Group Limited</w:t>
              </w:r>
            </w:hyperlink>
          </w:p>
        </w:tc>
        <w:tc>
          <w:tcPr>
            <w:tcW w:w="346" w:type="dxa"/>
            <w:tcBorders/>
            <w:tcMar>
              <w:bottom w:w="0" w:type="dxa"/>
            </w:tcMar>
            <w:vAlign w:val="center"/>
          </w:tcPr>
          <w:p>
            <w:pPr>
              <w:pStyle w:val="TableContents"/>
              <w:bidi w:val="0"/>
              <w:spacing w:before="0" w:after="0"/>
              <w:ind w:left="0" w:right="0" w:hanging="0"/>
              <w:jc w:val="left"/>
              <w:rPr/>
            </w:pPr>
            <w:r>
              <w:rPr/>
              <w:t>​</w:t>
            </w:r>
          </w:p>
        </w:tc>
        <w:tc>
          <w:tcPr>
            <w:tcW w:w="19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 to the Company’s Form 8-K filed April 16, 2026</w:t>
            </w:r>
          </w:p>
        </w:tc>
      </w:tr>
      <w:tr>
        <w:trPr/>
        <w:tc>
          <w:tcPr>
            <w:tcW w:w="1276"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317"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980" w:type="dxa"/>
            <w:tcBorders/>
            <w:tcMar>
              <w:bottom w:w="0" w:type="dxa"/>
            </w:tcMar>
            <w:vAlign w:val="center"/>
          </w:tcPr>
          <w:p>
            <w:pPr>
              <w:pStyle w:val="TableContents"/>
              <w:bidi w:val="0"/>
              <w:spacing w:before="0" w:after="0"/>
              <w:ind w:left="0" w:right="0" w:hanging="0"/>
              <w:jc w:val="left"/>
              <w:rPr/>
            </w:pPr>
            <w:r>
              <w:rPr/>
              <w:t>​</w:t>
            </w:r>
          </w:p>
        </w:tc>
      </w:tr>
      <w:tr>
        <w:trPr/>
        <w:tc>
          <w:tcPr>
            <w:tcW w:w="12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317" w:type="dxa"/>
            <w:tcBorders/>
            <w:tcMar>
              <w:bottom w:w="0" w:type="dxa"/>
            </w:tcMar>
            <w:vAlign w:val="center"/>
          </w:tcPr>
          <w:p>
            <w:pPr>
              <w:pStyle w:val="TableContents"/>
              <w:bidi w:val="0"/>
              <w:spacing w:before="0" w:after="0"/>
              <w:ind w:left="0" w:right="0" w:hanging="0"/>
              <w:jc w:val="left"/>
              <w:rPr/>
            </w:pPr>
            <w:hyperlink r:id="rId13">
              <w:r>
                <w:rPr>
                  <w:rStyle w:val="InternetLink"/>
                  <w:rFonts w:ascii="Times New Roman;Times;serif" w:hAnsi="Times New Roman;Times;serif"/>
                  <w:b w:val="false"/>
                  <w:i w:val="false"/>
                  <w:caps w:val="false"/>
                  <w:smallCaps w:val="false"/>
                  <w:sz w:val="20"/>
                </w:rPr>
                <w:t>Form of Shareholder Agreement to be executed concurrently with completion of the Agreement described in Exhibit 10.1</w:t>
              </w:r>
            </w:hyperlink>
          </w:p>
        </w:tc>
        <w:tc>
          <w:tcPr>
            <w:tcW w:w="346" w:type="dxa"/>
            <w:tcBorders/>
            <w:tcMar>
              <w:bottom w:w="0" w:type="dxa"/>
            </w:tcMar>
            <w:vAlign w:val="center"/>
          </w:tcPr>
          <w:p>
            <w:pPr>
              <w:pStyle w:val="TableContents"/>
              <w:bidi w:val="0"/>
              <w:spacing w:before="0" w:after="0"/>
              <w:ind w:left="0" w:right="0" w:hanging="0"/>
              <w:jc w:val="left"/>
              <w:rPr/>
            </w:pPr>
            <w:r>
              <w:rPr/>
              <w:t>​</w:t>
            </w:r>
          </w:p>
        </w:tc>
        <w:tc>
          <w:tcPr>
            <w:tcW w:w="19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10.2 to the Company’s Form 8-K filed April 16, 2026</w:t>
            </w:r>
          </w:p>
        </w:tc>
      </w:tr>
      <w:tr>
        <w:trPr/>
        <w:tc>
          <w:tcPr>
            <w:tcW w:w="1276"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317"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980" w:type="dxa"/>
            <w:tcBorders/>
            <w:tcMar>
              <w:bottom w:w="0" w:type="dxa"/>
            </w:tcMar>
            <w:vAlign w:val="center"/>
          </w:tcPr>
          <w:p>
            <w:pPr>
              <w:pStyle w:val="TableContents"/>
              <w:bidi w:val="0"/>
              <w:spacing w:before="0" w:after="0"/>
              <w:ind w:left="0" w:right="0" w:hanging="0"/>
              <w:jc w:val="left"/>
              <w:rPr/>
            </w:pPr>
            <w:r>
              <w:rPr/>
              <w:t>​</w:t>
            </w:r>
          </w:p>
        </w:tc>
      </w:tr>
      <w:tr>
        <w:trPr/>
        <w:tc>
          <w:tcPr>
            <w:tcW w:w="12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317" w:type="dxa"/>
            <w:tcBorders/>
            <w:tcMar>
              <w:bottom w:w="0" w:type="dxa"/>
            </w:tcMar>
            <w:vAlign w:val="center"/>
          </w:tcPr>
          <w:p>
            <w:pPr>
              <w:pStyle w:val="TableContents"/>
              <w:bidi w:val="0"/>
              <w:spacing w:before="0" w:after="0"/>
              <w:ind w:left="0" w:right="0" w:hanging="0"/>
              <w:jc w:val="left"/>
              <w:rPr/>
            </w:pPr>
            <w:hyperlink r:id="rId14">
              <w:r>
                <w:rPr>
                  <w:rStyle w:val="InternetLink"/>
                  <w:rFonts w:ascii="Times New Roman;Times;serif" w:hAnsi="Times New Roman;Times;serif"/>
                  <w:b w:val="false"/>
                  <w:i w:val="false"/>
                  <w:caps w:val="false"/>
                  <w:smallCaps w:val="false"/>
                  <w:sz w:val="20"/>
                </w:rPr>
                <w:t>Credit Agreement dated as of May 29, 2026, among ESCO Technologies Inc. and certain of its subsidiaries as Borrower, certain Lenders party thereto, JPMorgan Chase Bank, N.A. as Administrative Agent, Bank of America, N.A. as Syndication Agent, and BMO Capital Markets Corp., Commerce Bank, Regions Capital Markets, a Division of Regions Bank, TD Bank, N.A. and Wells Fargo Bank, National Association, as Co-Documentation Agents, to become effective concurrently with completion of the Agreement described in Exhibit 10.1</w:t>
              </w:r>
            </w:hyperlink>
          </w:p>
        </w:tc>
        <w:tc>
          <w:tcPr>
            <w:tcW w:w="346" w:type="dxa"/>
            <w:tcBorders/>
            <w:tcMar>
              <w:bottom w:w="0" w:type="dxa"/>
            </w:tcMar>
            <w:vAlign w:val="center"/>
          </w:tcPr>
          <w:p>
            <w:pPr>
              <w:pStyle w:val="TableContents"/>
              <w:bidi w:val="0"/>
              <w:spacing w:before="0" w:after="0"/>
              <w:ind w:left="0" w:right="0" w:hanging="0"/>
              <w:jc w:val="left"/>
              <w:rPr/>
            </w:pPr>
            <w:r>
              <w:rPr/>
              <w:t>​</w:t>
            </w:r>
          </w:p>
        </w:tc>
        <w:tc>
          <w:tcPr>
            <w:tcW w:w="19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 10.1 to the Company’s Form 8-K filed June 3, 2026</w:t>
            </w:r>
          </w:p>
        </w:tc>
      </w:tr>
      <w:tr>
        <w:trPr/>
        <w:tc>
          <w:tcPr>
            <w:tcW w:w="1276" w:type="dxa"/>
            <w:tcBorders/>
            <w:tcMar>
              <w:bottom w:w="0" w:type="dxa"/>
            </w:tcMar>
            <w:vAlign w:val="center"/>
          </w:tcPr>
          <w:p>
            <w:pPr>
              <w:pStyle w:val="TableContents"/>
              <w:bidi w:val="0"/>
              <w:spacing w:before="0" w:after="0"/>
              <w:ind w:left="0" w:right="0" w:hanging="0"/>
              <w:jc w:val="left"/>
              <w:rPr/>
            </w:pPr>
            <w:r>
              <w:rPr/>
              <w:t>​</w:t>
            </w:r>
          </w:p>
        </w:tc>
        <w:tc>
          <w:tcPr>
            <w:tcW w:w="286" w:type="dxa"/>
            <w:tcBorders/>
            <w:tcMar>
              <w:bottom w:w="0" w:type="dxa"/>
            </w:tcMar>
            <w:vAlign w:val="center"/>
          </w:tcPr>
          <w:p>
            <w:pPr>
              <w:pStyle w:val="TableContents"/>
              <w:bidi w:val="0"/>
              <w:spacing w:before="0" w:after="0"/>
              <w:ind w:left="0" w:right="0" w:hanging="0"/>
              <w:jc w:val="left"/>
              <w:rPr/>
            </w:pPr>
            <w:r>
              <w:rPr/>
              <w:t>​</w:t>
            </w:r>
          </w:p>
        </w:tc>
        <w:tc>
          <w:tcPr>
            <w:tcW w:w="6317"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980" w:type="dxa"/>
            <w:tcBorders/>
            <w:tcMar>
              <w:bottom w:w="0" w:type="dxa"/>
            </w:tcMar>
            <w:vAlign w:val="center"/>
          </w:tcPr>
          <w:p>
            <w:pPr>
              <w:pStyle w:val="TableContents"/>
              <w:bidi w:val="0"/>
              <w:spacing w:before="0" w:after="0"/>
              <w:ind w:left="0" w:right="0" w:hanging="0"/>
              <w:jc w:val="left"/>
              <w:rPr/>
            </w:pPr>
            <w:r>
              <w:rPr/>
              <w:t>​</w:t>
            </w:r>
          </w:p>
        </w:tc>
      </w:tr>
      <w:tr>
        <w:trPr/>
        <w:tc>
          <w:tcPr>
            <w:tcW w:w="12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286" w:type="dxa"/>
            <w:tcBorders/>
            <w:tcMar>
              <w:bottom w:w="0" w:type="dxa"/>
            </w:tcMar>
            <w:vAlign w:val="center"/>
          </w:tcPr>
          <w:p>
            <w:pPr>
              <w:pStyle w:val="TableContents"/>
              <w:bidi w:val="0"/>
              <w:spacing w:before="0" w:after="0"/>
              <w:ind w:left="0" w:right="0" w:hanging="0"/>
              <w:jc w:val="left"/>
              <w:rPr/>
            </w:pPr>
            <w:r>
              <w:rPr/>
              <w:t> </w:t>
            </w:r>
          </w:p>
        </w:tc>
        <w:tc>
          <w:tcPr>
            <w:tcW w:w="6317" w:type="dxa"/>
            <w:tcBorders/>
            <w:tcMar>
              <w:bottom w:w="0" w:type="dxa"/>
            </w:tcMar>
            <w:vAlign w:val="center"/>
          </w:tcPr>
          <w:p>
            <w:pPr>
              <w:pStyle w:val="TableContents"/>
              <w:bidi w:val="0"/>
              <w:spacing w:before="0" w:after="0"/>
              <w:ind w:left="0" w:right="0" w:hanging="0"/>
              <w:jc w:val="left"/>
              <w:rPr/>
            </w:pPr>
            <w:hyperlink w:anchor="ese-20260630xex31d1.htm">
              <w:r>
                <w:rPr>
                  <w:rStyle w:val="InternetLink"/>
                  <w:rFonts w:ascii="Times New Roman;Times;serif" w:hAnsi="Times New Roman;Times;serif"/>
                  <w:b w:val="false"/>
                  <w:i w:val="false"/>
                  <w:caps w:val="false"/>
                  <w:smallCaps w:val="false"/>
                  <w:sz w:val="20"/>
                </w:rPr>
                <w:t>Certification of Chief Executive Officer</w:t>
              </w:r>
            </w:hyperlink>
          </w:p>
        </w:tc>
        <w:tc>
          <w:tcPr>
            <w:tcW w:w="346" w:type="dxa"/>
            <w:tcBorders/>
            <w:tcMar>
              <w:bottom w:w="0" w:type="dxa"/>
            </w:tcMar>
            <w:vAlign w:val="center"/>
          </w:tcPr>
          <w:p>
            <w:pPr>
              <w:pStyle w:val="TableContents"/>
              <w:bidi w:val="0"/>
              <w:spacing w:before="0" w:after="0"/>
              <w:ind w:left="0" w:right="0" w:hanging="0"/>
              <w:jc w:val="left"/>
              <w:rPr/>
            </w:pPr>
            <w:r>
              <w:rPr/>
              <w:t> </w:t>
            </w:r>
          </w:p>
        </w:tc>
        <w:tc>
          <w:tcPr>
            <w:tcW w:w="19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1276" w:type="dxa"/>
            <w:tcBorders/>
            <w:tcMar>
              <w:bottom w:w="0" w:type="dxa"/>
            </w:tcMar>
            <w:vAlign w:val="center"/>
          </w:tcPr>
          <w:p>
            <w:pPr>
              <w:pStyle w:val="TableContents"/>
              <w:bidi w:val="0"/>
              <w:spacing w:before="0" w:after="0"/>
              <w:ind w:left="0" w:right="0" w:hanging="0"/>
              <w:jc w:val="left"/>
              <w:rPr/>
            </w:pPr>
            <w:r>
              <w:rPr/>
              <w:t> </w:t>
            </w:r>
          </w:p>
        </w:tc>
        <w:tc>
          <w:tcPr>
            <w:tcW w:w="286" w:type="dxa"/>
            <w:tcBorders/>
            <w:tcMar>
              <w:bottom w:w="0" w:type="dxa"/>
            </w:tcMar>
            <w:vAlign w:val="center"/>
          </w:tcPr>
          <w:p>
            <w:pPr>
              <w:pStyle w:val="TableContents"/>
              <w:bidi w:val="0"/>
              <w:spacing w:before="0" w:after="0"/>
              <w:ind w:left="0" w:right="0" w:hanging="0"/>
              <w:jc w:val="left"/>
              <w:rPr/>
            </w:pPr>
            <w:r>
              <w:rPr/>
              <w:t> </w:t>
            </w:r>
          </w:p>
        </w:tc>
        <w:tc>
          <w:tcPr>
            <w:tcW w:w="6317" w:type="dxa"/>
            <w:tcBorders/>
            <w:tcMar>
              <w:bottom w:w="0" w:type="dxa"/>
            </w:tcMar>
            <w:vAlign w:val="center"/>
          </w:tcPr>
          <w:p>
            <w:pPr>
              <w:pStyle w:val="TableContents"/>
              <w:bidi w:val="0"/>
              <w:spacing w:before="0" w:after="0"/>
              <w:ind w:left="0" w:right="0" w:hanging="0"/>
              <w:jc w:val="left"/>
              <w:rPr/>
            </w:pPr>
            <w:r>
              <w:rPr/>
              <w:t> </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1980" w:type="dxa"/>
            <w:tcBorders/>
            <w:tcMar>
              <w:bottom w:w="0" w:type="dxa"/>
            </w:tcMar>
            <w:vAlign w:val="center"/>
          </w:tcPr>
          <w:p>
            <w:pPr>
              <w:pStyle w:val="TableContents"/>
              <w:bidi w:val="0"/>
              <w:spacing w:before="0" w:after="0"/>
              <w:ind w:left="0" w:right="0" w:hanging="0"/>
              <w:jc w:val="left"/>
              <w:rPr/>
            </w:pPr>
            <w:r>
              <w:rPr/>
              <w:t> </w:t>
            </w:r>
          </w:p>
        </w:tc>
      </w:tr>
      <w:tr>
        <w:trPr/>
        <w:tc>
          <w:tcPr>
            <w:tcW w:w="12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286" w:type="dxa"/>
            <w:tcBorders/>
            <w:tcMar>
              <w:bottom w:w="0" w:type="dxa"/>
            </w:tcMar>
            <w:vAlign w:val="center"/>
          </w:tcPr>
          <w:p>
            <w:pPr>
              <w:pStyle w:val="TableContents"/>
              <w:bidi w:val="0"/>
              <w:spacing w:before="0" w:after="0"/>
              <w:ind w:left="0" w:right="0" w:hanging="0"/>
              <w:jc w:val="left"/>
              <w:rPr/>
            </w:pPr>
            <w:r>
              <w:rPr/>
              <w:t> </w:t>
            </w:r>
          </w:p>
        </w:tc>
        <w:tc>
          <w:tcPr>
            <w:tcW w:w="6317" w:type="dxa"/>
            <w:tcBorders/>
            <w:tcMar>
              <w:bottom w:w="0" w:type="dxa"/>
            </w:tcMar>
            <w:vAlign w:val="center"/>
          </w:tcPr>
          <w:p>
            <w:pPr>
              <w:pStyle w:val="TableContents"/>
              <w:bidi w:val="0"/>
              <w:spacing w:before="0" w:after="0"/>
              <w:ind w:left="0" w:right="0" w:hanging="0"/>
              <w:jc w:val="left"/>
              <w:rPr/>
            </w:pPr>
            <w:hyperlink w:anchor="ese-20260630xex31d2.htm">
              <w:r>
                <w:rPr>
                  <w:rStyle w:val="InternetLink"/>
                  <w:rFonts w:ascii="Times New Roman;Times;serif" w:hAnsi="Times New Roman;Times;serif"/>
                  <w:b w:val="false"/>
                  <w:i w:val="false"/>
                  <w:caps w:val="false"/>
                  <w:smallCaps w:val="false"/>
                  <w:sz w:val="20"/>
                </w:rPr>
                <w:t>Certification of Chief Financial Officer</w:t>
              </w:r>
            </w:hyperlink>
            <w:r>
              <w:rPr>
                <w:rFonts w:ascii="Times New Roman;Times;serif" w:hAnsi="Times New Roman;Times;serif"/>
                <w:sz w:val="20"/>
              </w:rPr>
              <w:t xml:space="preserve"> </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19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1276" w:type="dxa"/>
            <w:tcBorders/>
            <w:tcMar>
              <w:bottom w:w="0" w:type="dxa"/>
            </w:tcMar>
            <w:vAlign w:val="center"/>
          </w:tcPr>
          <w:p>
            <w:pPr>
              <w:pStyle w:val="TableContents"/>
              <w:bidi w:val="0"/>
              <w:spacing w:before="0" w:after="0"/>
              <w:ind w:left="0" w:right="0" w:hanging="0"/>
              <w:jc w:val="left"/>
              <w:rPr/>
            </w:pPr>
            <w:r>
              <w:rPr/>
              <w:t> </w:t>
            </w:r>
          </w:p>
        </w:tc>
        <w:tc>
          <w:tcPr>
            <w:tcW w:w="286" w:type="dxa"/>
            <w:tcBorders/>
            <w:tcMar>
              <w:bottom w:w="0" w:type="dxa"/>
            </w:tcMar>
            <w:vAlign w:val="center"/>
          </w:tcPr>
          <w:p>
            <w:pPr>
              <w:pStyle w:val="TableContents"/>
              <w:bidi w:val="0"/>
              <w:spacing w:before="0" w:after="0"/>
              <w:ind w:left="0" w:right="0" w:hanging="0"/>
              <w:jc w:val="left"/>
              <w:rPr/>
            </w:pPr>
            <w:r>
              <w:rPr/>
              <w:t> </w:t>
            </w:r>
          </w:p>
        </w:tc>
        <w:tc>
          <w:tcPr>
            <w:tcW w:w="6317" w:type="dxa"/>
            <w:tcBorders/>
            <w:tcMar>
              <w:bottom w:w="0" w:type="dxa"/>
            </w:tcMar>
            <w:vAlign w:val="center"/>
          </w:tcPr>
          <w:p>
            <w:pPr>
              <w:pStyle w:val="TableContents"/>
              <w:bidi w:val="0"/>
              <w:spacing w:before="0" w:after="0"/>
              <w:ind w:left="0" w:right="0" w:hanging="0"/>
              <w:jc w:val="left"/>
              <w:rPr/>
            </w:pPr>
            <w:r>
              <w:rPr/>
              <w:t> </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1980" w:type="dxa"/>
            <w:tcBorders/>
            <w:tcMar>
              <w:bottom w:w="0" w:type="dxa"/>
            </w:tcMar>
            <w:vAlign w:val="center"/>
          </w:tcPr>
          <w:p>
            <w:pPr>
              <w:pStyle w:val="TableContents"/>
              <w:bidi w:val="0"/>
              <w:spacing w:before="0" w:after="0"/>
              <w:ind w:left="0" w:right="0" w:hanging="0"/>
              <w:jc w:val="left"/>
              <w:rPr/>
            </w:pPr>
            <w:r>
              <w:rPr/>
              <w:t> </w:t>
            </w:r>
          </w:p>
        </w:tc>
      </w:tr>
      <w:tr>
        <w:trPr/>
        <w:tc>
          <w:tcPr>
            <w:tcW w:w="127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286" w:type="dxa"/>
            <w:tcBorders/>
            <w:tcMar>
              <w:bottom w:w="0" w:type="dxa"/>
            </w:tcMar>
            <w:vAlign w:val="center"/>
          </w:tcPr>
          <w:p>
            <w:pPr>
              <w:pStyle w:val="TableContents"/>
              <w:bidi w:val="0"/>
              <w:spacing w:before="0" w:after="0"/>
              <w:ind w:left="0" w:right="0" w:hanging="0"/>
              <w:jc w:val="left"/>
              <w:rPr/>
            </w:pPr>
            <w:r>
              <w:rPr/>
              <w:t> </w:t>
            </w:r>
          </w:p>
        </w:tc>
        <w:tc>
          <w:tcPr>
            <w:tcW w:w="6317" w:type="dxa"/>
            <w:tcBorders/>
            <w:tcMar>
              <w:bottom w:w="0" w:type="dxa"/>
            </w:tcMar>
            <w:vAlign w:val="center"/>
          </w:tcPr>
          <w:p>
            <w:pPr>
              <w:pStyle w:val="TableContents"/>
              <w:bidi w:val="0"/>
              <w:spacing w:before="0" w:after="0"/>
              <w:ind w:left="0" w:right="0" w:hanging="0"/>
              <w:jc w:val="left"/>
              <w:rPr/>
            </w:pPr>
            <w:hyperlink w:anchor="ese-20260630xex32.htm">
              <w:r>
                <w:rPr>
                  <w:rStyle w:val="InternetLink"/>
                  <w:rFonts w:ascii="Times New Roman;Times;serif" w:hAnsi="Times New Roman;Times;serif"/>
                  <w:b w:val="false"/>
                  <w:i w:val="false"/>
                  <w:caps w:val="false"/>
                  <w:smallCaps w:val="false"/>
                  <w:sz w:val="20"/>
                </w:rPr>
                <w:t>Certification of Chief Executive Officer and Chief Financial Officer</w:t>
              </w:r>
            </w:hyperlink>
          </w:p>
        </w:tc>
        <w:tc>
          <w:tcPr>
            <w:tcW w:w="346" w:type="dxa"/>
            <w:tcBorders/>
            <w:tcMar>
              <w:bottom w:w="0" w:type="dxa"/>
            </w:tcMar>
            <w:vAlign w:val="center"/>
          </w:tcPr>
          <w:p>
            <w:pPr>
              <w:pStyle w:val="TableContents"/>
              <w:bidi w:val="0"/>
              <w:spacing w:before="0" w:after="0"/>
              <w:ind w:left="0" w:right="0" w:hanging="0"/>
              <w:jc w:val="left"/>
              <w:rPr/>
            </w:pPr>
            <w:r>
              <w:rPr/>
              <w:t> </w:t>
            </w:r>
          </w:p>
        </w:tc>
        <w:tc>
          <w:tcPr>
            <w:tcW w:w="19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r>
        <w:trPr/>
        <w:tc>
          <w:tcPr>
            <w:tcW w:w="1276" w:type="dxa"/>
            <w:tcBorders/>
            <w:tcMar>
              <w:bottom w:w="0" w:type="dxa"/>
            </w:tcMar>
            <w:vAlign w:val="center"/>
          </w:tcPr>
          <w:p>
            <w:pPr>
              <w:pStyle w:val="TableContents"/>
              <w:bidi w:val="0"/>
              <w:spacing w:before="0" w:after="0"/>
              <w:ind w:left="0" w:right="0" w:hanging="0"/>
              <w:jc w:val="left"/>
              <w:rPr/>
            </w:pPr>
            <w:r>
              <w:rPr/>
              <w:t> </w:t>
            </w:r>
          </w:p>
        </w:tc>
        <w:tc>
          <w:tcPr>
            <w:tcW w:w="286" w:type="dxa"/>
            <w:tcBorders/>
            <w:tcMar>
              <w:bottom w:w="0" w:type="dxa"/>
            </w:tcMar>
            <w:vAlign w:val="center"/>
          </w:tcPr>
          <w:p>
            <w:pPr>
              <w:pStyle w:val="TableContents"/>
              <w:bidi w:val="0"/>
              <w:spacing w:before="0" w:after="0"/>
              <w:ind w:left="0" w:right="0" w:hanging="0"/>
              <w:jc w:val="left"/>
              <w:rPr/>
            </w:pPr>
            <w:r>
              <w:rPr/>
              <w:t> </w:t>
            </w:r>
          </w:p>
        </w:tc>
        <w:tc>
          <w:tcPr>
            <w:tcW w:w="6317" w:type="dxa"/>
            <w:tcBorders/>
            <w:tcMar>
              <w:bottom w:w="0" w:type="dxa"/>
            </w:tcMar>
            <w:vAlign w:val="center"/>
          </w:tcPr>
          <w:p>
            <w:pPr>
              <w:pStyle w:val="TableContents"/>
              <w:bidi w:val="0"/>
              <w:spacing w:before="0" w:after="0"/>
              <w:ind w:left="0" w:right="0" w:hanging="0"/>
              <w:jc w:val="left"/>
              <w:rPr/>
            </w:pPr>
            <w:r>
              <w:rPr/>
              <w:t> </w:t>
            </w:r>
          </w:p>
        </w:tc>
        <w:tc>
          <w:tcPr>
            <w:tcW w:w="346" w:type="dxa"/>
            <w:tcBorders/>
            <w:tcMar>
              <w:bottom w:w="0" w:type="dxa"/>
            </w:tcMar>
            <w:vAlign w:val="center"/>
          </w:tcPr>
          <w:p>
            <w:pPr>
              <w:pStyle w:val="TableContents"/>
              <w:bidi w:val="0"/>
              <w:spacing w:before="0" w:after="0"/>
              <w:ind w:left="0" w:right="0" w:hanging="0"/>
              <w:jc w:val="left"/>
              <w:rPr/>
            </w:pPr>
            <w:r>
              <w:rPr/>
              <w:t> </w:t>
            </w:r>
          </w:p>
        </w:tc>
        <w:tc>
          <w:tcPr>
            <w:tcW w:w="1980" w:type="dxa"/>
            <w:tcBorders/>
            <w:tcMar>
              <w:bottom w:w="0" w:type="dxa"/>
            </w:tcMar>
            <w:vAlign w:val="center"/>
          </w:tcPr>
          <w:p>
            <w:pPr>
              <w:pStyle w:val="TableContents"/>
              <w:bidi w:val="0"/>
              <w:spacing w:before="0" w:after="0"/>
              <w:ind w:left="0" w:right="0" w:hanging="0"/>
              <w:jc w:val="left"/>
              <w:rPr/>
            </w:pPr>
            <w:r>
              <w:rPr/>
              <w:t>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tbl>
      <w:tblPr>
        <w:tblW w:w="7840" w:type="dxa"/>
        <w:jc w:val="left"/>
        <w:tblInd w:w="0" w:type="dxa"/>
        <w:tblLayout w:type="fixed"/>
        <w:tblCellMar>
          <w:top w:w="0" w:type="dxa"/>
          <w:left w:w="0" w:type="dxa"/>
          <w:bottom w:w="0" w:type="dxa"/>
          <w:right w:w="0" w:type="dxa"/>
        </w:tblCellMar>
      </w:tblPr>
      <w:tblGrid>
        <w:gridCol w:w="871"/>
        <w:gridCol w:w="146"/>
        <w:gridCol w:w="4936"/>
        <w:gridCol w:w="146"/>
        <w:gridCol w:w="1741"/>
      </w:tblGrid>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Instance Document*</w:t>
            </w:r>
          </w:p>
        </w:tc>
        <w:tc>
          <w:tcPr>
            <w:tcW w:w="146" w:type="dxa"/>
            <w:tcBorders/>
            <w:vAlign w:val="center"/>
          </w:tcPr>
          <w:p>
            <w:pPr>
              <w:pStyle w:val="TableContents"/>
              <w:bidi w:val="0"/>
              <w:spacing w:before="0" w:after="0"/>
              <w:ind w:left="0" w:right="0" w:hanging="0"/>
              <w:jc w:val="left"/>
              <w:rPr/>
            </w:pPr>
            <w:r>
              <w:rPr/>
              <w:t> </w:t>
            </w:r>
          </w:p>
        </w:tc>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Submitted herewith</w:t>
            </w:r>
          </w:p>
        </w:tc>
      </w:tr>
      <w:tr>
        <w:trPr/>
        <w:tc>
          <w:tcPr>
            <w:tcW w:w="87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493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Schema Document*</w:t>
            </w:r>
          </w:p>
        </w:tc>
        <w:tc>
          <w:tcPr>
            <w:tcW w:w="146" w:type="dxa"/>
            <w:tcBorders/>
            <w:vAlign w:val="center"/>
          </w:tcPr>
          <w:p>
            <w:pPr>
              <w:pStyle w:val="TableContents"/>
              <w:bidi w:val="0"/>
              <w:spacing w:before="0" w:after="0"/>
              <w:ind w:left="0" w:right="0" w:hanging="0"/>
              <w:jc w:val="left"/>
              <w:rPr/>
            </w:pPr>
            <w:r>
              <w:rPr/>
              <w:t> </w:t>
            </w:r>
          </w:p>
        </w:tc>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Submitted herewith</w:t>
            </w:r>
          </w:p>
        </w:tc>
      </w:tr>
      <w:tr>
        <w:trPr/>
        <w:tc>
          <w:tcPr>
            <w:tcW w:w="87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493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Calculation Linkbase Document*</w:t>
            </w:r>
          </w:p>
        </w:tc>
        <w:tc>
          <w:tcPr>
            <w:tcW w:w="146" w:type="dxa"/>
            <w:tcBorders/>
            <w:vAlign w:val="center"/>
          </w:tcPr>
          <w:p>
            <w:pPr>
              <w:pStyle w:val="TableContents"/>
              <w:bidi w:val="0"/>
              <w:spacing w:before="0" w:after="0"/>
              <w:ind w:left="0" w:right="0" w:hanging="0"/>
              <w:jc w:val="left"/>
              <w:rPr/>
            </w:pPr>
            <w:r>
              <w:rPr/>
              <w:t> </w:t>
            </w:r>
          </w:p>
        </w:tc>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Submitted herewith</w:t>
            </w:r>
          </w:p>
        </w:tc>
      </w:tr>
      <w:tr>
        <w:trPr/>
        <w:tc>
          <w:tcPr>
            <w:tcW w:w="87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493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Definition Linkbase Document*</w:t>
            </w:r>
          </w:p>
        </w:tc>
        <w:tc>
          <w:tcPr>
            <w:tcW w:w="146" w:type="dxa"/>
            <w:tcBorders/>
            <w:vAlign w:val="center"/>
          </w:tcPr>
          <w:p>
            <w:pPr>
              <w:pStyle w:val="TableContents"/>
              <w:bidi w:val="0"/>
              <w:spacing w:before="0" w:after="0"/>
              <w:ind w:left="0" w:right="0" w:hanging="0"/>
              <w:jc w:val="left"/>
              <w:rPr/>
            </w:pPr>
            <w:r>
              <w:rPr/>
              <w:t> </w:t>
            </w:r>
          </w:p>
        </w:tc>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Submitted herewith</w:t>
            </w:r>
          </w:p>
        </w:tc>
      </w:tr>
      <w:tr>
        <w:trPr/>
        <w:tc>
          <w:tcPr>
            <w:tcW w:w="87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493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Label Linkbase Document*</w:t>
            </w:r>
          </w:p>
        </w:tc>
        <w:tc>
          <w:tcPr>
            <w:tcW w:w="146" w:type="dxa"/>
            <w:tcBorders/>
            <w:vAlign w:val="center"/>
          </w:tcPr>
          <w:p>
            <w:pPr>
              <w:pStyle w:val="TableContents"/>
              <w:bidi w:val="0"/>
              <w:spacing w:before="0" w:after="0"/>
              <w:ind w:left="0" w:right="0" w:hanging="0"/>
              <w:jc w:val="left"/>
              <w:rPr/>
            </w:pPr>
            <w:r>
              <w:rPr/>
              <w:t> </w:t>
            </w:r>
          </w:p>
        </w:tc>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Submitted herewith</w:t>
            </w:r>
          </w:p>
        </w:tc>
      </w:tr>
      <w:tr>
        <w:trPr/>
        <w:tc>
          <w:tcPr>
            <w:tcW w:w="871"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493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Presentation Linkbase Document*</w:t>
            </w:r>
          </w:p>
        </w:tc>
        <w:tc>
          <w:tcPr>
            <w:tcW w:w="146" w:type="dxa"/>
            <w:tcBorders/>
            <w:vAlign w:val="center"/>
          </w:tcPr>
          <w:p>
            <w:pPr>
              <w:pStyle w:val="TableContents"/>
              <w:bidi w:val="0"/>
              <w:spacing w:before="0" w:after="0"/>
              <w:ind w:left="0" w:right="0" w:hanging="0"/>
              <w:jc w:val="left"/>
              <w:rPr/>
            </w:pPr>
            <w:r>
              <w:rPr/>
              <w:t> </w:t>
            </w:r>
          </w:p>
        </w:tc>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Submitted herewith</w:t>
            </w:r>
          </w:p>
        </w:tc>
      </w:tr>
      <w:tr>
        <w:trPr/>
        <w:tc>
          <w:tcPr>
            <w:tcW w:w="87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9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741" w:type="dxa"/>
            <w:tcBorders/>
            <w:vAlign w:val="center"/>
          </w:tcPr>
          <w:p>
            <w:pPr>
              <w:pStyle w:val="TableContents"/>
              <w:bidi w:val="0"/>
              <w:spacing w:before="0" w:after="0"/>
              <w:ind w:left="0" w:right="0" w:hanging="0"/>
              <w:jc w:val="left"/>
              <w:rPr/>
            </w:pPr>
            <w:r>
              <w:rPr/>
              <w:t> </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46" w:type="dxa"/>
            <w:tcBorders/>
            <w:vAlign w:val="center"/>
          </w:tcPr>
          <w:p>
            <w:pPr>
              <w:pStyle w:val="TableContents"/>
              <w:bidi w:val="0"/>
              <w:spacing w:before="0" w:after="0"/>
              <w:ind w:left="0" w:right="0" w:hanging="0"/>
              <w:jc w:val="left"/>
              <w:rPr/>
            </w:pPr>
            <w:r>
              <w:rPr/>
              <w:t>​</w:t>
            </w:r>
          </w:p>
        </w:tc>
        <w:tc>
          <w:tcPr>
            <w:tcW w:w="4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(contained in Exhibit 101)</w:t>
            </w:r>
          </w:p>
        </w:tc>
        <w:tc>
          <w:tcPr>
            <w:tcW w:w="146" w:type="dxa"/>
            <w:tcBorders/>
            <w:vAlign w:val="center"/>
          </w:tcPr>
          <w:p>
            <w:pPr>
              <w:pStyle w:val="TableContents"/>
              <w:bidi w:val="0"/>
              <w:spacing w:before="0" w:after="0"/>
              <w:ind w:left="0" w:right="0" w:hanging="0"/>
              <w:jc w:val="left"/>
              <w:rPr/>
            </w:pPr>
            <w:r>
              <w:rPr/>
              <w:t>​</w:t>
            </w:r>
          </w:p>
        </w:tc>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Submitted herewith</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Exhibit 101 to this report consists of documents formatted in XBRL (Extensible Business Reporting Language). The financial information contained in the XBRL – related documents is “unaudited” or “unreviewed”.</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240"/>
        <w:ind w:left="0" w:right="0" w:hanging="0"/>
        <w:jc w:val="center"/>
        <w:rPr>
          <w:rFonts w:ascii="Times New Roman;Times;serif" w:hAnsi="Times New Roman;Times;serif"/>
          <w:b w:val="false"/>
          <w:sz w:val="20"/>
        </w:rPr>
      </w:pPr>
      <w:bookmarkStart w:id="1170" w:name="_769f462d_b17e_4ad9_8f66_2edefbd96996"/>
      <w:bookmarkEnd w:id="1170"/>
      <w:r>
        <w:rPr>
          <w:rFonts w:ascii="Times New Roman;Times;serif" w:hAnsi="Times New Roman;Times;serif"/>
          <w:b w:val="false"/>
          <w:sz w:val="20"/>
        </w:rPr>
        <w:t>SIGNATURE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240"/>
        <w:ind w:left="0" w:right="0" w:hanging="0"/>
        <w:jc w:val="left"/>
        <w:rPr/>
      </w:pPr>
      <w:r>
        <w:rPr/>
        <w:t>​</w:t>
      </w:r>
    </w:p>
    <w:tbl>
      <w:tblPr>
        <w:tblW w:w="9527" w:type="dxa"/>
        <w:jc w:val="left"/>
        <w:tblInd w:w="0" w:type="dxa"/>
        <w:tblLayout w:type="fixed"/>
        <w:tblCellMar>
          <w:top w:w="0" w:type="dxa"/>
          <w:left w:w="0" w:type="dxa"/>
          <w:bottom w:w="0" w:type="dxa"/>
          <w:right w:w="0" w:type="dxa"/>
        </w:tblCellMar>
      </w:tblPr>
      <w:tblGrid>
        <w:gridCol w:w="2056"/>
        <w:gridCol w:w="7471"/>
      </w:tblGrid>
      <w:tr>
        <w:trPr/>
        <w:tc>
          <w:tcPr>
            <w:tcW w:w="2056" w:type="dxa"/>
            <w:tcBorders/>
            <w:vAlign w:val="center"/>
          </w:tcPr>
          <w:p>
            <w:pPr>
              <w:pStyle w:val="TableContents"/>
              <w:bidi w:val="0"/>
              <w:spacing w:before="0" w:after="0"/>
              <w:ind w:left="0" w:right="0" w:hanging="0"/>
              <w:jc w:val="left"/>
              <w:rPr/>
            </w:pPr>
            <w:r>
              <w:rPr/>
              <w:t> </w:t>
            </w:r>
          </w:p>
        </w:tc>
        <w:tc>
          <w:tcPr>
            <w:tcW w:w="7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ESCO TECHNOLOGIES INC.</w:t>
            </w:r>
          </w:p>
        </w:tc>
      </w:tr>
      <w:tr>
        <w:trPr/>
        <w:tc>
          <w:tcPr>
            <w:tcW w:w="2056" w:type="dxa"/>
            <w:tcBorders/>
            <w:vAlign w:val="center"/>
          </w:tcPr>
          <w:p>
            <w:pPr>
              <w:pStyle w:val="TableContents"/>
              <w:bidi w:val="0"/>
              <w:spacing w:before="0" w:after="0"/>
              <w:ind w:left="0" w:right="0" w:hanging="0"/>
              <w:jc w:val="left"/>
              <w:rPr/>
            </w:pPr>
            <w:r>
              <w:rPr/>
              <w:t> </w:t>
            </w:r>
          </w:p>
        </w:tc>
        <w:tc>
          <w:tcPr>
            <w:tcW w:w="7471" w:type="dxa"/>
            <w:tcBorders/>
            <w:vAlign w:val="center"/>
          </w:tcPr>
          <w:p>
            <w:pPr>
              <w:pStyle w:val="TableContents"/>
              <w:bidi w:val="0"/>
              <w:spacing w:before="0" w:after="0"/>
              <w:ind w:left="0" w:right="0" w:hanging="0"/>
              <w:jc w:val="left"/>
              <w:rPr/>
            </w:pPr>
            <w:r>
              <w:rPr/>
              <w:t> </w:t>
            </w:r>
          </w:p>
        </w:tc>
      </w:tr>
      <w:tr>
        <w:trPr/>
        <w:tc>
          <w:tcPr>
            <w:tcW w:w="2056" w:type="dxa"/>
            <w:tcBorders/>
            <w:vAlign w:val="center"/>
          </w:tcPr>
          <w:p>
            <w:pPr>
              <w:pStyle w:val="TableContents"/>
              <w:bidi w:val="0"/>
              <w:spacing w:before="0" w:after="0"/>
              <w:ind w:left="0" w:right="0" w:hanging="0"/>
              <w:jc w:val="left"/>
              <w:rPr/>
            </w:pPr>
            <w:r>
              <w:rPr/>
              <w:t> </w:t>
            </w:r>
          </w:p>
        </w:tc>
        <w:tc>
          <w:tcPr>
            <w:tcW w:w="747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Christopher L. Tucker</w:t>
            </w:r>
          </w:p>
        </w:tc>
      </w:tr>
      <w:tr>
        <w:trPr/>
        <w:tc>
          <w:tcPr>
            <w:tcW w:w="2056" w:type="dxa"/>
            <w:tcBorders/>
            <w:vAlign w:val="center"/>
          </w:tcPr>
          <w:p>
            <w:pPr>
              <w:pStyle w:val="TableContents"/>
              <w:bidi w:val="0"/>
              <w:spacing w:before="0" w:after="0"/>
              <w:ind w:left="0" w:right="0" w:hanging="0"/>
              <w:jc w:val="left"/>
              <w:rPr/>
            </w:pPr>
            <w:r>
              <w:rPr/>
              <w:t> </w:t>
            </w:r>
          </w:p>
        </w:tc>
        <w:tc>
          <w:tcPr>
            <w:tcW w:w="7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Christopher L. Tucker</w:t>
            </w:r>
          </w:p>
        </w:tc>
      </w:tr>
      <w:tr>
        <w:trPr/>
        <w:tc>
          <w:tcPr>
            <w:tcW w:w="2056" w:type="dxa"/>
            <w:tcBorders/>
            <w:vAlign w:val="center"/>
          </w:tcPr>
          <w:p>
            <w:pPr>
              <w:pStyle w:val="TableContents"/>
              <w:bidi w:val="0"/>
              <w:spacing w:before="0" w:after="0"/>
              <w:ind w:left="0" w:right="0" w:hanging="0"/>
              <w:jc w:val="left"/>
              <w:rPr/>
            </w:pPr>
            <w:r>
              <w:rPr/>
              <w:t> </w:t>
            </w:r>
          </w:p>
        </w:tc>
        <w:tc>
          <w:tcPr>
            <w:tcW w:w="7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Chief Financial Officer</w:t>
            </w:r>
          </w:p>
        </w:tc>
      </w:tr>
      <w:tr>
        <w:trPr/>
        <w:tc>
          <w:tcPr>
            <w:tcW w:w="2056" w:type="dxa"/>
            <w:tcBorders/>
            <w:vAlign w:val="center"/>
          </w:tcPr>
          <w:p>
            <w:pPr>
              <w:pStyle w:val="TableContents"/>
              <w:bidi w:val="0"/>
              <w:spacing w:before="0" w:after="0"/>
              <w:ind w:left="0" w:right="0" w:hanging="0"/>
              <w:jc w:val="left"/>
              <w:rPr/>
            </w:pPr>
            <w:r>
              <w:rPr/>
              <w:t> </w:t>
            </w:r>
          </w:p>
        </w:tc>
        <w:tc>
          <w:tcPr>
            <w:tcW w:w="7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duly authorized officer and principal accounting and financial officer of the registrant)</w:t>
            </w:r>
          </w:p>
        </w:tc>
      </w:tr>
      <w:tr>
        <w:trPr/>
        <w:tc>
          <w:tcPr>
            <w:tcW w:w="2056" w:type="dxa"/>
            <w:tcBorders/>
            <w:vAlign w:val="center"/>
          </w:tcPr>
          <w:p>
            <w:pPr>
              <w:pStyle w:val="TableContents"/>
              <w:bidi w:val="0"/>
              <w:spacing w:before="0" w:after="0"/>
              <w:ind w:left="0" w:right="0" w:hanging="0"/>
              <w:jc w:val="left"/>
              <w:rPr/>
            </w:pPr>
            <w:r>
              <w:rPr/>
              <w:t>​</w:t>
            </w:r>
          </w:p>
        </w:tc>
        <w:tc>
          <w:tcPr>
            <w:tcW w:w="747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10, 2026</w:t>
            </w:r>
          </w:p>
        </w:tc>
        <w:tc>
          <w:tcPr>
            <w:tcW w:w="74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240"/>
        <w:ind w:left="0" w:right="0" w:hanging="0"/>
        <w:jc w:val="right"/>
        <w:rPr>
          <w:rFonts w:ascii="Times New Roman;Times;serif" w:hAnsi="Times New Roman;Times;serif"/>
          <w:b/>
          <w:sz w:val="20"/>
        </w:rPr>
      </w:pPr>
      <w:bookmarkStart w:id="1171" w:name="ese-20260630xex31d1.htm"/>
      <w:bookmarkStart w:id="1172" w:name="ksese20260630xex31d1"/>
      <w:bookmarkEnd w:id="1171"/>
      <w:bookmarkEnd w:id="1172"/>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CERTIFICATION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Bryan H. Sayler, certify that:</w:t>
      </w:r>
    </w:p>
    <w:tbl>
      <w:tblPr>
        <w:tblW w:w="6618" w:type="dxa"/>
        <w:jc w:val="left"/>
        <w:tblInd w:w="0" w:type="dxa"/>
        <w:tblLayout w:type="fixed"/>
        <w:tblCellMar>
          <w:top w:w="0" w:type="dxa"/>
          <w:left w:w="0" w:type="dxa"/>
          <w:bottom w:w="0" w:type="dxa"/>
          <w:right w:w="0" w:type="dxa"/>
        </w:tblCellMar>
      </w:tblPr>
      <w:tblGrid>
        <w:gridCol w:w="23"/>
        <w:gridCol w:w="170"/>
        <w:gridCol w:w="64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4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ESCO Technologies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August 10, 2026</w:t>
      </w:r>
    </w:p>
    <w:tbl>
      <w:tblPr>
        <w:tblW w:w="3335" w:type="dxa"/>
        <w:jc w:val="center"/>
        <w:tblInd w:w="0" w:type="dxa"/>
        <w:tblLayout w:type="fixed"/>
        <w:tblCellMar>
          <w:top w:w="0" w:type="dxa"/>
          <w:left w:w="0" w:type="dxa"/>
          <w:bottom w:w="0" w:type="dxa"/>
          <w:right w:w="0" w:type="dxa"/>
        </w:tblCellMar>
      </w:tblPr>
      <w:tblGrid>
        <w:gridCol w:w="124"/>
        <w:gridCol w:w="3211"/>
      </w:tblGrid>
      <w:tr>
        <w:trPr/>
        <w:tc>
          <w:tcPr>
            <w:tcW w:w="124" w:type="dxa"/>
            <w:tcBorders/>
            <w:vAlign w:val="center"/>
          </w:tcPr>
          <w:p>
            <w:pPr>
              <w:pStyle w:val="TableContents"/>
              <w:bidi w:val="0"/>
              <w:spacing w:before="0" w:after="0"/>
              <w:ind w:left="0" w:right="0" w:hanging="0"/>
              <w:jc w:val="left"/>
              <w:rPr/>
            </w:pPr>
            <w:r>
              <w:rPr/>
              <w:t>​</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Bryan H. Sayler</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Bryan H. Sayler</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173" w:name="ese-20260630xex31d2.htm"/>
      <w:bookmarkStart w:id="1174" w:name="ksese20260630xex31d2"/>
      <w:bookmarkEnd w:id="1173"/>
      <w:bookmarkEnd w:id="1174"/>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CERTIFICATION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Christopher L. Tucker, certify that:</w:t>
      </w:r>
    </w:p>
    <w:tbl>
      <w:tblPr>
        <w:tblW w:w="6618" w:type="dxa"/>
        <w:jc w:val="left"/>
        <w:tblInd w:w="0" w:type="dxa"/>
        <w:tblLayout w:type="fixed"/>
        <w:tblCellMar>
          <w:top w:w="0" w:type="dxa"/>
          <w:left w:w="0" w:type="dxa"/>
          <w:bottom w:w="0" w:type="dxa"/>
          <w:right w:w="0" w:type="dxa"/>
        </w:tblCellMar>
      </w:tblPr>
      <w:tblGrid>
        <w:gridCol w:w="23"/>
        <w:gridCol w:w="170"/>
        <w:gridCol w:w="64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64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 have reviewed this quarterly report on Form 10-Q of ESCO Technologies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August 10, 2026</w:t>
      </w:r>
    </w:p>
    <w:tbl>
      <w:tblPr>
        <w:tblW w:w="4265" w:type="dxa"/>
        <w:jc w:val="center"/>
        <w:tblInd w:w="0" w:type="dxa"/>
        <w:tblLayout w:type="fixed"/>
        <w:tblCellMar>
          <w:top w:w="0" w:type="dxa"/>
          <w:left w:w="0" w:type="dxa"/>
          <w:bottom w:w="0" w:type="dxa"/>
          <w:right w:w="0" w:type="dxa"/>
        </w:tblCellMar>
      </w:tblPr>
      <w:tblGrid>
        <w:gridCol w:w="124"/>
        <w:gridCol w:w="4141"/>
      </w:tblGrid>
      <w:tr>
        <w:trPr/>
        <w:tc>
          <w:tcPr>
            <w:tcW w:w="124" w:type="dxa"/>
            <w:tcBorders/>
            <w:vAlign w:val="center"/>
          </w:tcPr>
          <w:p>
            <w:pPr>
              <w:pStyle w:val="TableContents"/>
              <w:bidi w:val="0"/>
              <w:spacing w:before="0" w:after="0"/>
              <w:ind w:left="0" w:right="0" w:hanging="0"/>
              <w:jc w:val="left"/>
              <w:rPr/>
            </w:pPr>
            <w:r>
              <w:rPr/>
              <w:t>​</w:t>
            </w:r>
          </w:p>
        </w:tc>
        <w:tc>
          <w:tcPr>
            <w:tcW w:w="4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Christopher L. Tucker</w:t>
            </w:r>
          </w:p>
        </w:tc>
      </w:tr>
      <w:tr>
        <w:trPr/>
        <w:tc>
          <w:tcPr>
            <w:tcW w:w="124" w:type="dxa"/>
            <w:tcBorders/>
            <w:vAlign w:val="center"/>
          </w:tcPr>
          <w:p>
            <w:pPr>
              <w:pStyle w:val="TableContents"/>
              <w:bidi w:val="0"/>
              <w:spacing w:before="0" w:after="0"/>
              <w:ind w:left="0" w:right="0" w:hanging="0"/>
              <w:jc w:val="left"/>
              <w:rPr/>
            </w:pPr>
            <w:r>
              <w:rPr/>
              <w:t>​</w:t>
            </w:r>
          </w:p>
        </w:tc>
        <w:tc>
          <w:tcPr>
            <w:tcW w:w="41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Christopher L. Tucker</w:t>
            </w:r>
          </w:p>
        </w:tc>
      </w:tr>
      <w:tr>
        <w:trPr/>
        <w:tc>
          <w:tcPr>
            <w:tcW w:w="124"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175" w:name="ese-20260630xex32.htm"/>
      <w:bookmarkStart w:id="1176" w:name="ksese20260630xex32"/>
      <w:bookmarkEnd w:id="1175"/>
      <w:bookmarkEnd w:id="1176"/>
      <w:r>
        <w:rPr>
          <w:rFonts w:ascii="Times New Roman;Times;serif" w:hAnsi="Times New Roman;Times;serif"/>
          <w:b/>
          <w:sz w:val="20"/>
        </w:rPr>
        <w:t>Exhibit 32</w:t>
      </w:r>
      <w:r>
        <w:br w:type="page"/>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CERTIFICATION PURSUANT 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 U.S.C. SECTION 1350,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AS ADOPTED PURSUANT TO</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SECTION 906 OF THE SARBANES-OXLEY ACT OF 2002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connection with the quarterly report of ESCO Technologies Inc. (the “Company”) on Form 10-Q for the period ended June 30, 2026 as filed with the Securities and Exchange Commission on the date hereof (the “Report”), we, Bryan H. Sayler, President and Chief Executive Officer of the Company, and Christopher L. Tucker, Senior Vice President and Chief Financial Officer of the Company, certify, to the best of our knowledge, pursuant to 18 U.S.C. § 1350, as adopted pursuant to § 906 of the Sarbanes-Oxley Act of 2002, that:</w:t>
      </w:r>
    </w:p>
    <w:tbl>
      <w:tblPr>
        <w:tblW w:w="9858" w:type="dxa"/>
        <w:jc w:val="left"/>
        <w:tblInd w:w="0" w:type="dxa"/>
        <w:tblLayout w:type="fixed"/>
        <w:tblCellMar>
          <w:top w:w="0" w:type="dxa"/>
          <w:left w:w="0" w:type="dxa"/>
          <w:bottom w:w="0" w:type="dxa"/>
          <w:right w:w="0" w:type="dxa"/>
        </w:tblCellMar>
      </w:tblPr>
      <w:tblGrid>
        <w:gridCol w:w="23"/>
        <w:gridCol w:w="245"/>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Dated: August 10, 2026</w:t>
      </w:r>
    </w:p>
    <w:tbl>
      <w:tblPr>
        <w:tblW w:w="4265" w:type="dxa"/>
        <w:jc w:val="left"/>
        <w:tblInd w:w="0" w:type="dxa"/>
        <w:tblLayout w:type="fixed"/>
        <w:tblCellMar>
          <w:top w:w="0" w:type="dxa"/>
          <w:left w:w="0" w:type="dxa"/>
          <w:bottom w:w="0" w:type="dxa"/>
          <w:right w:w="0" w:type="dxa"/>
        </w:tblCellMar>
      </w:tblPr>
      <w:tblGrid>
        <w:gridCol w:w="124"/>
        <w:gridCol w:w="4141"/>
      </w:tblGrid>
      <w:tr>
        <w:trPr/>
        <w:tc>
          <w:tcPr>
            <w:tcW w:w="124" w:type="dxa"/>
            <w:tcBorders/>
            <w:vAlign w:val="center"/>
          </w:tcPr>
          <w:p>
            <w:pPr>
              <w:pStyle w:val="TableContents"/>
              <w:bidi w:val="0"/>
              <w:spacing w:before="0" w:after="0"/>
              <w:ind w:left="0" w:right="0" w:hanging="0"/>
              <w:jc w:val="left"/>
              <w:rPr/>
            </w:pPr>
            <w:r>
              <w:rPr/>
              <w:t>​</w:t>
            </w:r>
          </w:p>
        </w:tc>
        <w:tc>
          <w:tcPr>
            <w:tcW w:w="4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Bryan H. Sayler</w:t>
            </w:r>
          </w:p>
        </w:tc>
      </w:tr>
      <w:tr>
        <w:trPr/>
        <w:tc>
          <w:tcPr>
            <w:tcW w:w="124" w:type="dxa"/>
            <w:tcBorders/>
            <w:vAlign w:val="center"/>
          </w:tcPr>
          <w:p>
            <w:pPr>
              <w:pStyle w:val="TableContents"/>
              <w:bidi w:val="0"/>
              <w:spacing w:before="0" w:after="0"/>
              <w:ind w:left="0" w:right="0" w:hanging="0"/>
              <w:jc w:val="left"/>
              <w:rPr/>
            </w:pPr>
            <w:r>
              <w:rPr/>
              <w:t>​</w:t>
            </w:r>
          </w:p>
        </w:tc>
        <w:tc>
          <w:tcPr>
            <w:tcW w:w="41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Bryan H. Sayler</w:t>
            </w:r>
          </w:p>
        </w:tc>
      </w:tr>
      <w:tr>
        <w:trPr/>
        <w:tc>
          <w:tcPr>
            <w:tcW w:w="124"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ESCO Technologies Inc.</w:t>
            </w:r>
          </w:p>
        </w:tc>
      </w:tr>
      <w:tr>
        <w:trPr/>
        <w:tc>
          <w:tcPr>
            <w:tcW w:w="124"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Christopher L. Tucker</w:t>
            </w:r>
          </w:p>
        </w:tc>
      </w:tr>
      <w:tr>
        <w:trPr/>
        <w:tc>
          <w:tcPr>
            <w:tcW w:w="124" w:type="dxa"/>
            <w:tcBorders/>
            <w:vAlign w:val="center"/>
          </w:tcPr>
          <w:p>
            <w:pPr>
              <w:pStyle w:val="TableContents"/>
              <w:bidi w:val="0"/>
              <w:spacing w:before="0" w:after="0"/>
              <w:ind w:left="0" w:right="0" w:hanging="0"/>
              <w:jc w:val="left"/>
              <w:rPr/>
            </w:pPr>
            <w:r>
              <w:rPr/>
              <w:t>​</w:t>
            </w:r>
          </w:p>
        </w:tc>
        <w:tc>
          <w:tcPr>
            <w:tcW w:w="41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Christopher L. Tucker</w:t>
            </w:r>
          </w:p>
        </w:tc>
      </w:tr>
      <w:tr>
        <w:trPr/>
        <w:tc>
          <w:tcPr>
            <w:tcW w:w="124"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ESCO Technologies Inc.</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66706/000095013799004629/0000950137-99-004629.txt" TargetMode="External"/><Relationship Id="rId3" Type="http://schemas.openxmlformats.org/officeDocument/2006/relationships/hyperlink" Target="https://www.sec.gov/Archives/edgar/data/866706/000086670600000007/0000866706-00-000007.txt" TargetMode="External"/><Relationship Id="rId4" Type="http://schemas.openxmlformats.org/officeDocument/2006/relationships/hyperlink" Target="https://www.sec.gov/Archives/edgar/data/866706/000095013700003733/ex3-c.txt" TargetMode="External"/><Relationship Id="rId5" Type="http://schemas.openxmlformats.org/officeDocument/2006/relationships/hyperlink" Target="https://www.sec.gov/Archives/edgar/data/866706/000114420418006155/tv485071_ex3-1.htm" TargetMode="External"/><Relationship Id="rId6" Type="http://schemas.openxmlformats.org/officeDocument/2006/relationships/hyperlink" Target="https://www.sec.gov/Archives/edgar/data/866706/000110465922121229/tm2231072d1_ex3-1.htm" TargetMode="External"/><Relationship Id="rId7" Type="http://schemas.openxmlformats.org/officeDocument/2006/relationships/hyperlink" Target="https://www.sec.gov/Archives/edgar/data/866706/000110465923098463/tm2325206d1_ex10-1.htm" TargetMode="External"/><Relationship Id="rId8" Type="http://schemas.openxmlformats.org/officeDocument/2006/relationships/hyperlink" Target="https://www.sec.gov/Archives/edgar/data/866706/000141057824002064/ese-20240930xex10d1c.htm" TargetMode="External"/><Relationship Id="rId9" Type="http://schemas.openxmlformats.org/officeDocument/2006/relationships/hyperlink" Target="https://www.sec.gov/Archives/edgar/data/866706/000110465926044425/tm2611835d1_ex10-1.htm" TargetMode="External"/><Relationship Id="rId10" Type="http://schemas.openxmlformats.org/officeDocument/2006/relationships/hyperlink" Target="https://www.sec.gov/Archives/edgar/data/866706/000110465926044425/tm2611835d1_ex10-2.htm" TargetMode="External"/><Relationship Id="rId11" Type="http://schemas.openxmlformats.org/officeDocument/2006/relationships/hyperlink" Target="https://www.sec.gov/Archives/edgar/data/866706/000110465926070116/tm2616691d1_ex10-1.htm" TargetMode="External"/><Relationship Id="rId12" Type="http://schemas.openxmlformats.org/officeDocument/2006/relationships/hyperlink" Target="https://www.sec.gov/Archives/edgar/data/866706/000110465926044425/tm2611835d1_ex10-1.htm" TargetMode="External"/><Relationship Id="rId13" Type="http://schemas.openxmlformats.org/officeDocument/2006/relationships/hyperlink" Target="https://www.sec.gov/Archives/edgar/data/866706/000110465926044425/tm2611835d1_ex10-2.htm" TargetMode="External"/><Relationship Id="rId14" Type="http://schemas.openxmlformats.org/officeDocument/2006/relationships/hyperlink" Target="https://www.sec.gov/Archives/edgar/data/866706/000110465926070116/tm2616691d1_ex10-1.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13412</Words>
  <Characters>75728</Characters>
  <CharactersWithSpaces>91638</CharactersWithSpaces>
  <Paragraphs>5467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