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SPECIALIZED DISCLOSURE REPORT</w:t>
      </w:r>
    </w:p>
    <w:p>
      <w:pPr>
        <w:spacing w:after="0" w:line="198"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Date of report: May 21, 2026</w:t>
      </w:r>
    </w:p>
    <w:p>
      <w:pPr>
        <w:spacing w:after="0" w:line="196"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43"/>
          <w:szCs w:val="43"/>
          <w:b w:val="1"/>
          <w:bCs w:val="1"/>
          <w:color w:val="auto"/>
        </w:rPr>
        <w:t>ESCO TECHNOLOGIES INC.</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ectPr>
          <w:pgSz w:w="11900" w:h="16838" w:orient="portrait"/>
          <w:cols w:equalWidth="0" w:num="1">
            <w:col w:w="10740"/>
          </w:cols>
          <w:pgMar w:left="320" w:top="772" w:right="839" w:bottom="1440" w:gutter="0" w:footer="0" w:header="0"/>
        </w:sectPr>
      </w:pPr>
    </w:p>
    <w:p>
      <w:pPr>
        <w:spacing w:after="0" w:line="20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Missouri</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1-10596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43-1554045</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240" w:space="720"/>
            <w:col w:w="3020" w:space="720"/>
            <w:col w:w="2040"/>
          </w:cols>
          <w:pgMar w:left="320" w:top="772" w:right="839" w:bottom="1440" w:gutter="0" w:footer="0" w:header="0"/>
          <w:type w:val="continuous"/>
        </w:sectPr>
      </w:pPr>
    </w:p>
    <w:p>
      <w:pPr>
        <w:spacing w:after="0" w:line="21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645 Maryville Centre Drive, Suite 300</w:t>
      </w:r>
    </w:p>
    <w:p>
      <w:pPr>
        <w:spacing w:after="0" w:line="4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St. Louis, Missouri</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right"/>
        <w:ind w:right="1880"/>
        <w:spacing w:after="0"/>
        <w:rPr>
          <w:sz w:val="20"/>
          <w:szCs w:val="20"/>
          <w:color w:val="auto"/>
        </w:rPr>
      </w:pPr>
      <w:r>
        <w:rPr>
          <w:rFonts w:ascii="Times New Roman" w:cs="Times New Roman" w:eastAsia="Times New Roman" w:hAnsi="Times New Roman"/>
          <w:sz w:val="17"/>
          <w:szCs w:val="17"/>
          <w:b w:val="1"/>
          <w:bCs w:val="1"/>
          <w:color w:val="auto"/>
        </w:rPr>
        <w:t>63141-5855</w:t>
      </w:r>
    </w:p>
    <w:p>
      <w:pPr>
        <w:spacing w:after="0" w:line="43" w:lineRule="exact"/>
        <w:rPr>
          <w:sz w:val="24"/>
          <w:szCs w:val="24"/>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80" w:space="720"/>
            <w:col w:w="2740"/>
          </w:cols>
          <w:pgMar w:left="320" w:top="772" w:right="839" w:bottom="1440" w:gutter="0" w:footer="0" w:header="0"/>
          <w:type w:val="continuous"/>
        </w:sectPr>
      </w:pPr>
    </w:p>
    <w:p>
      <w:pPr>
        <w:spacing w:after="0" w:line="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David M. Schatz, Senior Vice President and General Counsel</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(314) 213-7200</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of the person to contact in connection with this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Rule 13p-1 under the Securities Exchange Act (17 CFR 240.13p-1) for the reporting period from January 1 to December 31, 2025</w:t>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772"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Rule 13p-1 under the Securities Exchange Act of 1934, ESCO Technologies Inc. (ESCO) is filing this Specialized Disclosure Form (Form SD) and the associated Conflict Minerals Report. This Form SD and the Conflict Minerals Report, as well as ESCO’s Conflict Minerals Policy, are posted and publicly available on ESCO’s corporate website, </w:t>
      </w:r>
      <w:r>
        <w:rPr>
          <w:rFonts w:ascii="Times New Roman" w:cs="Times New Roman" w:eastAsia="Times New Roman" w:hAnsi="Times New Roman"/>
          <w:sz w:val="18"/>
          <w:szCs w:val="18"/>
          <w:i w:val="1"/>
          <w:iCs w:val="1"/>
          <w:color w:val="auto"/>
        </w:rPr>
        <w:t>www.escotechnologies.com</w:t>
      </w:r>
      <w:r>
        <w:rPr>
          <w:rFonts w:ascii="Times New Roman" w:cs="Times New Roman" w:eastAsia="Times New Roman" w:hAnsi="Times New Roman"/>
          <w:sz w:val="18"/>
          <w:szCs w:val="18"/>
          <w:color w:val="auto"/>
        </w:rPr>
        <w:t>. Information contained on ESCO’s website does not constitute part of this Form SD or its Exhibits.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provided as Exhibit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ectPr>
          <w:pgSz w:w="11900" w:h="16838" w:orient="portrait"/>
          <w:cols w:equalWidth="0" w:num="1">
            <w:col w:w="11200"/>
          </w:cols>
          <w:pgMar w:left="320" w:top="900" w:right="379" w:bottom="1440" w:gutter="0" w:footer="0" w:header="0"/>
        </w:sectPr>
      </w:pPr>
    </w:p>
    <w:p>
      <w:pPr>
        <w:spacing w:after="0" w:line="2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Exhibit No.</w:t>
      </w:r>
    </w:p>
    <w:p>
      <w:pPr>
        <w:spacing w:after="0" w:line="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0000EE"/>
        </w:rPr>
        <w:t>1.01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06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Conflict Minerals Report of ESCO Technologies Inc. for Calendar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295910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420" w:space="280"/>
            <w:col w:w="9500"/>
          </w:cols>
          <w:pgMar w:left="320" w:top="900" w:right="379" w:bottom="1440" w:gutter="0" w:footer="0" w:header="0"/>
          <w:type w:val="continuous"/>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ESCO TECHNOLOGIES INC.</w:t>
      </w:r>
    </w:p>
    <w:p>
      <w:pPr>
        <w:spacing w:after="0" w:line="225" w:lineRule="exact"/>
        <w:rPr>
          <w:sz w:val="20"/>
          <w:szCs w:val="20"/>
          <w:color w:val="auto"/>
        </w:rPr>
      </w:pPr>
    </w:p>
    <w:p>
      <w:pPr>
        <w:spacing w:after="0"/>
        <w:tabs>
          <w:tab w:leader="none" w:pos="560" w:val="left"/>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s/David M. Schatz</w:t>
      </w:r>
      <w:r>
        <w:rPr>
          <w:sz w:val="20"/>
          <w:szCs w:val="20"/>
          <w:color w:val="auto"/>
        </w:rPr>
        <w:tab/>
      </w:r>
      <w:r>
        <w:rPr>
          <w:rFonts w:ascii="Times New Roman" w:cs="Times New Roman" w:eastAsia="Times New Roman" w:hAnsi="Times New Roman"/>
          <w:sz w:val="18"/>
          <w:szCs w:val="18"/>
          <w:color w:val="auto"/>
        </w:rPr>
        <w:t>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David M. Schatz</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900"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2"/>
          <w:szCs w:val="12"/>
          <w:b w:val="1"/>
          <w:bCs w:val="1"/>
          <w:u w:val="single" w:color="auto"/>
          <w:color w:val="auto"/>
        </w:rPr>
        <w:t>onflict</w:t>
      </w:r>
      <w:r>
        <w:rPr>
          <w:rFonts w:ascii="Times New Roman" w:cs="Times New Roman" w:eastAsia="Times New Roman" w:hAnsi="Times New Roman"/>
          <w:sz w:val="18"/>
          <w:szCs w:val="18"/>
          <w:b w:val="1"/>
          <w:bCs w:val="1"/>
          <w:u w:val="single" w:color="auto"/>
          <w:color w:val="auto"/>
        </w:rPr>
        <w:t xml:space="preserve"> M</w:t>
      </w:r>
      <w:r>
        <w:rPr>
          <w:rFonts w:ascii="Times New Roman" w:cs="Times New Roman" w:eastAsia="Times New Roman" w:hAnsi="Times New Roman"/>
          <w:sz w:val="12"/>
          <w:szCs w:val="12"/>
          <w:b w:val="1"/>
          <w:bCs w:val="1"/>
          <w:u w:val="single" w:color="auto"/>
          <w:color w:val="auto"/>
        </w:rPr>
        <w:t>inerals</w:t>
      </w:r>
      <w:r>
        <w:rPr>
          <w:rFonts w:ascii="Times New Roman" w:cs="Times New Roman" w:eastAsia="Times New Roman" w:hAnsi="Times New Roman"/>
          <w:sz w:val="18"/>
          <w:szCs w:val="18"/>
          <w:b w:val="1"/>
          <w:bCs w:val="1"/>
          <w:u w:val="single" w:color="auto"/>
          <w:color w:val="auto"/>
        </w:rPr>
        <w:t xml:space="preserve"> R</w:t>
      </w:r>
      <w:r>
        <w:rPr>
          <w:rFonts w:ascii="Times New Roman" w:cs="Times New Roman" w:eastAsia="Times New Roman" w:hAnsi="Times New Roman"/>
          <w:sz w:val="12"/>
          <w:szCs w:val="12"/>
          <w:b w:val="1"/>
          <w:bCs w:val="1"/>
          <w:u w:val="single" w:color="auto"/>
          <w:color w:val="auto"/>
        </w:rPr>
        <w:t>eport of</w:t>
      </w:r>
      <w:r>
        <w:rPr>
          <w:rFonts w:ascii="Times New Roman" w:cs="Times New Roman" w:eastAsia="Times New Roman" w:hAnsi="Times New Roman"/>
          <w:sz w:val="18"/>
          <w:szCs w:val="18"/>
          <w:b w:val="1"/>
          <w:bCs w:val="1"/>
          <w:u w:val="single" w:color="auto"/>
          <w:color w:val="auto"/>
        </w:rPr>
        <w:t xml:space="preserve"> ESCO T</w:t>
      </w:r>
      <w:r>
        <w:rPr>
          <w:rFonts w:ascii="Times New Roman" w:cs="Times New Roman" w:eastAsia="Times New Roman" w:hAnsi="Times New Roman"/>
          <w:sz w:val="12"/>
          <w:szCs w:val="12"/>
          <w:b w:val="1"/>
          <w:bCs w:val="1"/>
          <w:u w:val="single" w:color="auto"/>
          <w:color w:val="auto"/>
        </w:rPr>
        <w:t>echnologies</w:t>
      </w:r>
      <w:r>
        <w:rPr>
          <w:rFonts w:ascii="Times New Roman" w:cs="Times New Roman" w:eastAsia="Times New Roman" w:hAnsi="Times New Roman"/>
          <w:sz w:val="18"/>
          <w:szCs w:val="18"/>
          <w:b w:val="1"/>
          <w:bCs w:val="1"/>
          <w:u w:val="single" w:color="auto"/>
          <w:color w:val="auto"/>
        </w:rPr>
        <w:t xml:space="preserve"> I</w:t>
      </w:r>
      <w:r>
        <w:rPr>
          <w:rFonts w:ascii="Times New Roman" w:cs="Times New Roman" w:eastAsia="Times New Roman" w:hAnsi="Times New Roman"/>
          <w:sz w:val="12"/>
          <w:szCs w:val="12"/>
          <w:b w:val="1"/>
          <w:bCs w:val="1"/>
          <w:u w:val="single" w:color="auto"/>
          <w:color w:val="auto"/>
        </w:rPr>
        <w:t>nc</w:t>
      </w:r>
      <w:r>
        <w:rPr>
          <w:rFonts w:ascii="Times New Roman" w:cs="Times New Roman" w:eastAsia="Times New Roman" w:hAnsi="Times New Roman"/>
          <w:sz w:val="18"/>
          <w:szCs w:val="18"/>
          <w:b w:val="1"/>
          <w:bCs w:val="1"/>
          <w:u w:val="single" w:color="auto"/>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 xml:space="preserve">for </w:t>
      </w:r>
      <w:r>
        <w:rPr>
          <w:rFonts w:ascii="Times New Roman" w:cs="Times New Roman" w:eastAsia="Times New Roman" w:hAnsi="Times New Roman"/>
          <w:sz w:val="17"/>
          <w:szCs w:val="17"/>
          <w:b w:val="1"/>
          <w:bCs w:val="1"/>
          <w:u w:val="single" w:color="auto"/>
          <w:color w:val="auto"/>
        </w:rPr>
        <w:t>C</w:t>
      </w:r>
      <w:r>
        <w:rPr>
          <w:rFonts w:ascii="Times New Roman" w:cs="Times New Roman" w:eastAsia="Times New Roman" w:hAnsi="Times New Roman"/>
          <w:sz w:val="12"/>
          <w:szCs w:val="12"/>
          <w:b w:val="1"/>
          <w:bCs w:val="1"/>
          <w:u w:val="single" w:color="auto"/>
          <w:color w:val="auto"/>
        </w:rPr>
        <w:t xml:space="preserve">alendar </w:t>
      </w:r>
      <w:r>
        <w:rPr>
          <w:rFonts w:ascii="Times New Roman" w:cs="Times New Roman" w:eastAsia="Times New Roman" w:hAnsi="Times New Roman"/>
          <w:sz w:val="17"/>
          <w:szCs w:val="17"/>
          <w:b w:val="1"/>
          <w:bCs w:val="1"/>
          <w:u w:val="single" w:color="auto"/>
          <w:color w:val="auto"/>
        </w:rPr>
        <w:t>Y</w:t>
      </w:r>
      <w:r>
        <w:rPr>
          <w:rFonts w:ascii="Times New Roman" w:cs="Times New Roman" w:eastAsia="Times New Roman" w:hAnsi="Times New Roman"/>
          <w:sz w:val="12"/>
          <w:szCs w:val="12"/>
          <w:b w:val="1"/>
          <w:bCs w:val="1"/>
          <w:u w:val="single" w:color="auto"/>
          <w:color w:val="auto"/>
        </w:rPr>
        <w:t xml:space="preserve">ear </w:t>
      </w:r>
      <w:r>
        <w:rPr>
          <w:rFonts w:ascii="Times New Roman" w:cs="Times New Roman" w:eastAsia="Times New Roman" w:hAnsi="Times New Roman"/>
          <w:sz w:val="17"/>
          <w:szCs w:val="17"/>
          <w:b w:val="1"/>
          <w:bCs w:val="1"/>
          <w:u w:val="single" w:color="auto"/>
          <w:color w:val="auto"/>
        </w:rPr>
        <w:t>2025</w:t>
      </w:r>
    </w:p>
    <w:p>
      <w:pPr>
        <w:spacing w:after="0" w:line="21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is the Conflict Minerals Report of ESCO Technologies Inc. (ESCO) for calendar year 2025 provided in accordance with Rule 13p-1 under the Securities Exchange Act of 1934 (the Conflict Minerals Rule). The Conflict Minerals Rule requires ESCO to perform certain procedures and disclose information about the use and origin of “Conflict Minerals” which are necessary to the functionality or production of products ESCO manufactures or contracts to have manufactured. “Conflict Minerals” are defined for purposes of the Conflict Minerals Rule as cassiterite, columbite-tantalite, wolframite, their respective derivatives tin, tantalum and tungsten, and gold.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ESCO Technologies is a global provider of highly engineered products and solutions to diverse and growing end-markets that include the aerospace, space, healthcare, wireless, consumer electronics, electric utility, and renewable energy industries. During 2025, ESCO conducted its business in three operating segments, through a number of wholly-owned direct and indirect subsidiaries. These segments, together with the significant domestic and foreign operating subsidiaries within each segment during 2025, were as follows; more complete information about the Company and its subsidiaries is provided on the Company’s website and in its latest Form 10-K filed with the Securities and Exchange Commission: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Aerospace and Defense (A&amp;D):</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PTI Technologies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Crissair,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Globe Composite Solutions, LLC (including Westland Technologies,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Mayday Manufacturing Co.</w:t>
      </w:r>
    </w:p>
    <w:p>
      <w:pPr>
        <w:spacing w:after="0" w:line="9" w:lineRule="exact"/>
        <w:rPr>
          <w:sz w:val="20"/>
          <w:szCs w:val="20"/>
          <w:color w:val="auto"/>
        </w:rPr>
      </w:pPr>
    </w:p>
    <w:p>
      <w:pPr>
        <w:ind w:left="1300" w:right="660"/>
        <w:spacing w:after="0" w:line="260" w:lineRule="auto"/>
        <w:rPr>
          <w:sz w:val="20"/>
          <w:szCs w:val="20"/>
          <w:color w:val="auto"/>
        </w:rPr>
      </w:pPr>
      <w:r>
        <w:rPr>
          <w:rFonts w:ascii="Times New Roman" w:cs="Times New Roman" w:eastAsia="Times New Roman" w:hAnsi="Times New Roman"/>
          <w:sz w:val="18"/>
          <w:szCs w:val="18"/>
          <w:color w:val="auto"/>
        </w:rPr>
        <w:t>ESCO Maritime Solutions (including ESCO Maritime Solutions, Ltd., DNE Technologies, Inc., EMS Development Corporation, Measurement Systems, Inc. and PMES I Limited)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Utility Solutions Group (USG):</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Doble Engineering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Morgan Schaffer Ltd.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I.S.A.–Altanova Group S.r.l. and affiliates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NRG Systems, Inc.</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RF Test and Measurement (Test):</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ETS-Lindgren Inc. (including MPE Limited and other Test segment subsidiaries)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ESCO’s products require a wide variety of components and materials, and Conflict Minerals that are necessary to the functionality or production of ESCO’s products are common across its product portfolio. ESCO sources its components and subassemblies from a global supply base that includes distributors, value-added resellers, original equipment manufacturers and contract manufacturers.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ESCO’s Reasonable Country of Origin Inquiry</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accordance with the Conflict Minerals Rule, ESCO has performed a “reasonable country of origin inquiry” (RCOI) on Conflict Minerals in its supply chain to determine whether these Conflict Minerals were sourced from the Democratic Republic of Congo (DRC) or adjoining countries or were from recycled or scrap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As a result of its RCOI process, ESCO has concluded in good faith that during 2025:</w:t>
      </w:r>
    </w:p>
    <w:p>
      <w:pPr>
        <w:spacing w:after="0" w:line="225" w:lineRule="exact"/>
        <w:rPr>
          <w:sz w:val="20"/>
          <w:szCs w:val="20"/>
          <w:color w:val="auto"/>
        </w:rPr>
      </w:pPr>
    </w:p>
    <w:p>
      <w:pPr>
        <w:ind w:left="660" w:right="8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Minerals were necessary to the functionality or production of many of the products ESCO manufactured or contracted to have manufactured; and</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was not able to reach a conclusion as to all sources of the Conflict Minerals necessary to the functionality or production of the products it manufactured or contracted to have manufactured.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ESCO’s Due Diligence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ESCO designed and performed its due diligence measures to conform in all material respects with the Organisation for Economic Cooperation and Development (OECD) Due Diligence Guidance for Responsible Supply Chains of Minerals from Conflict-Affected and High Risk Areas (CAHRAs): Third Edition (the OECD Guidance) including related Supplements for each of the Conflict Minerals in addition to guidance provided by the SEC and Responsible Minerals Initiative (RMI). Although the updated OECD Guidance clarifies that the framework requires detailed due diligence as a basis for responsible supply chain management of all minerals from Conflict Affected and High Risk Areas, currently ESCO is focused on the SEC required 3TGs in the DRC and surrounding countries and in the future will expand the program to other CAHRAs or minerals as recommended by the SEC.</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ESCO’s due diligence measures were based on the OECD Guidance. Because ESCO is many steps removed from the mining of Conflict Minerals and does not purchase raw ore or unrefined Conflict Minerals, its due diligence efforts include extensive communications with its suppliers and contract manufacturers in an effort to continue to build Conflict Mineral awareness, assess the transparency of its supply chain and identify the smelters/refiners in its supply chain.</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ESCO maintains a system of internal procedures and controls to identify and trace Conflict Minerals within its supply chain. A summary of ESCO’s activities, which are in line with the OECD Guidance, are outlined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Establish strong company management systems</w:t>
      </w:r>
    </w:p>
    <w:p>
      <w:pPr>
        <w:spacing w:after="0" w:line="227" w:lineRule="exact"/>
        <w:rPr>
          <w:sz w:val="20"/>
          <w:szCs w:val="20"/>
          <w:color w:val="auto"/>
        </w:rPr>
      </w:pPr>
    </w:p>
    <w:p>
      <w:pPr>
        <w:ind w:left="660" w:right="24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ESCO’s conflict minerals policy demonstrates the Company’s commitment to responsible sourcing as part of its larger Corporate Citizenship initiative and in conformance with the OECD Framework for conflict-affected and high-risk areas for minerals originating in the Covered Countries with the objective of helping companies to respect human rights and avoid contributing to conflict through their mineral sourcing practices and with the expectation that our suppliers will do the same. ESCO’s conflict minerals policy statement is available on the Company’s website at: https://www.escotechnologies.com/corporate-citizenship.</w:t>
      </w:r>
    </w:p>
    <w:p>
      <w:pPr>
        <w:spacing w:after="0" w:line="183"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maintains a governance model to oversee the implementation and ongoing management of its Conflict Minerals Compliance Program, including a Conflict Minerals Core Team consisting of representatives from each significant subsidiary, led by ESCO’s Assistant General Counsel and Corporate Director of EHS, to develop policies, standards and processes that relate to the identification of Conflict Minerals risk in its supply chain. The Core Team solicits the participation of leadership from the various ESCO business units to maintain a governance structure which enables sustainable compliance and actively mitigates the risk of not meeting regulatory requirements. The Core Team is responsible for developing policies and standards as well as developing and maintaining a project charter, compliance project plan, communication strategy, awareness training, project status report, and a standard retention policy.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60" w:right="1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maintains an annual process to evaluate parts and suppliers in its supply chain for potential Conflict Minerals risk, with some subsidiaries automating the collection of this information.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alignment with the OECD Guidance, each of ESCO’s subsidiaries identifies and assesses the risks in its supply chain by conducting a risk-rated analysis of its products, parts, and suppliers.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agreements across the ESCO subsidiaries require suppliers to annually provide information on their use and source of Conflict Minerals.</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continues to adapt its internal processes, procedures and systems to accommodate the capture, maintenance, retrieval and reporting of Conflict Minerals supplier and parts status, thereby improving transparency and the ability to certify its status in forthcoming years.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annually provides compliance training for at-risk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engages with its suppliers to gain greater visibility into their supply chains, in order to make better sourcing decisions.</w:t>
      </w:r>
    </w:p>
    <w:p>
      <w:pPr>
        <w:spacing w:after="0" w:line="223" w:lineRule="exact"/>
        <w:rPr>
          <w:rFonts w:ascii="Times New Roman" w:cs="Times New Roman" w:eastAsia="Times New Roman" w:hAnsi="Times New Roman"/>
          <w:sz w:val="18"/>
          <w:szCs w:val="18"/>
          <w:color w:val="auto"/>
        </w:rPr>
      </w:pPr>
    </w:p>
    <w:p>
      <w:pPr>
        <w:ind w:left="660" w:right="40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ESCO provides a feedback mechanism, managed by an ombudsman, on its website at </w:t>
      </w:r>
      <w:r>
        <w:rPr>
          <w:rFonts w:ascii="Times New Roman" w:cs="Times New Roman" w:eastAsia="Times New Roman" w:hAnsi="Times New Roman"/>
          <w:sz w:val="18"/>
          <w:szCs w:val="18"/>
          <w:i w:val="1"/>
          <w:iCs w:val="1"/>
          <w:color w:val="auto"/>
        </w:rPr>
        <w:t>www.escotechnologies.com</w:t>
      </w:r>
      <w:r>
        <w:rPr>
          <w:rFonts w:ascii="Times New Roman" w:cs="Times New Roman" w:eastAsia="Times New Roman" w:hAnsi="Times New Roman"/>
          <w:sz w:val="18"/>
          <w:szCs w:val="18"/>
          <w:color w:val="auto"/>
        </w:rPr>
        <w:t xml:space="preserve"> which is available to all interested parties to provide information or voice their concerns regarding ESCO’s sourcing and use of Conflict Minerals in its products. The ombudsman can be reached at telephone number (800) 272-0872 or by email at ombudsman@escotechnologies.com.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and assess risks in the supply chain</w:t>
      </w:r>
    </w:p>
    <w:p>
      <w:pPr>
        <w:spacing w:after="0" w:line="227" w:lineRule="exact"/>
        <w:rPr>
          <w:sz w:val="20"/>
          <w:szCs w:val="20"/>
          <w:color w:val="auto"/>
        </w:rPr>
      </w:pPr>
    </w:p>
    <w:p>
      <w:pPr>
        <w:ind w:left="660" w:right="180" w:hanging="328"/>
        <w:spacing w:after="0" w:line="289"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annual basis, ESCO performs due diligence to identify the parts within each of its subsidiary’s active bills of materials (BOMs) that are known or are likely to contain Conflict Minerals using a risk-based approach and to further identify the supplier(s), and when able the manufacturers, from who those parts are sourced. Personnel at the subsidiaries receive training on the Conflict Minerals reporting requirements.</w:t>
      </w:r>
    </w:p>
    <w:p>
      <w:pPr>
        <w:spacing w:after="0" w:line="157" w:lineRule="exact"/>
        <w:rPr>
          <w:rFonts w:ascii="Times New Roman" w:cs="Times New Roman" w:eastAsia="Times New Roman" w:hAnsi="Times New Roman"/>
          <w:sz w:val="17"/>
          <w:szCs w:val="17"/>
          <w:color w:val="auto"/>
        </w:rPr>
      </w:pPr>
    </w:p>
    <w:p>
      <w:pPr>
        <w:ind w:left="660" w:right="40" w:hanging="328"/>
        <w:spacing w:after="0" w:line="312"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ESCO subsidiaries’ supply chain, engineering, and operations personnel use the product information and prior year’s Conflict Minerals survey results to identify parts, materials and components that it reasonably expects may contain Conflict Minerals or where mineral content is unknown.</w:t>
      </w:r>
    </w:p>
    <w:p>
      <w:pPr>
        <w:spacing w:after="0" w:line="139"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requests that its suppliers complete a survey at the part level if possible, providing information in accordance with RMI’s Conflict Minerals Reporting Template (CMRT).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reviews survey responses received from suppliers for completeness, validates for sufficiency and follows up with any supplier that did not complete the survey, through an intensive outreach program including emails and telephone calls.</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reviews aggregated supplier survey responses and reports key RCOI metrics as part of bi-weekly Conflict Minerals reporting with each ESCO subsidiary.</w:t>
      </w:r>
    </w:p>
    <w:p>
      <w:pPr>
        <w:spacing w:after="0" w:line="16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conducts a review of summary smelter information to determine if each smelter or refiner was verified as conformant with RMI’s Responsible Minerals Assurance Process (RMAP), or if supporting information presents a “red flag” as defined by the OECD Guidance, such as sourcing from a smelter that is non-conformant or located in the DRC or adjoining countries.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disseminates the summary due diligence results and corresponding smelters to subsidiary customer-facing personnel who in turn respond to customer inquiries in the form of subsidiary level CMRTs.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Design and implement a strategy to respond to identified risks</w:t>
      </w:r>
    </w:p>
    <w:p>
      <w:pPr>
        <w:spacing w:after="0" w:line="227" w:lineRule="exact"/>
        <w:rPr>
          <w:sz w:val="20"/>
          <w:szCs w:val="20"/>
          <w:color w:val="auto"/>
        </w:rPr>
      </w:pPr>
    </w:p>
    <w:p>
      <w:pPr>
        <w:ind w:left="660" w:right="30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ESCO annually undertakes activities conformant with the RMI and OECD Due Diligence Guidance expectations for downstream companies, and provides a summary of the identified risks and gaps to senior management with recommended action plans to reduce risks and close gaps.</w:t>
      </w:r>
    </w:p>
    <w:p>
      <w:pPr>
        <w:spacing w:after="0" w:line="17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maintains a risk mitigation strategy with the goal of systematically reducing the extent of exposure to Conflict Minerals risks and the likelihood of their occurrence.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mineral reporting requirements are integrated into ESCO’s broader Corporate Citizenship initiative and internal control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continues to integrate its policies, procedures and systems modifications in a systematic and deliberate manner that will make them integral to ESCO’s business and establish the capability to routinely obtain, maintain, and retrieve the key data required to demonstrate reasonable efforts for compliance for both regulatory requirements and customer inquiries.</w:t>
      </w:r>
    </w:p>
    <w:p>
      <w:pPr>
        <w:spacing w:after="0" w:line="17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ESCO’s subsidiaries continue to make progress in integrating conflict minerals into ERP systems to include the identifying the Conflict Minerals Status of supplier parts as a field within the master part list identifying the status as Conformant, Non-Conformant, Undeterminable or Out of Scope.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ESCO reviews supplier responses to the RCOI, any risks identified will be evaluated, and opportunities to mitigate risks will be addressed.</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will address unresponsive suppliers and determine options for corrective actions. ESCO subsidiaries continue to assertively outreach to unresponsive suppliers.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submits written warnings to suppliers based on their use of non-Conformant Smelters and Refiners requesting they change their sourcing of materials provided to ESCO to include only Conformant sources of 3TG.</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 finding, risk assessments, and changes in circumstances will take place as part of ESCO’s annual review of its Conflict Minerals compliance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Carry out independent third-party audit of smelters’/refiners’ due diligence practices</w:t>
      </w:r>
    </w:p>
    <w:p>
      <w:pPr>
        <w:spacing w:after="0" w:line="227" w:lineRule="exact"/>
        <w:rPr>
          <w:sz w:val="20"/>
          <w:szCs w:val="20"/>
          <w:color w:val="auto"/>
        </w:rPr>
      </w:pPr>
    </w:p>
    <w:p>
      <w:pPr>
        <w:ind w:left="660" w:right="860" w:hanging="328"/>
        <w:spacing w:after="0" w:line="312"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ESCO cooperates and participates with industry associations to enhance transparency and traceability in the supply chain and supports independent third-party audits of smelters’/refiners’ due diligence by independent industry associations who perform these audits.</w:t>
      </w:r>
    </w:p>
    <w:p>
      <w:pPr>
        <w:spacing w:after="0" w:line="139" w:lineRule="exact"/>
        <w:rPr>
          <w:rFonts w:ascii="Times New Roman" w:cs="Times New Roman" w:eastAsia="Times New Roman" w:hAnsi="Times New Roman"/>
          <w:sz w:val="17"/>
          <w:szCs w:val="17"/>
          <w:color w:val="auto"/>
        </w:rPr>
      </w:pPr>
    </w:p>
    <w:p>
      <w:pPr>
        <w:ind w:left="660" w:right="3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nature of ESCO’s businesses, their positions in the supply chain, the associated cost, and the current lack of transparency and direct contact with smelters/refiners in the supply chain, ESCO is not in a position to audit smelters/refiners directly.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Step 5: Report annually on supply chain due diligence</w:t>
      </w:r>
    </w:p>
    <w:p>
      <w:pPr>
        <w:spacing w:after="0" w:line="227" w:lineRule="exact"/>
        <w:rPr>
          <w:sz w:val="20"/>
          <w:szCs w:val="20"/>
          <w:color w:val="auto"/>
        </w:rPr>
      </w:pPr>
    </w:p>
    <w:p>
      <w:pPr>
        <w:ind w:left="660" w:right="220" w:hanging="328"/>
        <w:spacing w:after="0" w:line="312"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ESCO performs due diligence on its conflict minerals supply chain annually, and it maintains a process to summarize, review, and approve compliance results and completion of the Form SD and the Conflict Minerals Report and assure timely filing of these documents with the SEC.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Continuous Improvement of Supply Chain Due Diligence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ESCO will continue to improve its due diligence efforts through increasingly focused efforts including (but not limited to) the following:</w:t>
      </w:r>
    </w:p>
    <w:p>
      <w:pPr>
        <w:spacing w:after="0" w:line="225" w:lineRule="exact"/>
        <w:rPr>
          <w:sz w:val="20"/>
          <w:szCs w:val="20"/>
          <w:color w:val="auto"/>
        </w:rPr>
      </w:pPr>
    </w:p>
    <w:p>
      <w:pPr>
        <w:ind w:left="660" w:right="8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ESCO’s Supplier survey responses provide the sources of conflict minerals included in their products at a “company” level, but the information provided to us is insufficient to determine which, if any, of those sources were specifically included in products provided to ESCO subsidiaries. Nonetheless, ESCO will continue to provide part level detail to our identified suppliers in the annual Conflict Minerals surveys and request to receive “product” level smelter responses in order to more accurately report smelters used on the manufacture of parts provided to ESCO subsidiaries.</w:t>
      </w:r>
    </w:p>
    <w:p>
      <w:pPr>
        <w:spacing w:after="0" w:line="18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has determined that there continues to be suppliers, including suppliers outside of the U.S., who do not understand the survey or its intent, or chose not to respond despite multiple reminders. In those cases, we will continue to offer additional information about Conflict Minerals reporting requirements and background on the concerns related to Conflict Minerals from the Covered Countries.</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ESCO continues to direct its subsidiaries to automate the process of identifying the parts and suppliers engaged with during the reporting year, as well as the storage and dissemination of results for customer reporting.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effort to improve supplier response rates for parts purchased from third party distributors, ESCO has started and will continue to identify and survey the manufacturers of those parts.</w:t>
      </w:r>
    </w:p>
    <w:p>
      <w:pPr>
        <w:spacing w:after="0" w:line="161" w:lineRule="exact"/>
        <w:rPr>
          <w:rFonts w:ascii="Times New Roman" w:cs="Times New Roman" w:eastAsia="Times New Roman" w:hAnsi="Times New Roman"/>
          <w:sz w:val="18"/>
          <w:szCs w:val="18"/>
          <w:color w:val="auto"/>
        </w:rPr>
      </w:pPr>
    </w:p>
    <w:p>
      <w:pPr>
        <w:ind w:left="660" w:right="120" w:hanging="328"/>
        <w:spacing w:after="0" w:line="312"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ESCO will continue to integrate newly acquired subsidiaries into the ESCO Conflict Minerals program and ensure that all new subsidiaries perform the required risk identification and due diligence to identify the smelters in their supply chain as specified in the Conflict Minerals Rule.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Based on the process described above, ESCO identified and surveyed 643 relevant suppliers and received responses from 443 of those suppliers, representing 69% of total suppliers surveyed and 82% of the active parts surveyed that were used in its 2025 manufactured goods.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on the information provided by ESCO’s suppliers utilized during 2025, ESCO believes that the facilities that may have been used to process 3TGs in ESCO’s products include the smelters and refiners listed in Appendix I to this Report. The supplier responses included Conformant, Active and Unknown smelters, but based on the absence of reliable information on the Unknown smelters, only the Conformant and Active and Known smelters have been included.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8" w:name="page9"/>
    <w:bookmarkEnd w:id="8"/>
    <w:p>
      <w:pPr>
        <w:ind w:right="260"/>
        <w:spacing w:after="0" w:line="282" w:lineRule="auto"/>
        <w:rPr>
          <w:sz w:val="20"/>
          <w:szCs w:val="20"/>
          <w:color w:val="auto"/>
        </w:rPr>
      </w:pPr>
      <w:r>
        <w:rPr>
          <w:rFonts w:ascii="Times New Roman" w:cs="Times New Roman" w:eastAsia="Times New Roman" w:hAnsi="Times New Roman"/>
          <w:sz w:val="18"/>
          <w:szCs w:val="18"/>
          <w:color w:val="auto"/>
        </w:rPr>
        <w:t>In a review of supplier responses, following OECD guidance, the following facilities were identified during 2025 as having processed 3TG providing a material benefit to armed groups in the DRC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114300</wp:posOffset>
            </wp:positionV>
            <wp:extent cx="6523355" cy="130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2335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part of our risk management plan, we will initiate risk mitigation activities with all Suppliers who identified the above facilities as a source of 3TGs. Communications will be issued to those Suppliers, requesting them to take their own risk mitigation steps and escalate this matter to their own suppliers to work to remove any red flag smelters/refiners from their supply chain.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ESCO notes that supplier responses were primarily at a company level, rather than at a product-specific level. For this reason, we cannot say with certainty that the smelters and refiners identified on the CMRTs processed the 3TG contained in ESCO finished goods. Based on the due diligence efforts and the absence of full supply chain visibility throughout the supply base, ESCO is unable to determine the source of origin of the conflict minerals and does not have sufficient information to conclusively determine the countries of origin of 3TGs contained in ESCO’s products.</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APPENDIX I</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10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Metal</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Smelter ID</w:t>
            </w:r>
          </w:p>
        </w:tc>
        <w:tc>
          <w:tcPr>
            <w:tcW w:w="5140" w:type="dxa"/>
            <w:vAlign w:val="bottom"/>
            <w:tcBorders>
              <w:top w:val="single" w:sz="8" w:color="auto"/>
              <w:right w:val="single" w:sz="8" w:color="auto"/>
            </w:tcBorders>
            <w:gridSpan w:val="3"/>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Smelter Name</w:t>
            </w:r>
          </w:p>
        </w:tc>
        <w:tc>
          <w:tcPr>
            <w:tcW w:w="224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Smelter Country</w:t>
            </w:r>
          </w:p>
        </w:tc>
        <w:tc>
          <w:tcPr>
            <w:tcW w:w="146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Status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CID002763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8853 S.p.A.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CID002920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ABC Refinery Pty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CID002708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CID000015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CID003185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African Gold Refinery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CID000035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Agosi AG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CID002030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AGR (Perth Mint Australia)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CID000019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CID000401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AKITA Seiren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CID002560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Al Etihad Gold LLC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CID002760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Albino Mountinho Lda.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Portugal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CID003500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Alexy Metals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CID000041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CID000082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Amagasaki Factory, Hyogo Prefecture, Japan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CID000058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AngloGold Ashanti Brazil</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CID001947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Anhui Tongling Nonferrous Metal Mining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CID000077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Argor-Heraeus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CID000924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CID000920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Asahi Refining USA Inc.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CID000090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Asaka Riken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CID000103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ATAkulche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CID004697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Attero Recycling Pvt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CID002850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 Traders and Refiners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CID003461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CID000113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Aurubis AG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CID002863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Balore Refiners GA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CID000128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CID000157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Boliden Ronnskar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Sweden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CID000176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 Hafner GmbH + Co. KG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CID000180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Caridad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CID000185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CCR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CID000189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Cendres + M?taux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CID003382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CGR Metalloys Pvt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CID000197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CHALCO Yunnan Copper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CID000233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Chimet S.p.A.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CID002224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China Henan Zhongyuan Gold Smelter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CID001916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China's Shandong Gold Mining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CID000264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Chugai Mining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CID004010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Coimpa Industrial LTDA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CID000343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CID002867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DEGUSSA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CID003348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CID000359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Do Sung Corporation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CID003663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Dongwu Gold Group</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CID000425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CID003424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CID003425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CID000927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Ekaterinburg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CID004755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Elite Industech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CID003487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CID003488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CID003489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CID003490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CID002561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Emirates Gold DMCC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CID001204</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Federal State Unitary Enterprise Moscow Special Processing Plant</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Known</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(FSUE MZSS)</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CID000468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Fenix Metals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CID002515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Zimbabwe</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CID000493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FSE Novosibirsk Refinery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304"/>
        </w:trPr>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946"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10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Metal</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Smelter ID</w:t>
            </w:r>
          </w:p>
        </w:tc>
        <w:tc>
          <w:tcPr>
            <w:tcW w:w="5140" w:type="dxa"/>
            <w:vAlign w:val="bottom"/>
            <w:tcBorders>
              <w:top w:val="single" w:sz="8" w:color="auto"/>
              <w:right w:val="single" w:sz="8" w:color="auto"/>
            </w:tcBorders>
            <w:gridSpan w:val="3"/>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Smelter Name</w:t>
            </w:r>
          </w:p>
        </w:tc>
        <w:tc>
          <w:tcPr>
            <w:tcW w:w="224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Smelter Country</w:t>
            </w:r>
          </w:p>
        </w:tc>
        <w:tc>
          <w:tcPr>
            <w:tcW w:w="146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Status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CID002584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Fujairah Gold FZC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CID002243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Fujian Zijin mining stock company gold smelter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CID005006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Gasabo Gold Refinery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CID004506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GG Refinery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Tanzania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CID002852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CID003641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Gold by Gold Colombia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Colombia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CID003186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Gold Coast Refinery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Ghana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CID001909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Great Wall Precious Metals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CID002312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Guangdong Gaoyao Co</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CID000651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CID000671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CID000689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HeeSung Metal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CID000694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Heimerle + Meule GmbH</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CID000711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CID000707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Heraeus Ltd. Hong Kong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CID000767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CID000773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CID000778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HwaSeong CJ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CID004604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Impala Platinum - Base Metal Refinery (BMR)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CID004714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CID004610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CID004704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Inca One (Chala One Plant)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CID004705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Inca One (Koricancha Plant)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CID002587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CID000801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CID002562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CID000807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CID000814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Istanbul Gold Refinery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CID002765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Italpreziosi</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CID002893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JALAN &amp; Company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CID000823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Japan Mint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CID000855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JCC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CID000929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JSC Uralelectromed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CID000937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CID003497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K.A. Rasmussen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Norway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CID002563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Kaloti Precious Metals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CID000956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Kazakhmys Smelting LLC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CID000957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Kazzinc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CID000969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CID002511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KGHM Polska Miedz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CID002100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Kochi daiicihi Yamaminami plant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CID000981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Kojima Chemicals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CID002605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Korea Zinc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CID003463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Kundan Care Products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CID001029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Kyrgyzaltyn JSC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Kyrgyzstan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CID002865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CID001032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Saudi Arabia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CID001056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LinBao Gold Mining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CID001058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CID002762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L'Orfebre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Andorra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CID001078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LS MnM Inc.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CID001093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CID002606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Marsam Metals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CID001113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Materion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CID001119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Matsuda Sangyo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CID003548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MD Overseas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CID001798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MEM(Sumitomo Group)</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CID003575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CID001161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Metal?rgica Met-Mex Pe?oles, S.A. de C.V</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CID003557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Metallix Refining Inc.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0" w:right="339" w:bottom="663"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10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Metal</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Smelter ID</w:t>
            </w:r>
          </w:p>
        </w:tc>
        <w:tc>
          <w:tcPr>
            <w:tcW w:w="5140" w:type="dxa"/>
            <w:vAlign w:val="bottom"/>
            <w:tcBorders>
              <w:top w:val="single" w:sz="8" w:color="auto"/>
              <w:right w:val="single" w:sz="8" w:color="auto"/>
            </w:tcBorders>
            <w:gridSpan w:val="3"/>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Smelter Name</w:t>
            </w:r>
          </w:p>
        </w:tc>
        <w:tc>
          <w:tcPr>
            <w:tcW w:w="224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Smelter Country</w:t>
            </w:r>
          </w:p>
        </w:tc>
        <w:tc>
          <w:tcPr>
            <w:tcW w:w="146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Status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CID001980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Metallurgie Hoboken Overpelt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CID001153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Metalor Switzerland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CID001149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CID001152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CID001147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CID001157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CID005014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Minera Titán del Perú SRL (MTP) - Belen Plant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CID001188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CID001193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Mitsui Kinzoku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CID001352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MKS PAMP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CID002509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MMTC-PAMP India Pvt.,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CID002857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Modeltech Sdn Bhd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CID002282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Morris and Watson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New Zealand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CID001220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CID001236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Uzbekistan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CID003189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NH Recytech Company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CID001259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Nihon Material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CID003690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Noble Metal Services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CID002779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CID001325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CID001326</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Known</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Krastsvetmet)</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CID002872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Pease &amp; Curren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CID001362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CID002919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Chile</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CID001386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CID001397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CID001498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PX Precinox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CID003324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QG Refining, LLC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CID001512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Rand Refinery (Pty)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CID000522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CID002582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Remondis Argentia B.V.</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Netherlands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CID001534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Royal Canadian Mint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Canada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CID002761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SAAMP</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CID001546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Sabin Metal Corp.</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CID002973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Safimet S.p.A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CID002290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SAFINA A.S.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Czechia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CID002853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Sai Refinery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CID003666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Sam Precious Metals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CID001555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Samdok Metal</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CID001562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Samwon Metals Corp.</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CID001585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CID002525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CID001619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Shandong Tarzan Bio-Gold Industry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CID001622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CID002750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CID004435</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Shenzhen Jinjunwei Resource Comprehensive Development</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Known</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 Ltd.</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CID002527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CID002588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CID001875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Shonan Plant Tanaka Kikinzoku</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CID001756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Shyolkovsky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CID001736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CID002516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CID001761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CID003383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Sovereign Metals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CID003153</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State Research Institute Center for Physical Sciences and</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Lithuania</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Known</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CID002567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Sudan Gold Refinery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Sudan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CID002918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SungEel HiMetal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0" w:right="339" w:bottom="704"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10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Metal</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Smelter ID</w:t>
            </w:r>
          </w:p>
        </w:tc>
        <w:tc>
          <w:tcPr>
            <w:tcW w:w="5140" w:type="dxa"/>
            <w:vAlign w:val="bottom"/>
            <w:tcBorders>
              <w:top w:val="single" w:sz="8" w:color="auto"/>
              <w:right w:val="single" w:sz="8" w:color="auto"/>
            </w:tcBorders>
            <w:gridSpan w:val="3"/>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Smelter Name</w:t>
            </w:r>
          </w:p>
        </w:tc>
        <w:tc>
          <w:tcPr>
            <w:tcW w:w="224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Smelter Country</w:t>
            </w:r>
          </w:p>
        </w:tc>
        <w:tc>
          <w:tcPr>
            <w:tcW w:w="146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Status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CID001810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CID002580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T.C.A S.p.A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Italy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CID004491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CID001938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Tokuriki Honten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CID002615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TOO Tau-Ken-Altyn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CID001955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Torecom</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CID002314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CID001993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CID002003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Valcambi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Switzerland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CID003615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WEEEREFINING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France</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CID002778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WIELAND Edelmetalle GmbH</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CID002129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Yokohama Metal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CID003926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5D Production OU</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CID001076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AMG Brasil</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CID002705</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Avon Specialty Metals Ltd.</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Kingdom of Great</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12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Britain And Northern</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CID000211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CID004431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CMT Rare Metal Advanced Materials (Hunan)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CID000291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Conghua Tantalum and Niobium Smeltry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CID002504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 Block Metals, LLC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CID000460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 &amp; X</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CID002505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CID002558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CID002557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CID000616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Guangdong Zhiyuan New Material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CID002544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H.C. Starck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CID002548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H.C. Starck Inc.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CID002549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H.C. Starck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CID002550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H.C. Starck Smelting GmbH &amp; Co. KG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CID002545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H.C. Starck Tantalum and Niobium GmbH</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CID002492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CID002512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CID004813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Jiangxi Sanshi Nonferrous Metals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CID002842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CID003191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CID000914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CID000917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Jiujiang Nonferrous Metals Smelting Company Limited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CID002506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CID002539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KEMET Blue Metals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Mexico</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CID001163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Metallurgical Products India Pvt. Ltd. (MPIL)</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CID001175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CID001192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Mitsui Mining &amp; Smelting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CID001200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Molycorp Silmet A.S.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CID001277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Ningxia Non-Ferrous Metal Smeltery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CID004054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PowerX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CID002547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CID001508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QuantumClean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CID002707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Resind Ind e Com Ltda.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CID001522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RFH</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CID003159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RFH Recycling Metals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CID003583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CID001769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Solikamsk</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CID001869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Taki Chemical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CID001891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Telex Metals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CID001969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ULBA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Kazakhstan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CID003498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V&amp;D New Materials (Jiangsu)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CID003973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Ximei Resources(Guizhou) Technology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CID002508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CID000401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AKITA Seiren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CID000292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Alent plc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CID002703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Vietnam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0" w:right="339" w:bottom="231"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10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Metal</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Smelter ID</w:t>
            </w:r>
          </w:p>
        </w:tc>
        <w:tc>
          <w:tcPr>
            <w:tcW w:w="5140" w:type="dxa"/>
            <w:vAlign w:val="bottom"/>
            <w:tcBorders>
              <w:top w:val="single" w:sz="8" w:color="auto"/>
              <w:right w:val="single" w:sz="8" w:color="auto"/>
            </w:tcBorders>
            <w:gridSpan w:val="3"/>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Smelter Name</w:t>
            </w:r>
          </w:p>
        </w:tc>
        <w:tc>
          <w:tcPr>
            <w:tcW w:w="224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Smelter Country</w:t>
            </w:r>
          </w:p>
        </w:tc>
        <w:tc>
          <w:tcPr>
            <w:tcW w:w="146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Status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CID002773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Aurubis Beerse</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Belgium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CID002774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Aurubis Berango</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CID002158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Chengfeng Metals Co Pte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CID000228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Chenzhou Yun Xiang mining limited liability company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CID003190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CID001070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China Tin (Hechi)</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CID002180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China Yunnan Tin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CID003486</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CID003524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CRM Synergies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Spain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CID002570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CV Ayi Jaya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CID000313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CV Serumpun Sebalai</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CID002593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CV Tiga Sekawan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CID002455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CV Venus Inti Perkasa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CID000377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CID003356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CID000402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Dowa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CID003831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DS Myanmar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Myanmar</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CID002572</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 Cao Bang Minerals &amp; Metallurgy</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Vietnam</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Known</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Joint Stock Company</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CID000438</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EM Vinto</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Bolivia (Plurinational State</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CID000448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Estanho de Rondonia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CID003582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Fabrica Auricchio</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CID000466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Feinhutte Halsbrucke GmbH</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CID000468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Fenix Metals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Poland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CID001182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Funsur Smelter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Peru</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CID003410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CID000942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CID000538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CID001908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CID000555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Gejiu Zi-Li</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CID004754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CID003116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CID002844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CID001105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Hulterworth Smelter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CID001191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Ikuno Tin Smelter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CID001482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Indonesian State Tin Corporation Mentok Smelter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CID001231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Jiangxi Nanshan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CID001477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Kundur Smelter</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CID004796</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Known</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Development Co., Ltd</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CID003387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Luna Smelter,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CID003379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CID002468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CID004434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CID002500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Melt Metais e Ligas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CID001142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Metallic Resources, Inc.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CID001173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CID001175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Mineracao Taboca 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CID002015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Mining and processing tin-tungsten ore Giang Son - VQB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Vietnam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CID004065</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Mining Minerals Resources SARL</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Congo, Democratic</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Republic of the</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CID001188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CID002858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Modeltech Sdn Bhd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CID002573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Vietnam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CID001305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Novosibirsk Processing Plant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CID001314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CID002517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CID001337</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OMSA</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Bolivia (Plurinational State</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CID005189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 Kay Metal, Inc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0" w:right="339" w:bottom="285"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10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Metal</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Smelter ID</w:t>
            </w:r>
          </w:p>
        </w:tc>
        <w:tc>
          <w:tcPr>
            <w:tcW w:w="5140" w:type="dxa"/>
            <w:vAlign w:val="bottom"/>
            <w:tcBorders>
              <w:top w:val="single" w:sz="8" w:color="auto"/>
              <w:right w:val="single" w:sz="8" w:color="auto"/>
            </w:tcBorders>
            <w:gridSpan w:val="3"/>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Smelter Name</w:t>
            </w:r>
          </w:p>
        </w:tc>
        <w:tc>
          <w:tcPr>
            <w:tcW w:w="224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Smelter Country</w:t>
            </w:r>
          </w:p>
        </w:tc>
        <w:tc>
          <w:tcPr>
            <w:tcW w:w="146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Status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CID003208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Myanmar</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CID003409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CID000309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CID005067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Arsed Indonesia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CID001399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Artha Cipta Langgeng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CID002503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CID001402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Babel Inti Perkasa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CID001406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CID002776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Bangka Prima Tin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CID003205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Bangka Serumpun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CID001419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Bangka Tin Industry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CID001421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CID001428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Bukit Timah</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CID002696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Cipta Persada Mulia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CID002835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Menara Cipta Mulia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CID001453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Mitra Stania Prima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CID003449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CID001458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Prima Timah Utama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CID003868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CID003381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CID001460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Refined Bangka Tin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CID001463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CID001468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Stanindo Inti Perkasa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CID002816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CID001486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Timah Nusantara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CID001490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Tinindo Inter Nusa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CID001493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PT Tommy Utama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CID002706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Resind Ind e Com Ltda.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CID002707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Resind Ind e Com Ltda.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CID004692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CID001539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Rui Da Hung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CID001758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Soft Metais Ltda.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CID002756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Super Ligas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CID004403</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Takehara PVD Materials Plant / PVD Materials Division of Mitsui</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Mining &amp; Smelting Co., Ltd.</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CID001898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Thai Solder Industry Corp.,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CID003325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CID003474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TRATHO Metal Quimica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CID002574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Vietnam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CID002036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CID004724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CID003397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CID000004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A.L.M.T. Corp.</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CID002833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ACL Metais Eireli</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CID003427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CID003553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Artek LLC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CID002502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Vietnam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CID000105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ATI Metalworking Products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CID002704</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Avon Specialty Metals Ltd.</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Kingdom of Great</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12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Britain And Northern</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CID000218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Chaozhou Xianglu Tungsten Industry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CID002513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Chenzhou Diamond Tungsten Products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CID002641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China Molybdenum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CID000258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CID000281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CNMC (Guangxi) PGMA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CID003468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Cronimet Brasil Ltda</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CID004060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CID003609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Fujian Xinlu Tungsten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CID002315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CID002494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CID003580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Ganzhou Sunny Non-Ferrous Metals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0" w:right="339" w:bottom="245"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10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Metal</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Smelter ID</w:t>
            </w:r>
          </w:p>
        </w:tc>
        <w:tc>
          <w:tcPr>
            <w:tcW w:w="5140" w:type="dxa"/>
            <w:vAlign w:val="bottom"/>
            <w:tcBorders>
              <w:top w:val="single" w:sz="8" w:color="auto"/>
              <w:right w:val="single" w:sz="8" w:color="auto"/>
            </w:tcBorders>
            <w:gridSpan w:val="3"/>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Smelter Name</w:t>
            </w:r>
          </w:p>
        </w:tc>
        <w:tc>
          <w:tcPr>
            <w:tcW w:w="224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Smelter Country</w:t>
            </w:r>
          </w:p>
        </w:tc>
        <w:tc>
          <w:tcPr>
            <w:tcW w:w="1460" w:type="dxa"/>
            <w:vAlign w:val="bottom"/>
            <w:tcBorders>
              <w:top w:val="single" w:sz="8" w:color="auto"/>
              <w:right w:val="single" w:sz="8" w:color="auto"/>
            </w:tcBorders>
            <w:gridSpan w:val="3"/>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Status</w:t>
            </w:r>
          </w:p>
        </w:tc>
      </w:tr>
      <w:tr>
        <w:trPr>
          <w:trHeight w:val="21"/>
        </w:trPr>
        <w:tc>
          <w:tcPr>
            <w:tcW w:w="12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CID003417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GEM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CID000568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CID002542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H.C. Starck Smelting GmbH &amp; Co. KG</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CID002541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H.C. Starck Tungsten GmbH</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CID003978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HANNAE FOR T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191"/>
        </w:trPr>
        <w:tc>
          <w:tcPr>
            <w:tcW w:w="120" w:type="dxa"/>
            <w:vAlign w:val="bottom"/>
            <w:tcBorders>
              <w:left w:val="single" w:sz="8" w:color="auto"/>
            </w:tcBorders>
          </w:tcPr>
          <w:p>
            <w:pPr>
              <w:spacing w:after="0"/>
              <w:rPr>
                <w:sz w:val="16"/>
                <w:szCs w:val="16"/>
                <w:color w:val="auto"/>
              </w:rPr>
            </w:pPr>
          </w:p>
        </w:tc>
        <w:tc>
          <w:tcPr>
            <w:tcW w:w="10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CID000769</w:t>
            </w:r>
          </w:p>
        </w:tc>
        <w:tc>
          <w:tcPr>
            <w:tcW w:w="514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Human Chun-Chang non-ferrous Smelting &amp; Concentrating</w:t>
            </w:r>
          </w:p>
        </w:tc>
        <w:tc>
          <w:tcPr>
            <w:tcW w:w="224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right w:val="single" w:sz="8" w:color="auto"/>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Known</w:t>
            </w:r>
          </w:p>
        </w:tc>
      </w:tr>
      <w:tr>
        <w:trPr>
          <w:trHeight w:val="234"/>
        </w:trPr>
        <w:tc>
          <w:tcPr>
            <w:tcW w:w="12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 Ltd.</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CID000766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CID002649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Hydrometallurg, JSC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CID000825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Japan New Metals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CID002551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CID002321</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CID002313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CID002318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CID002317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CID002316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CID003408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CID004619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Vietnam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CID000966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Kennametal Fallon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CID005017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Laos Southern Mining Smelting Sole Co.,Ltd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Laos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CID003407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Lianyou Metals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CID004397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CID003643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LLC Vostok</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CID004056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Malamet Smelting Sdn. Bhd.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CID002319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CID002543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Vietnam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CID002845</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Moliren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CID004034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Vietnam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CID002589</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Niagara Refining LLC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CID003416</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NPP Tyazhmetprom LLC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CID003614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OOO “Technolom” 1</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CID003612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OOO “Technolom” 2</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CID004797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CID004438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Active</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CID002827</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CID004068</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Plansee Composite Materials GmbH</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CID004430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CID003993</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Vietnam</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CID002724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CID002044</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WBH</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Austria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09"/>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CID002320</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Xiamen H.C.</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CID002082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Xiamen Tungsten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0"/>
        </w:trPr>
        <w:tc>
          <w:tcPr>
            <w:tcW w:w="12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Tungsten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CID003662</w:t>
            </w:r>
          </w:p>
        </w:tc>
        <w:tc>
          <w:tcPr>
            <w:tcW w:w="51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22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6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Known</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2026-05-21T05:19:48Z</dcterms:created>
  <dcterms:modified xsi:type="dcterms:W3CDTF">2026-05-21T05:19:48Z</dcterms:modified>
</cp:coreProperties>
</file>